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6"/>
        </w:rPr>
        <w:t>ThetaData VIX-Style Variance Term-Structure Build</w:t>
      </w:r>
    </w:p>
    <w:p>
      <w:pPr>
        <w:jc w:val="center"/>
      </w:pPr>
      <w:r>
        <w:rPr>
          <w:i/>
          <w:sz w:val="20"/>
        </w:rPr>
        <w:t>Project documentation for VRP / naked ATM put production data</w:t>
      </w:r>
    </w:p>
    <w:p>
      <w:pPr>
        <w:jc w:val="center"/>
      </w:pPr>
      <w:r>
        <w:rPr>
          <w:sz w:val="18"/>
        </w:rPr>
        <w:t>Version: v0.1   |   Prepared from notebooks 01 through 05</w:t>
      </w:r>
    </w:p>
    <w:p/>
    <w:p>
      <w:pPr>
        <w:pStyle w:val="Heading1"/>
      </w:pPr>
      <w:r>
        <w:t>1. Executive summary</w:t>
      </w:r>
    </w:p>
    <w:p>
      <w:r>
        <w:rPr>
          <w:b/>
        </w:rPr>
        <w:t xml:space="preserve">Purpose. </w:t>
      </w:r>
      <w:r>
        <w:t>We used ThetaData SPX/SPXW option quote snapshots to build a custom VIX-style implied variance term structure across fixed target DTEs. The output is a daily date-by-tenor panel of annualized implied variance and VIX-style volatility for 9, 12, 15, 18, 21, 24, 27, 30, and 33 calendar-day targets. The panel is the upstream data source for realized variance, VRP signals, tenor selection, and the naked ATM put production process.</w:t>
      </w:r>
    </w:p>
    <w:p>
      <w:pPr>
        <w:pStyle w:val="ListBullet"/>
      </w:pPr>
      <w:r>
        <w:t>The current repaired production implied-volatility panel covers 2018-06-25 through 2026-06-25, with 2,011 trading dates and 18,099 rows: 9 tenors per date.</w:t>
      </w:r>
    </w:p>
    <w:p>
      <w:pPr>
        <w:pStyle w:val="ListBullet"/>
      </w:pPr>
      <w:r>
        <w:t>The final production implied-variance file is data/processed/vix_term_structure_history_v0_7_1_repaired_total_variance.parquet, with a CSV copy beside it.</w:t>
      </w:r>
    </w:p>
    <w:p>
      <w:pPr>
        <w:pStyle w:val="ListBullet"/>
      </w:pPr>
      <w:r>
        <w:t>Raw ThetaData option chains are cached once per root/date/expiration/quote-time as pickled DataFrames under data/raw/thetadata_chains/.</w:t>
      </w:r>
    </w:p>
    <w:p>
      <w:pPr>
        <w:pStyle w:val="ListBullet"/>
      </w:pPr>
      <w:r>
        <w:t>Cboe VIX and VIX9D histories were used as benchmark/anchor data for QA and selected repairs; FRED SOFR was used as the risk-free rate input; FRED SPX daily close data was used for realized variance and VRP preparation.</w:t>
      </w:r>
    </w:p>
    <w:p>
      <w:pPr>
        <w:pStyle w:val="Heading1"/>
      </w:pPr>
      <w:r>
        <w:t>2. Notebook map</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F4E79"/>
          </w:tcPr>
          <w:p>
            <w:r>
              <w:rPr>
                <w:rFonts w:ascii="Aptos" w:hAnsi="Aptos" w:eastAsia="Aptos"/>
                <w:sz w:val="18"/>
              </w:rPr>
            </w:r>
            <w:r>
              <w:rPr>
                <w:rFonts w:ascii="Aptos" w:hAnsi="Aptos" w:eastAsia="Aptos"/>
                <w:b/>
                <w:color w:val="FFFFFF"/>
                <w:sz w:val="18"/>
              </w:rPr>
              <w:t>Notebook</w:t>
            </w:r>
          </w:p>
        </w:tc>
        <w:tc>
          <w:tcPr>
            <w:tcW w:type="dxa" w:w="6624"/>
            <w:vAlign w:val="center"/>
            <w:shd w:fill="1F4E79"/>
          </w:tcPr>
          <w:p>
            <w:r>
              <w:rPr>
                <w:rFonts w:ascii="Aptos" w:hAnsi="Aptos" w:eastAsia="Aptos"/>
                <w:sz w:val="18"/>
              </w:rPr>
            </w:r>
            <w:r>
              <w:rPr>
                <w:rFonts w:ascii="Aptos" w:hAnsi="Aptos" w:eastAsia="Aptos"/>
                <w:b/>
                <w:color w:val="FFFFFF"/>
                <w:sz w:val="18"/>
              </w:rPr>
              <w:t>Role</w:t>
            </w:r>
          </w:p>
        </w:tc>
      </w:tr>
      <w:tr>
        <w:tc>
          <w:tcPr>
            <w:tcW w:type="dxa" w:w="3600"/>
            <w:vAlign w:val="center"/>
          </w:tcPr>
          <w:p>
            <w:r>
              <w:rPr>
                <w:rFonts w:ascii="Aptos" w:hAnsi="Aptos" w:eastAsia="Aptos"/>
                <w:sz w:val="18"/>
              </w:rPr>
            </w:r>
            <w:r>
              <w:rPr>
                <w:rFonts w:ascii="Aptos" w:hAnsi="Aptos" w:eastAsia="Aptos"/>
                <w:b w:val="0"/>
                <w:sz w:val="18"/>
              </w:rPr>
              <w:t>01_clean_vix_replication_v0_7_market_close_final.ipynb</w:t>
            </w:r>
          </w:p>
        </w:tc>
        <w:tc>
          <w:tcPr>
            <w:tcW w:type="dxa" w:w="6624"/>
            <w:vAlign w:val="center"/>
          </w:tcPr>
          <w:p>
            <w:r>
              <w:rPr>
                <w:rFonts w:ascii="Aptos" w:hAnsi="Aptos" w:eastAsia="Aptos"/>
                <w:sz w:val="18"/>
              </w:rPr>
            </w:r>
            <w:r>
              <w:rPr>
                <w:rFonts w:ascii="Aptos" w:hAnsi="Aptos" w:eastAsia="Aptos"/>
                <w:b w:val="0"/>
                <w:sz w:val="18"/>
              </w:rPr>
              <w:t>Production VIX-style term-structure builder using ThetaData, FRED SOFR, XNYS calendar, chain caching, and market-close quote times.</w:t>
            </w:r>
          </w:p>
        </w:tc>
      </w:tr>
      <w:tr>
        <w:tc>
          <w:tcPr>
            <w:tcW w:type="dxa" w:w="3600"/>
            <w:vAlign w:val="center"/>
          </w:tcPr>
          <w:p>
            <w:r>
              <w:rPr>
                <w:rFonts w:ascii="Aptos" w:hAnsi="Aptos" w:eastAsia="Aptos"/>
                <w:sz w:val="18"/>
              </w:rPr>
            </w:r>
            <w:r>
              <w:rPr>
                <w:rFonts w:ascii="Aptos" w:hAnsi="Aptos" w:eastAsia="Aptos"/>
                <w:b w:val="0"/>
                <w:sz w:val="18"/>
              </w:rPr>
              <w:t>02_compare_vix_benchmarks_v0_7.ipynb</w:t>
            </w:r>
          </w:p>
        </w:tc>
        <w:tc>
          <w:tcPr>
            <w:tcW w:type="dxa" w:w="6624"/>
            <w:vAlign w:val="center"/>
          </w:tcPr>
          <w:p>
            <w:r>
              <w:rPr>
                <w:rFonts w:ascii="Aptos" w:hAnsi="Aptos" w:eastAsia="Aptos"/>
                <w:sz w:val="18"/>
              </w:rPr>
            </w:r>
            <w:r>
              <w:rPr>
                <w:rFonts w:ascii="Aptos" w:hAnsi="Aptos" w:eastAsia="Aptos"/>
                <w:b w:val="0"/>
                <w:sz w:val="18"/>
              </w:rPr>
              <w:t>Initial comparison of custom 30d and 9d measures versus Cboe VIX and VIX9D; preliminary repair exploration.</w:t>
            </w:r>
          </w:p>
        </w:tc>
      </w:tr>
      <w:tr>
        <w:tc>
          <w:tcPr>
            <w:tcW w:type="dxa" w:w="3600"/>
            <w:vAlign w:val="center"/>
          </w:tcPr>
          <w:p>
            <w:r>
              <w:rPr>
                <w:rFonts w:ascii="Aptos" w:hAnsi="Aptos" w:eastAsia="Aptos"/>
                <w:sz w:val="18"/>
              </w:rPr>
            </w:r>
            <w:r>
              <w:rPr>
                <w:rFonts w:ascii="Aptos" w:hAnsi="Aptos" w:eastAsia="Aptos"/>
                <w:b w:val="0"/>
                <w:sz w:val="18"/>
              </w:rPr>
              <w:t>03_term_structure_qa_and_repair_v0_7_1.ipynb</w:t>
            </w:r>
          </w:p>
        </w:tc>
        <w:tc>
          <w:tcPr>
            <w:tcW w:type="dxa" w:w="6624"/>
            <w:vAlign w:val="center"/>
          </w:tcPr>
          <w:p>
            <w:r>
              <w:rPr>
                <w:rFonts w:ascii="Aptos" w:hAnsi="Aptos" w:eastAsia="Aptos"/>
                <w:sz w:val="18"/>
              </w:rPr>
            </w:r>
            <w:r>
              <w:rPr>
                <w:rFonts w:ascii="Aptos" w:hAnsi="Aptos" w:eastAsia="Aptos"/>
                <w:b w:val="0"/>
                <w:sz w:val="18"/>
              </w:rPr>
              <w:t>Final v0.7.1 repair workflow using total variance, Cboe anchors, and curve QA.</w:t>
            </w:r>
          </w:p>
        </w:tc>
      </w:tr>
      <w:tr>
        <w:tc>
          <w:tcPr>
            <w:tcW w:type="dxa" w:w="3600"/>
            <w:vAlign w:val="center"/>
          </w:tcPr>
          <w:p>
            <w:r>
              <w:rPr>
                <w:rFonts w:ascii="Aptos" w:hAnsi="Aptos" w:eastAsia="Aptos"/>
                <w:sz w:val="18"/>
              </w:rPr>
            </w:r>
            <w:r>
              <w:rPr>
                <w:rFonts w:ascii="Aptos" w:hAnsi="Aptos" w:eastAsia="Aptos"/>
                <w:b w:val="0"/>
                <w:sz w:val="18"/>
              </w:rPr>
              <w:t>04_compare_vix_benchmarks_v0_7_1_repaired.ipynb</w:t>
            </w:r>
          </w:p>
        </w:tc>
        <w:tc>
          <w:tcPr>
            <w:tcW w:type="dxa" w:w="6624"/>
            <w:vAlign w:val="center"/>
          </w:tcPr>
          <w:p>
            <w:r>
              <w:rPr>
                <w:rFonts w:ascii="Aptos" w:hAnsi="Aptos" w:eastAsia="Aptos"/>
                <w:sz w:val="18"/>
              </w:rPr>
            </w:r>
            <w:r>
              <w:rPr>
                <w:rFonts w:ascii="Aptos" w:hAnsi="Aptos" w:eastAsia="Aptos"/>
                <w:b w:val="0"/>
                <w:sz w:val="18"/>
              </w:rPr>
              <w:t>Final benchmark comparison of repaired 30d/9d custom measures versus Cboe VIX/VIX9D.</w:t>
            </w:r>
          </w:p>
        </w:tc>
      </w:tr>
      <w:tr>
        <w:tc>
          <w:tcPr>
            <w:tcW w:type="dxa" w:w="3600"/>
            <w:vAlign w:val="center"/>
          </w:tcPr>
          <w:p>
            <w:r>
              <w:rPr>
                <w:rFonts w:ascii="Aptos" w:hAnsi="Aptos" w:eastAsia="Aptos"/>
                <w:sz w:val="18"/>
              </w:rPr>
            </w:r>
            <w:r>
              <w:rPr>
                <w:rFonts w:ascii="Aptos" w:hAnsi="Aptos" w:eastAsia="Aptos"/>
                <w:b w:val="0"/>
                <w:sz w:val="18"/>
              </w:rPr>
              <w:t>05_realized_variance_and_vrp_v0_1_clean.ipynb</w:t>
            </w:r>
          </w:p>
        </w:tc>
        <w:tc>
          <w:tcPr>
            <w:tcW w:type="dxa" w:w="6624"/>
            <w:vAlign w:val="center"/>
          </w:tcPr>
          <w:p>
            <w:r>
              <w:rPr>
                <w:rFonts w:ascii="Aptos" w:hAnsi="Aptos" w:eastAsia="Aptos"/>
                <w:sz w:val="18"/>
              </w:rPr>
            </w:r>
            <w:r>
              <w:rPr>
                <w:rFonts w:ascii="Aptos" w:hAnsi="Aptos" w:eastAsia="Aptos"/>
                <w:b w:val="0"/>
                <w:sz w:val="18"/>
              </w:rPr>
              <w:t>Realized-variance, trailing VRP, and SPX RSI preparation using the repaired implied term structure and FRED SPX closes.</w:t>
            </w:r>
          </w:p>
        </w:tc>
      </w:tr>
    </w:tbl>
    <w:p/>
    <w:p>
      <w:pPr>
        <w:pStyle w:val="Heading1"/>
      </w:pPr>
      <w:r>
        <w:t>3. Data sources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r>
              <w:rPr>
                <w:rFonts w:ascii="Aptos" w:hAnsi="Aptos" w:eastAsia="Aptos"/>
                <w:sz w:val="18"/>
              </w:rPr>
            </w:r>
            <w:r>
              <w:rPr>
                <w:rFonts w:ascii="Aptos" w:hAnsi="Aptos" w:eastAsia="Aptos"/>
                <w:b/>
                <w:color w:val="FFFFFF"/>
                <w:sz w:val="18"/>
              </w:rPr>
              <w:t>Source</w:t>
            </w:r>
          </w:p>
        </w:tc>
        <w:tc>
          <w:tcPr>
            <w:tcW w:type="dxa" w:w="4320"/>
            <w:vAlign w:val="center"/>
            <w:shd w:fill="1F4E79"/>
          </w:tcPr>
          <w:p>
            <w:r>
              <w:rPr>
                <w:rFonts w:ascii="Aptos" w:hAnsi="Aptos" w:eastAsia="Aptos"/>
                <w:sz w:val="18"/>
              </w:rPr>
            </w:r>
            <w:r>
              <w:rPr>
                <w:rFonts w:ascii="Aptos" w:hAnsi="Aptos" w:eastAsia="Aptos"/>
                <w:b/>
                <w:color w:val="FFFFFF"/>
                <w:sz w:val="18"/>
              </w:rPr>
              <w:t>Used for</w:t>
            </w:r>
          </w:p>
        </w:tc>
        <w:tc>
          <w:tcPr>
            <w:tcW w:type="dxa" w:w="3600"/>
            <w:vAlign w:val="center"/>
            <w:shd w:fill="1F4E79"/>
          </w:tcPr>
          <w:p>
            <w:r>
              <w:rPr>
                <w:rFonts w:ascii="Aptos" w:hAnsi="Aptos" w:eastAsia="Aptos"/>
                <w:sz w:val="18"/>
              </w:rPr>
            </w:r>
            <w:r>
              <w:rPr>
                <w:rFonts w:ascii="Aptos" w:hAnsi="Aptos" w:eastAsia="Aptos"/>
                <w:b/>
                <w:color w:val="FFFFFF"/>
                <w:sz w:val="18"/>
              </w:rPr>
              <w:t>Notes</w:t>
            </w:r>
          </w:p>
        </w:tc>
      </w:tr>
      <w:tr>
        <w:tc>
          <w:tcPr>
            <w:tcW w:type="dxa" w:w="2304"/>
            <w:vAlign w:val="center"/>
          </w:tcPr>
          <w:p>
            <w:r>
              <w:rPr>
                <w:rFonts w:ascii="Aptos" w:hAnsi="Aptos" w:eastAsia="Aptos"/>
                <w:sz w:val="18"/>
              </w:rPr>
            </w:r>
            <w:r>
              <w:rPr>
                <w:rFonts w:ascii="Aptos" w:hAnsi="Aptos" w:eastAsia="Aptos"/>
                <w:b w:val="0"/>
                <w:sz w:val="18"/>
              </w:rPr>
              <w:t>ThetaData SPX/SPXW options</w:t>
            </w:r>
          </w:p>
        </w:tc>
        <w:tc>
          <w:tcPr>
            <w:tcW w:type="dxa" w:w="4320"/>
            <w:vAlign w:val="center"/>
          </w:tcPr>
          <w:p>
            <w:r>
              <w:rPr>
                <w:rFonts w:ascii="Aptos" w:hAnsi="Aptos" w:eastAsia="Aptos"/>
                <w:sz w:val="18"/>
              </w:rPr>
            </w:r>
            <w:r>
              <w:rPr>
                <w:rFonts w:ascii="Aptos" w:hAnsi="Aptos" w:eastAsia="Aptos"/>
                <w:b w:val="0"/>
                <w:sz w:val="18"/>
              </w:rPr>
              <w:t>Full option-chain quote snapshots at market close; basis for VIX-style variance calculation.</w:t>
            </w:r>
          </w:p>
        </w:tc>
        <w:tc>
          <w:tcPr>
            <w:tcW w:type="dxa" w:w="3600"/>
            <w:vAlign w:val="center"/>
          </w:tcPr>
          <w:p>
            <w:r>
              <w:rPr>
                <w:rFonts w:ascii="Aptos" w:hAnsi="Aptos" w:eastAsia="Aptos"/>
                <w:sz w:val="18"/>
              </w:rPr>
            </w:r>
            <w:r>
              <w:rPr>
                <w:rFonts w:ascii="Aptos" w:hAnsi="Aptos" w:eastAsia="Aptos"/>
                <w:b w:val="0"/>
                <w:sz w:val="18"/>
              </w:rPr>
              <w:t>Local ThetaData terminal/API v3 endpoint was used. Chains include SPX monthly options and SPXW weeklies/dailies.</w:t>
            </w:r>
          </w:p>
        </w:tc>
      </w:tr>
      <w:tr>
        <w:tc>
          <w:tcPr>
            <w:tcW w:type="dxa" w:w="2304"/>
            <w:vAlign w:val="center"/>
          </w:tcPr>
          <w:p>
            <w:r>
              <w:rPr>
                <w:rFonts w:ascii="Aptos" w:hAnsi="Aptos" w:eastAsia="Aptos"/>
                <w:sz w:val="18"/>
              </w:rPr>
            </w:r>
            <w:r>
              <w:rPr>
                <w:rFonts w:ascii="Aptos" w:hAnsi="Aptos" w:eastAsia="Aptos"/>
                <w:b w:val="0"/>
                <w:sz w:val="18"/>
              </w:rPr>
              <w:t>pandas_market_calendars / XNYS</w:t>
            </w:r>
          </w:p>
        </w:tc>
        <w:tc>
          <w:tcPr>
            <w:tcW w:type="dxa" w:w="4320"/>
            <w:vAlign w:val="center"/>
          </w:tcPr>
          <w:p>
            <w:r>
              <w:rPr>
                <w:rFonts w:ascii="Aptos" w:hAnsi="Aptos" w:eastAsia="Aptos"/>
                <w:sz w:val="18"/>
              </w:rPr>
            </w:r>
            <w:r>
              <w:rPr>
                <w:rFonts w:ascii="Aptos" w:hAnsi="Aptos" w:eastAsia="Aptos"/>
                <w:b w:val="0"/>
                <w:sz w:val="18"/>
              </w:rPr>
              <w:t>Trading calendar, holiday handling, and actual market-close time.</w:t>
            </w:r>
          </w:p>
        </w:tc>
        <w:tc>
          <w:tcPr>
            <w:tcW w:type="dxa" w:w="3600"/>
            <w:vAlign w:val="center"/>
          </w:tcPr>
          <w:p>
            <w:r>
              <w:rPr>
                <w:rFonts w:ascii="Aptos" w:hAnsi="Aptos" w:eastAsia="Aptos"/>
                <w:sz w:val="18"/>
              </w:rPr>
            </w:r>
            <w:r>
              <w:rPr>
                <w:rFonts w:ascii="Aptos" w:hAnsi="Aptos" w:eastAsia="Aptos"/>
                <w:b w:val="0"/>
                <w:sz w:val="18"/>
              </w:rPr>
              <w:t>Used to avoid naïve weekday assumptions and to handle early closes.</w:t>
            </w:r>
          </w:p>
        </w:tc>
      </w:tr>
      <w:tr>
        <w:tc>
          <w:tcPr>
            <w:tcW w:type="dxa" w:w="2304"/>
            <w:vAlign w:val="center"/>
          </w:tcPr>
          <w:p>
            <w:r>
              <w:rPr>
                <w:rFonts w:ascii="Aptos" w:hAnsi="Aptos" w:eastAsia="Aptos"/>
                <w:sz w:val="18"/>
              </w:rPr>
            </w:r>
            <w:r>
              <w:rPr>
                <w:rFonts w:ascii="Aptos" w:hAnsi="Aptos" w:eastAsia="Aptos"/>
                <w:b w:val="0"/>
                <w:sz w:val="18"/>
              </w:rPr>
              <w:t>FRED SOFR</w:t>
            </w:r>
          </w:p>
        </w:tc>
        <w:tc>
          <w:tcPr>
            <w:tcW w:type="dxa" w:w="4320"/>
            <w:vAlign w:val="center"/>
          </w:tcPr>
          <w:p>
            <w:r>
              <w:rPr>
                <w:rFonts w:ascii="Aptos" w:hAnsi="Aptos" w:eastAsia="Aptos"/>
                <w:sz w:val="18"/>
              </w:rPr>
            </w:r>
            <w:r>
              <w:rPr>
                <w:rFonts w:ascii="Aptos" w:hAnsi="Aptos" w:eastAsia="Aptos"/>
                <w:b w:val="0"/>
                <w:sz w:val="18"/>
              </w:rPr>
              <w:t>Risk-free rate in the VIX-style variance formula.</w:t>
            </w:r>
          </w:p>
        </w:tc>
        <w:tc>
          <w:tcPr>
            <w:tcW w:type="dxa" w:w="3600"/>
            <w:vAlign w:val="center"/>
          </w:tcPr>
          <w:p>
            <w:r>
              <w:rPr>
                <w:rFonts w:ascii="Aptos" w:hAnsi="Aptos" w:eastAsia="Aptos"/>
                <w:sz w:val="18"/>
              </w:rPr>
            </w:r>
            <w:r>
              <w:rPr>
                <w:rFonts w:ascii="Aptos" w:hAnsi="Aptos" w:eastAsia="Aptos"/>
                <w:b w:val="0"/>
                <w:sz w:val="18"/>
              </w:rPr>
              <w:t>SOFR is pulled from FRED, cached locally, converted from percent to decimal, and carried forward from the most recent available observation.</w:t>
            </w:r>
          </w:p>
        </w:tc>
      </w:tr>
      <w:tr>
        <w:tc>
          <w:tcPr>
            <w:tcW w:type="dxa" w:w="2304"/>
            <w:vAlign w:val="center"/>
          </w:tcPr>
          <w:p>
            <w:r>
              <w:rPr>
                <w:rFonts w:ascii="Aptos" w:hAnsi="Aptos" w:eastAsia="Aptos"/>
                <w:sz w:val="18"/>
              </w:rPr>
            </w:r>
            <w:r>
              <w:rPr>
                <w:rFonts w:ascii="Aptos" w:hAnsi="Aptos" w:eastAsia="Aptos"/>
                <w:b w:val="0"/>
                <w:sz w:val="18"/>
              </w:rPr>
              <w:t>Cboe VIX history</w:t>
            </w:r>
          </w:p>
        </w:tc>
        <w:tc>
          <w:tcPr>
            <w:tcW w:type="dxa" w:w="4320"/>
            <w:vAlign w:val="center"/>
          </w:tcPr>
          <w:p>
            <w:r>
              <w:rPr>
                <w:rFonts w:ascii="Aptos" w:hAnsi="Aptos" w:eastAsia="Aptos"/>
                <w:sz w:val="18"/>
              </w:rPr>
            </w:r>
            <w:r>
              <w:rPr>
                <w:rFonts w:ascii="Aptos" w:hAnsi="Aptos" w:eastAsia="Aptos"/>
                <w:b w:val="0"/>
                <w:sz w:val="18"/>
              </w:rPr>
              <w:t>Benchmark and repair anchor for the 30d custom VIX-style measure.</w:t>
            </w:r>
          </w:p>
        </w:tc>
        <w:tc>
          <w:tcPr>
            <w:tcW w:type="dxa" w:w="3600"/>
            <w:vAlign w:val="center"/>
          </w:tcPr>
          <w:p>
            <w:r>
              <w:rPr>
                <w:rFonts w:ascii="Aptos" w:hAnsi="Aptos" w:eastAsia="Aptos"/>
                <w:sz w:val="18"/>
              </w:rPr>
            </w:r>
            <w:r>
              <w:rPr>
                <w:rFonts w:ascii="Aptos" w:hAnsi="Aptos" w:eastAsia="Aptos"/>
                <w:b w:val="0"/>
                <w:sz w:val="18"/>
              </w:rPr>
              <w:t>Stored locally under data/external/.</w:t>
            </w:r>
          </w:p>
        </w:tc>
      </w:tr>
      <w:tr>
        <w:tc>
          <w:tcPr>
            <w:tcW w:type="dxa" w:w="2304"/>
            <w:vAlign w:val="center"/>
          </w:tcPr>
          <w:p>
            <w:r>
              <w:rPr>
                <w:rFonts w:ascii="Aptos" w:hAnsi="Aptos" w:eastAsia="Aptos"/>
                <w:sz w:val="18"/>
              </w:rPr>
            </w:r>
            <w:r>
              <w:rPr>
                <w:rFonts w:ascii="Aptos" w:hAnsi="Aptos" w:eastAsia="Aptos"/>
                <w:b w:val="0"/>
                <w:sz w:val="18"/>
              </w:rPr>
              <w:t>Cboe VIX9D history</w:t>
            </w:r>
          </w:p>
        </w:tc>
        <w:tc>
          <w:tcPr>
            <w:tcW w:type="dxa" w:w="4320"/>
            <w:vAlign w:val="center"/>
          </w:tcPr>
          <w:p>
            <w:r>
              <w:rPr>
                <w:rFonts w:ascii="Aptos" w:hAnsi="Aptos" w:eastAsia="Aptos"/>
                <w:sz w:val="18"/>
              </w:rPr>
            </w:r>
            <w:r>
              <w:rPr>
                <w:rFonts w:ascii="Aptos" w:hAnsi="Aptos" w:eastAsia="Aptos"/>
                <w:b w:val="0"/>
                <w:sz w:val="18"/>
              </w:rPr>
              <w:t>Benchmark and repair anchor for the 9d custom VIX-style measure.</w:t>
            </w:r>
          </w:p>
        </w:tc>
        <w:tc>
          <w:tcPr>
            <w:tcW w:type="dxa" w:w="3600"/>
            <w:vAlign w:val="center"/>
          </w:tcPr>
          <w:p>
            <w:r>
              <w:rPr>
                <w:rFonts w:ascii="Aptos" w:hAnsi="Aptos" w:eastAsia="Aptos"/>
                <w:sz w:val="18"/>
              </w:rPr>
            </w:r>
            <w:r>
              <w:rPr>
                <w:rFonts w:ascii="Aptos" w:hAnsi="Aptos" w:eastAsia="Aptos"/>
                <w:b w:val="0"/>
                <w:sz w:val="18"/>
              </w:rPr>
              <w:t>Stored locally under data/external/.</w:t>
            </w:r>
          </w:p>
        </w:tc>
      </w:tr>
      <w:tr>
        <w:tc>
          <w:tcPr>
            <w:tcW w:type="dxa" w:w="2304"/>
            <w:vAlign w:val="center"/>
          </w:tcPr>
          <w:p>
            <w:r>
              <w:rPr>
                <w:rFonts w:ascii="Aptos" w:hAnsi="Aptos" w:eastAsia="Aptos"/>
                <w:sz w:val="18"/>
              </w:rPr>
            </w:r>
            <w:r>
              <w:rPr>
                <w:rFonts w:ascii="Aptos" w:hAnsi="Aptos" w:eastAsia="Aptos"/>
                <w:b w:val="0"/>
                <w:sz w:val="18"/>
              </w:rPr>
              <w:t>FRED SPX / SP500 daily closes</w:t>
            </w:r>
          </w:p>
        </w:tc>
        <w:tc>
          <w:tcPr>
            <w:tcW w:type="dxa" w:w="4320"/>
            <w:vAlign w:val="center"/>
          </w:tcPr>
          <w:p>
            <w:r>
              <w:rPr>
                <w:rFonts w:ascii="Aptos" w:hAnsi="Aptos" w:eastAsia="Aptos"/>
                <w:sz w:val="18"/>
              </w:rPr>
            </w:r>
            <w:r>
              <w:rPr>
                <w:rFonts w:ascii="Aptos" w:hAnsi="Aptos" w:eastAsia="Aptos"/>
                <w:b w:val="0"/>
                <w:sz w:val="18"/>
              </w:rPr>
              <w:t>Daily SPX close, log returns, realized variance, VRP, and RSI.</w:t>
            </w:r>
          </w:p>
        </w:tc>
        <w:tc>
          <w:tcPr>
            <w:tcW w:type="dxa" w:w="3600"/>
            <w:vAlign w:val="center"/>
          </w:tcPr>
          <w:p>
            <w:r>
              <w:rPr>
                <w:rFonts w:ascii="Aptos" w:hAnsi="Aptos" w:eastAsia="Aptos"/>
                <w:sz w:val="18"/>
              </w:rPr>
            </w:r>
            <w:r>
              <w:rPr>
                <w:rFonts w:ascii="Aptos" w:hAnsi="Aptos" w:eastAsia="Aptos"/>
                <w:b w:val="0"/>
                <w:sz w:val="18"/>
              </w:rPr>
              <w:t>Used downstream after implied term structure is built.</w:t>
            </w:r>
          </w:p>
        </w:tc>
      </w:tr>
    </w:tbl>
    <w:p/>
    <w:p>
      <w:pPr>
        <w:pStyle w:val="Heading1"/>
      </w:pPr>
      <w:r>
        <w:t>4. Storage layout and file formats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F4E79"/>
          </w:tcPr>
          <w:p>
            <w:r>
              <w:rPr>
                <w:rFonts w:ascii="Aptos" w:hAnsi="Aptos" w:eastAsia="Aptos"/>
                <w:sz w:val="18"/>
              </w:rPr>
            </w:r>
            <w:r>
              <w:rPr>
                <w:rFonts w:ascii="Aptos" w:hAnsi="Aptos" w:eastAsia="Aptos"/>
                <w:b/>
                <w:color w:val="FFFFFF"/>
                <w:sz w:val="18"/>
              </w:rPr>
              <w:t>Layer</w:t>
            </w:r>
          </w:p>
        </w:tc>
        <w:tc>
          <w:tcPr>
            <w:tcW w:type="dxa" w:w="3744"/>
            <w:vAlign w:val="center"/>
            <w:shd w:fill="1F4E79"/>
          </w:tcPr>
          <w:p>
            <w:r>
              <w:rPr>
                <w:rFonts w:ascii="Aptos" w:hAnsi="Aptos" w:eastAsia="Aptos"/>
                <w:sz w:val="18"/>
              </w:rPr>
            </w:r>
            <w:r>
              <w:rPr>
                <w:rFonts w:ascii="Aptos" w:hAnsi="Aptos" w:eastAsia="Aptos"/>
                <w:b/>
                <w:color w:val="FFFFFF"/>
                <w:sz w:val="18"/>
              </w:rPr>
              <w:t>Path</w:t>
            </w:r>
          </w:p>
        </w:tc>
        <w:tc>
          <w:tcPr>
            <w:tcW w:type="dxa" w:w="4608"/>
            <w:vAlign w:val="center"/>
            <w:shd w:fill="1F4E79"/>
          </w:tcPr>
          <w:p>
            <w:r>
              <w:rPr>
                <w:rFonts w:ascii="Aptos" w:hAnsi="Aptos" w:eastAsia="Aptos"/>
                <w:sz w:val="18"/>
              </w:rPr>
            </w:r>
            <w:r>
              <w:rPr>
                <w:rFonts w:ascii="Aptos" w:hAnsi="Aptos" w:eastAsia="Aptos"/>
                <w:b/>
                <w:color w:val="FFFFFF"/>
                <w:sz w:val="18"/>
              </w:rPr>
              <w:t>Format / contents</w:t>
            </w:r>
          </w:p>
        </w:tc>
      </w:tr>
      <w:tr>
        <w:tc>
          <w:tcPr>
            <w:tcW w:type="dxa" w:w="2088"/>
            <w:vAlign w:val="center"/>
          </w:tcPr>
          <w:p>
            <w:r>
              <w:rPr>
                <w:rFonts w:ascii="Aptos" w:hAnsi="Aptos" w:eastAsia="Aptos"/>
                <w:sz w:val="18"/>
              </w:rPr>
            </w:r>
            <w:r>
              <w:rPr>
                <w:rFonts w:ascii="Aptos" w:hAnsi="Aptos" w:eastAsia="Aptos"/>
                <w:b w:val="0"/>
                <w:sz w:val="18"/>
              </w:rPr>
              <w:t>Raw option-chain cache</w:t>
            </w:r>
          </w:p>
        </w:tc>
        <w:tc>
          <w:tcPr>
            <w:tcW w:type="dxa" w:w="3744"/>
            <w:vAlign w:val="center"/>
          </w:tcPr>
          <w:p>
            <w:r>
              <w:rPr>
                <w:rFonts w:ascii="Aptos" w:hAnsi="Aptos" w:eastAsia="Aptos"/>
                <w:sz w:val="18"/>
              </w:rPr>
            </w:r>
            <w:r>
              <w:rPr>
                <w:rFonts w:ascii="Aptos" w:hAnsi="Aptos" w:eastAsia="Aptos"/>
                <w:b w:val="0"/>
                <w:sz w:val="18"/>
              </w:rPr>
              <w:t>data/raw/thetadata_chains/</w:t>
            </w:r>
          </w:p>
        </w:tc>
        <w:tc>
          <w:tcPr>
            <w:tcW w:type="dxa" w:w="4608"/>
            <w:vAlign w:val="center"/>
          </w:tcPr>
          <w:p>
            <w:r>
              <w:rPr>
                <w:rFonts w:ascii="Aptos" w:hAnsi="Aptos" w:eastAsia="Aptos"/>
                <w:sz w:val="18"/>
              </w:rPr>
            </w:r>
            <w:r>
              <w:rPr>
                <w:rFonts w:ascii="Aptos" w:hAnsi="Aptos" w:eastAsia="Aptos"/>
                <w:b w:val="0"/>
                <w:sz w:val="18"/>
              </w:rPr>
              <w:t>Pickled pandas DataFrame per root/trade_date/expiration/quote_time. Naming convention: ROOT_YYYYMMDD_EXPIRATION_HHMMSS.pkl. Example: SPXW_20260625_20260731_160000.pkl.</w:t>
            </w:r>
          </w:p>
        </w:tc>
      </w:tr>
      <w:tr>
        <w:tc>
          <w:tcPr>
            <w:tcW w:type="dxa" w:w="2088"/>
            <w:vAlign w:val="center"/>
          </w:tcPr>
          <w:p>
            <w:r>
              <w:rPr>
                <w:rFonts w:ascii="Aptos" w:hAnsi="Aptos" w:eastAsia="Aptos"/>
                <w:sz w:val="18"/>
              </w:rPr>
            </w:r>
            <w:r>
              <w:rPr>
                <w:rFonts w:ascii="Aptos" w:hAnsi="Aptos" w:eastAsia="Aptos"/>
                <w:b w:val="0"/>
                <w:sz w:val="18"/>
              </w:rPr>
              <w:t>External rate data</w:t>
            </w:r>
          </w:p>
        </w:tc>
        <w:tc>
          <w:tcPr>
            <w:tcW w:type="dxa" w:w="3744"/>
            <w:vAlign w:val="center"/>
          </w:tcPr>
          <w:p>
            <w:r>
              <w:rPr>
                <w:rFonts w:ascii="Aptos" w:hAnsi="Aptos" w:eastAsia="Aptos"/>
                <w:sz w:val="18"/>
              </w:rPr>
            </w:r>
            <w:r>
              <w:rPr>
                <w:rFonts w:ascii="Aptos" w:hAnsi="Aptos" w:eastAsia="Aptos"/>
                <w:b w:val="0"/>
                <w:sz w:val="18"/>
              </w:rPr>
              <w:t>data/external/fred_sofr_history.csv</w:t>
            </w:r>
          </w:p>
        </w:tc>
        <w:tc>
          <w:tcPr>
            <w:tcW w:type="dxa" w:w="4608"/>
            <w:vAlign w:val="center"/>
          </w:tcPr>
          <w:p>
            <w:r>
              <w:rPr>
                <w:rFonts w:ascii="Aptos" w:hAnsi="Aptos" w:eastAsia="Aptos"/>
                <w:sz w:val="18"/>
              </w:rPr>
            </w:r>
            <w:r>
              <w:rPr>
                <w:rFonts w:ascii="Aptos" w:hAnsi="Aptos" w:eastAsia="Aptos"/>
                <w:b w:val="0"/>
                <w:sz w:val="18"/>
              </w:rPr>
              <w:t>FRED SOFR history, stored as date, percent rate, and decimal rate.</w:t>
            </w:r>
          </w:p>
        </w:tc>
      </w:tr>
      <w:tr>
        <w:tc>
          <w:tcPr>
            <w:tcW w:type="dxa" w:w="2088"/>
            <w:vAlign w:val="center"/>
          </w:tcPr>
          <w:p>
            <w:r>
              <w:rPr>
                <w:rFonts w:ascii="Aptos" w:hAnsi="Aptos" w:eastAsia="Aptos"/>
                <w:sz w:val="18"/>
              </w:rPr>
            </w:r>
            <w:r>
              <w:rPr>
                <w:rFonts w:ascii="Aptos" w:hAnsi="Aptos" w:eastAsia="Aptos"/>
                <w:b w:val="0"/>
                <w:sz w:val="18"/>
              </w:rPr>
              <w:t>External benchmark data</w:t>
            </w:r>
          </w:p>
        </w:tc>
        <w:tc>
          <w:tcPr>
            <w:tcW w:type="dxa" w:w="3744"/>
            <w:vAlign w:val="center"/>
          </w:tcPr>
          <w:p>
            <w:r>
              <w:rPr>
                <w:rFonts w:ascii="Aptos" w:hAnsi="Aptos" w:eastAsia="Aptos"/>
                <w:sz w:val="18"/>
              </w:rPr>
            </w:r>
            <w:r>
              <w:rPr>
                <w:rFonts w:ascii="Aptos" w:hAnsi="Aptos" w:eastAsia="Aptos"/>
                <w:b w:val="0"/>
                <w:sz w:val="18"/>
              </w:rPr>
              <w:t>data/external/cboe_vix_history.csv; data/external/cboe_vix9d_history.csv</w:t>
            </w:r>
          </w:p>
        </w:tc>
        <w:tc>
          <w:tcPr>
            <w:tcW w:type="dxa" w:w="4608"/>
            <w:vAlign w:val="center"/>
          </w:tcPr>
          <w:p>
            <w:r>
              <w:rPr>
                <w:rFonts w:ascii="Aptos" w:hAnsi="Aptos" w:eastAsia="Aptos"/>
                <w:sz w:val="18"/>
              </w:rPr>
            </w:r>
            <w:r>
              <w:rPr>
                <w:rFonts w:ascii="Aptos" w:hAnsi="Aptos" w:eastAsia="Aptos"/>
                <w:b w:val="0"/>
                <w:sz w:val="18"/>
              </w:rPr>
              <w:t>Cboe benchmark close histories used for comparison and repair anchoring.</w:t>
            </w:r>
          </w:p>
        </w:tc>
      </w:tr>
      <w:tr>
        <w:tc>
          <w:tcPr>
            <w:tcW w:type="dxa" w:w="2088"/>
            <w:vAlign w:val="center"/>
          </w:tcPr>
          <w:p>
            <w:r>
              <w:rPr>
                <w:rFonts w:ascii="Aptos" w:hAnsi="Aptos" w:eastAsia="Aptos"/>
                <w:sz w:val="18"/>
              </w:rPr>
            </w:r>
            <w:r>
              <w:rPr>
                <w:rFonts w:ascii="Aptos" w:hAnsi="Aptos" w:eastAsia="Aptos"/>
                <w:b w:val="0"/>
                <w:sz w:val="18"/>
              </w:rPr>
              <w:t>External SPX close data</w:t>
            </w:r>
          </w:p>
        </w:tc>
        <w:tc>
          <w:tcPr>
            <w:tcW w:type="dxa" w:w="3744"/>
            <w:vAlign w:val="center"/>
          </w:tcPr>
          <w:p>
            <w:r>
              <w:rPr>
                <w:rFonts w:ascii="Aptos" w:hAnsi="Aptos" w:eastAsia="Aptos"/>
                <w:sz w:val="18"/>
              </w:rPr>
            </w:r>
            <w:r>
              <w:rPr>
                <w:rFonts w:ascii="Aptos" w:hAnsi="Aptos" w:eastAsia="Aptos"/>
                <w:b w:val="0"/>
                <w:sz w:val="18"/>
              </w:rPr>
              <w:t>data/external/spx_index_daily_fred.csv; data/external/spx_index_daily_fred_normalized.csv</w:t>
            </w:r>
          </w:p>
        </w:tc>
        <w:tc>
          <w:tcPr>
            <w:tcW w:type="dxa" w:w="4608"/>
            <w:vAlign w:val="center"/>
          </w:tcPr>
          <w:p>
            <w:r>
              <w:rPr>
                <w:rFonts w:ascii="Aptos" w:hAnsi="Aptos" w:eastAsia="Aptos"/>
                <w:sz w:val="18"/>
              </w:rPr>
            </w:r>
            <w:r>
              <w:rPr>
                <w:rFonts w:ascii="Aptos" w:hAnsi="Aptos" w:eastAsia="Aptos"/>
                <w:b w:val="0"/>
                <w:sz w:val="18"/>
              </w:rPr>
              <w:t>FRED SPX daily close history and normalized date/return file.</w:t>
            </w:r>
          </w:p>
        </w:tc>
      </w:tr>
      <w:tr>
        <w:tc>
          <w:tcPr>
            <w:tcW w:type="dxa" w:w="2088"/>
            <w:vAlign w:val="center"/>
          </w:tcPr>
          <w:p>
            <w:r>
              <w:rPr>
                <w:rFonts w:ascii="Aptos" w:hAnsi="Aptos" w:eastAsia="Aptos"/>
                <w:sz w:val="18"/>
              </w:rPr>
            </w:r>
            <w:r>
              <w:rPr>
                <w:rFonts w:ascii="Aptos" w:hAnsi="Aptos" w:eastAsia="Aptos"/>
                <w:b w:val="0"/>
                <w:sz w:val="18"/>
              </w:rPr>
              <w:t>Raw v0.7 term structure</w:t>
            </w:r>
          </w:p>
        </w:tc>
        <w:tc>
          <w:tcPr>
            <w:tcW w:type="dxa" w:w="3744"/>
            <w:vAlign w:val="center"/>
          </w:tcPr>
          <w:p>
            <w:r>
              <w:rPr>
                <w:rFonts w:ascii="Aptos" w:hAnsi="Aptos" w:eastAsia="Aptos"/>
                <w:sz w:val="18"/>
              </w:rPr>
            </w:r>
            <w:r>
              <w:rPr>
                <w:rFonts w:ascii="Aptos" w:hAnsi="Aptos" w:eastAsia="Aptos"/>
                <w:b w:val="0"/>
                <w:sz w:val="18"/>
              </w:rPr>
              <w:t>data/processed/vix_term_structure_history.csv; data/processed/vix_term_structure_history.parquet</w:t>
            </w:r>
          </w:p>
        </w:tc>
        <w:tc>
          <w:tcPr>
            <w:tcW w:type="dxa" w:w="4608"/>
            <w:vAlign w:val="center"/>
          </w:tcPr>
          <w:p>
            <w:r>
              <w:rPr>
                <w:rFonts w:ascii="Aptos" w:hAnsi="Aptos" w:eastAsia="Aptos"/>
                <w:sz w:val="18"/>
              </w:rPr>
            </w:r>
            <w:r>
              <w:rPr>
                <w:rFonts w:ascii="Aptos" w:hAnsi="Aptos" w:eastAsia="Aptos"/>
                <w:b w:val="0"/>
                <w:sz w:val="18"/>
              </w:rPr>
              <w:t>Initial v0.7 daily date-by-tenor implied variance history.</w:t>
            </w:r>
          </w:p>
        </w:tc>
      </w:tr>
      <w:tr>
        <w:tc>
          <w:tcPr>
            <w:tcW w:type="dxa" w:w="2088"/>
            <w:vAlign w:val="center"/>
          </w:tcPr>
          <w:p>
            <w:r>
              <w:rPr>
                <w:rFonts w:ascii="Aptos" w:hAnsi="Aptos" w:eastAsia="Aptos"/>
                <w:sz w:val="18"/>
              </w:rPr>
            </w:r>
            <w:r>
              <w:rPr>
                <w:rFonts w:ascii="Aptos" w:hAnsi="Aptos" w:eastAsia="Aptos"/>
                <w:b w:val="0"/>
                <w:sz w:val="18"/>
              </w:rPr>
              <w:t>Final repaired term structure</w:t>
            </w:r>
          </w:p>
        </w:tc>
        <w:tc>
          <w:tcPr>
            <w:tcW w:type="dxa" w:w="3744"/>
            <w:vAlign w:val="center"/>
          </w:tcPr>
          <w:p>
            <w:r>
              <w:rPr>
                <w:rFonts w:ascii="Aptos" w:hAnsi="Aptos" w:eastAsia="Aptos"/>
                <w:sz w:val="18"/>
              </w:rPr>
            </w:r>
            <w:r>
              <w:rPr>
                <w:rFonts w:ascii="Aptos" w:hAnsi="Aptos" w:eastAsia="Aptos"/>
                <w:b w:val="0"/>
                <w:sz w:val="18"/>
              </w:rPr>
              <w:t>data/processed/vix_term_structure_history_v0_7_1_repaired_total_variance.csv; .parquet</w:t>
            </w:r>
          </w:p>
        </w:tc>
        <w:tc>
          <w:tcPr>
            <w:tcW w:type="dxa" w:w="4608"/>
            <w:vAlign w:val="center"/>
          </w:tcPr>
          <w:p>
            <w:r>
              <w:rPr>
                <w:rFonts w:ascii="Aptos" w:hAnsi="Aptos" w:eastAsia="Aptos"/>
                <w:sz w:val="18"/>
              </w:rPr>
            </w:r>
            <w:r>
              <w:rPr>
                <w:rFonts w:ascii="Aptos" w:hAnsi="Aptos" w:eastAsia="Aptos"/>
                <w:b w:val="0"/>
                <w:sz w:val="18"/>
              </w:rPr>
              <w:t>Canonical implied-variance panel used downstream. Long format: one row per trade_date and target_days.</w:t>
            </w:r>
          </w:p>
        </w:tc>
      </w:tr>
      <w:tr>
        <w:tc>
          <w:tcPr>
            <w:tcW w:type="dxa" w:w="2088"/>
            <w:vAlign w:val="center"/>
          </w:tcPr>
          <w:p>
            <w:r>
              <w:rPr>
                <w:rFonts w:ascii="Aptos" w:hAnsi="Aptos" w:eastAsia="Aptos"/>
                <w:sz w:val="18"/>
              </w:rPr>
            </w:r>
            <w:r>
              <w:rPr>
                <w:rFonts w:ascii="Aptos" w:hAnsi="Aptos" w:eastAsia="Aptos"/>
                <w:b w:val="0"/>
                <w:sz w:val="18"/>
              </w:rPr>
              <w:t>Realized variance panel</w:t>
            </w:r>
          </w:p>
        </w:tc>
        <w:tc>
          <w:tcPr>
            <w:tcW w:type="dxa" w:w="3744"/>
            <w:vAlign w:val="center"/>
          </w:tcPr>
          <w:p>
            <w:r>
              <w:rPr>
                <w:rFonts w:ascii="Aptos" w:hAnsi="Aptos" w:eastAsia="Aptos"/>
                <w:sz w:val="18"/>
              </w:rPr>
            </w:r>
            <w:r>
              <w:rPr>
                <w:rFonts w:ascii="Aptos" w:hAnsi="Aptos" w:eastAsia="Aptos"/>
                <w:b w:val="0"/>
                <w:sz w:val="18"/>
              </w:rPr>
              <w:t>data/processed/realized_variance_panel_v0_1.csv; .parquet</w:t>
            </w:r>
          </w:p>
        </w:tc>
        <w:tc>
          <w:tcPr>
            <w:tcW w:type="dxa" w:w="4608"/>
            <w:vAlign w:val="center"/>
          </w:tcPr>
          <w:p>
            <w:r>
              <w:rPr>
                <w:rFonts w:ascii="Aptos" w:hAnsi="Aptos" w:eastAsia="Aptos"/>
                <w:sz w:val="18"/>
              </w:rPr>
            </w:r>
            <w:r>
              <w:rPr>
                <w:rFonts w:ascii="Aptos" w:hAnsi="Aptos" w:eastAsia="Aptos"/>
                <w:b w:val="0"/>
                <w:sz w:val="18"/>
              </w:rPr>
              <w:t>Trailing and forward realized variance/volatility by date and target tenor.</w:t>
            </w:r>
          </w:p>
        </w:tc>
      </w:tr>
      <w:tr>
        <w:tc>
          <w:tcPr>
            <w:tcW w:type="dxa" w:w="2088"/>
            <w:vAlign w:val="center"/>
          </w:tcPr>
          <w:p>
            <w:r>
              <w:rPr>
                <w:rFonts w:ascii="Aptos" w:hAnsi="Aptos" w:eastAsia="Aptos"/>
                <w:sz w:val="18"/>
              </w:rPr>
            </w:r>
            <w:r>
              <w:rPr>
                <w:rFonts w:ascii="Aptos" w:hAnsi="Aptos" w:eastAsia="Aptos"/>
                <w:b w:val="0"/>
                <w:sz w:val="18"/>
              </w:rPr>
              <w:t>VRP panel</w:t>
            </w:r>
          </w:p>
        </w:tc>
        <w:tc>
          <w:tcPr>
            <w:tcW w:type="dxa" w:w="3744"/>
            <w:vAlign w:val="center"/>
          </w:tcPr>
          <w:p>
            <w:r>
              <w:rPr>
                <w:rFonts w:ascii="Aptos" w:hAnsi="Aptos" w:eastAsia="Aptos"/>
                <w:sz w:val="18"/>
              </w:rPr>
            </w:r>
            <w:r>
              <w:rPr>
                <w:rFonts w:ascii="Aptos" w:hAnsi="Aptos" w:eastAsia="Aptos"/>
                <w:b w:val="0"/>
                <w:sz w:val="18"/>
              </w:rPr>
              <w:t>data/processed/vrp_panel_v0_1.csv; .parquet</w:t>
            </w:r>
          </w:p>
        </w:tc>
        <w:tc>
          <w:tcPr>
            <w:tcW w:type="dxa" w:w="4608"/>
            <w:vAlign w:val="center"/>
          </w:tcPr>
          <w:p>
            <w:r>
              <w:rPr>
                <w:rFonts w:ascii="Aptos" w:hAnsi="Aptos" w:eastAsia="Aptos"/>
                <w:sz w:val="18"/>
              </w:rPr>
            </w:r>
            <w:r>
              <w:rPr>
                <w:rFonts w:ascii="Aptos" w:hAnsi="Aptos" w:eastAsia="Aptos"/>
                <w:b w:val="0"/>
                <w:sz w:val="18"/>
              </w:rPr>
              <w:t>Implied-vs-realized variance ratios, log ratios, primary VRP signal, and SPX RSI.</w:t>
            </w:r>
          </w:p>
        </w:tc>
      </w:tr>
      <w:tr>
        <w:tc>
          <w:tcPr>
            <w:tcW w:type="dxa" w:w="2088"/>
            <w:vAlign w:val="center"/>
          </w:tcPr>
          <w:p>
            <w:r>
              <w:rPr>
                <w:rFonts w:ascii="Aptos" w:hAnsi="Aptos" w:eastAsia="Aptos"/>
                <w:sz w:val="18"/>
              </w:rPr>
            </w:r>
            <w:r>
              <w:rPr>
                <w:rFonts w:ascii="Aptos" w:hAnsi="Aptos" w:eastAsia="Aptos"/>
                <w:b w:val="0"/>
                <w:sz w:val="18"/>
              </w:rPr>
              <w:t>Audit outputs</w:t>
            </w:r>
          </w:p>
        </w:tc>
        <w:tc>
          <w:tcPr>
            <w:tcW w:type="dxa" w:w="3744"/>
            <w:vAlign w:val="center"/>
          </w:tcPr>
          <w:p>
            <w:r>
              <w:rPr>
                <w:rFonts w:ascii="Aptos" w:hAnsi="Aptos" w:eastAsia="Aptos"/>
                <w:sz w:val="18"/>
              </w:rPr>
            </w:r>
            <w:r>
              <w:rPr>
                <w:rFonts w:ascii="Aptos" w:hAnsi="Aptos" w:eastAsia="Aptos"/>
                <w:b w:val="0"/>
                <w:sz w:val="18"/>
              </w:rPr>
              <w:t>data/audit/</w:t>
            </w:r>
          </w:p>
        </w:tc>
        <w:tc>
          <w:tcPr>
            <w:tcW w:type="dxa" w:w="4608"/>
            <w:vAlign w:val="center"/>
          </w:tcPr>
          <w:p>
            <w:r>
              <w:rPr>
                <w:rFonts w:ascii="Aptos" w:hAnsi="Aptos" w:eastAsia="Aptos"/>
                <w:sz w:val="18"/>
              </w:rPr>
            </w:r>
            <w:r>
              <w:rPr>
                <w:rFonts w:ascii="Aptos" w:hAnsi="Aptos" w:eastAsia="Aptos"/>
                <w:b w:val="0"/>
                <w:sz w:val="18"/>
              </w:rPr>
              <w:t>Repair logs, curve QA, daily QA, benchmark comparisons, and benchmark summary statistics.</w:t>
            </w:r>
          </w:p>
        </w:tc>
      </w:tr>
    </w:tbl>
    <w:p/>
    <w:p>
      <w:r>
        <w:rPr>
          <w:b/>
        </w:rPr>
        <w:t xml:space="preserve">Raw chain schema. </w:t>
      </w:r>
      <w:r>
        <w:t>The cached chain files are DataFrames with columns such as root, expiration, strike, right, bid, ask, mid, bid_size, ask_size, bid_exchange, ask_exchange, bid_condition, ask_condition, and timestamp. The right field is normalized to C/P in the VIX builder and to put/call in some downstream inspection code.</w:t>
      </w:r>
    </w:p>
    <w:p>
      <w:r>
        <w:rPr>
          <w:b/>
        </w:rPr>
        <w:t xml:space="preserve">Term-structure schema. </w:t>
      </w:r>
      <w:r>
        <w:t>The repaired term-structure panel is stored in long format with columns including trade_date, target_days, rate_symbol, rate_pct, implied_variance, vix_style_vol, near_root, near_expiration, near_days, near_variance, next_root, next_expiration, next_days, next_variance, methodology_version, expiration_universe, trading_calendar_source, rate_source, option_source, quote_time, market_close_time, quote_time_used, quote_time_offset_minutes, raw_implied_variance, raw_vix_style_vol, is_repaired, repair_method, and source_methodology_version.</w:t>
      </w:r>
    </w:p>
    <w:p>
      <w:pPr>
        <w:pStyle w:val="Heading1"/>
      </w:pPr>
      <w:r>
        <w:t>5. VIX-style variance construction methodology</w:t>
      </w:r>
    </w:p>
    <w:p>
      <w:pPr>
        <w:pStyle w:val="Heading2"/>
      </w:pPr>
      <w:r>
        <w:t>5.1 Quote snapshot and target tenors</w:t>
      </w:r>
    </w:p>
    <w:p>
      <w:pPr>
        <w:pStyle w:val="ListBullet"/>
      </w:pPr>
      <w:r>
        <w:t>The target tenor grid is 9, 12, 15, 18, 21, 24, 27, 30, and 33 calendar days.</w:t>
      </w:r>
    </w:p>
    <w:p>
      <w:pPr>
        <w:pStyle w:val="ListBullet"/>
      </w:pPr>
      <w:r>
        <w:t>For each SPX trading date, the production version uses the actual XNYS market close rather than assuming a fixed 16:00 close. Normal closes use 16:00; early closes use the exchange-calendar close time.</w:t>
      </w:r>
    </w:p>
    <w:p>
      <w:pPr>
        <w:pStyle w:val="ListBullet"/>
      </w:pPr>
      <w:r>
        <w:t>ThetaData is queried for full SPX/SPXW option quote chains at the relevant quote time. The cache prevents repeated vendor calls for the same root/date/expiration/time.</w:t>
      </w:r>
    </w:p>
    <w:p>
      <w:pPr>
        <w:spacing w:before="40" w:after="40"/>
        <w:ind w:left="360"/>
      </w:pPr>
      <w:r>
        <w:rPr>
          <w:rFonts w:ascii="Consolas" w:hAnsi="Consolas" w:eastAsia="Consolas"/>
          <w:sz w:val="18"/>
        </w:rPr>
        <w:t>data/raw/thetadata_chains/{ROOT}_{TRADE_DATE}_{EXPIRATION}_{QUOTE_TIME}.pkl</w:t>
      </w:r>
    </w:p>
    <w:p>
      <w:pPr>
        <w:pStyle w:val="Heading2"/>
      </w:pPr>
      <w:r>
        <w:t>5.2 Expiration universe</w:t>
      </w:r>
    </w:p>
    <w:p>
      <w:pPr>
        <w:pStyle w:val="ListBullet"/>
      </w:pPr>
      <w:r>
        <w:t>The expiration universe is Friday-cycle and holiday-adjusted.</w:t>
      </w:r>
    </w:p>
    <w:p>
      <w:pPr>
        <w:pStyle w:val="ListBullet"/>
      </w:pPr>
      <w:r>
        <w:t>Normal Friday expirations are included only if the expiration is an SPX trading day.</w:t>
      </w:r>
    </w:p>
    <w:p>
      <w:pPr>
        <w:pStyle w:val="ListBullet"/>
      </w:pPr>
      <w:r>
        <w:t>If the calendar Friday is a market holiday, the final SPX trading day before that closed Friday is eligible as the holiday-adjusted Friday-cycle expiration.</w:t>
      </w:r>
    </w:p>
    <w:p>
      <w:pPr>
        <w:pStyle w:val="ListBullet"/>
      </w:pPr>
      <w:r>
        <w:t>Standard monthly AM-settled expirations prefer the SPX root. Weekly/daily PM-settled expirations prefer SPXW. The code falls back where necessary if only one root is available.</w:t>
      </w:r>
    </w:p>
    <w:p>
      <w:pPr>
        <w:pStyle w:val="ListBullet"/>
      </w:pPr>
      <w:r>
        <w:t>Known vendor-specific unavailable chains are treated as explicit data gaps, not methodology exclusions. The process can skip a known unavailable chain and use the next available Friday-cycle expiration to bracket the target tenor.</w:t>
      </w:r>
    </w:p>
    <w:p>
      <w:pPr>
        <w:pStyle w:val="Heading2"/>
      </w:pPr>
      <w:r>
        <w:t>5.3 Minutes to expiration</w:t>
      </w:r>
    </w:p>
    <w:p>
      <w:pPr>
        <w:pStyle w:val="ListBullet"/>
      </w:pPr>
      <w:r>
        <w:t>Minutes to expiration are measured from the quote calculation time to option settlement time.</w:t>
      </w:r>
    </w:p>
    <w:p>
      <w:pPr>
        <w:pStyle w:val="ListBullet"/>
      </w:pPr>
      <w:r>
        <w:t>SPX monthly options are treated as AM-settled at 9:30 ET.</w:t>
      </w:r>
    </w:p>
    <w:p>
      <w:pPr>
        <w:pStyle w:val="ListBullet"/>
      </w:pPr>
      <w:r>
        <w:t>SPXW options are treated as PM-settled at 16:00 ET.</w:t>
      </w:r>
    </w:p>
    <w:p>
      <w:pPr>
        <w:pStyle w:val="ListBullet"/>
      </w:pPr>
      <w:r>
        <w:t>This is why the same calendar expiration can have different effective minutes depending on root and quote time.</w:t>
      </w:r>
    </w:p>
    <w:p>
      <w:pPr>
        <w:pStyle w:val="Heading2"/>
      </w:pPr>
      <w:r>
        <w:t>5.4 Single-expiration VIX-style variance</w:t>
      </w:r>
    </w:p>
    <w:p>
      <w:pPr>
        <w:pStyle w:val="ListBullet"/>
      </w:pPr>
      <w:r>
        <w:t>For each unique root/expiration chain, calls and puts are cleaned, converted to numeric bid/ask/mid fields, deduplicated by strike, and split into call and put tables.</w:t>
      </w:r>
    </w:p>
    <w:p>
      <w:pPr>
        <w:pStyle w:val="ListBullet"/>
      </w:pPr>
      <w:r>
        <w:t>The forward level F is estimated from call-put parity at the strike where the absolute difference between call mid and put mid is smallest. The robust production version excludes zero-mid or invalid quote candidates before choosing the parity strike.</w:t>
      </w:r>
    </w:p>
    <w:p>
      <w:pPr>
        <w:pStyle w:val="ListBullet"/>
      </w:pPr>
      <w:r>
        <w:t>K0 is the largest listed strike at or below the estimated forward F.</w:t>
      </w:r>
    </w:p>
    <w:p>
      <w:pPr>
        <w:pStyle w:val="ListBullet"/>
      </w:pPr>
      <w:r>
        <w:t>The option strip uses OTM puts below K0, OTM calls above K0, and the average of call/put mids at K0. A nonzero-bid stopping rule is applied on each wing, stopping after two consecutive zero bids.</w:t>
      </w:r>
    </w:p>
    <w:p>
      <w:pPr>
        <w:pStyle w:val="ListBullet"/>
      </w:pPr>
      <w:r>
        <w:t>The VIX-style variance is computed from the weighted strip of option prices using delta_K / K^2 weights, discounting by the SOFR rate, and subtracting the forward/K0 adjustment term.</w:t>
      </w:r>
    </w:p>
    <w:p>
      <w:r>
        <w:rPr>
          <w:b/>
        </w:rPr>
        <w:t xml:space="preserve">Output of the single-expiration calculation. </w:t>
      </w:r>
      <w:r>
        <w:t>Each expiration-level calculation produces annualized variance, F, K0, the parity strike K*, the time to expiration T, minutes to expiration, the number of selected options, and the selected option strip used in the variance integration.</w:t>
      </w:r>
    </w:p>
    <w:p>
      <w:pPr>
        <w:pStyle w:val="Heading2"/>
      </w:pPr>
      <w:r>
        <w:t>5.5 Interpolating to fixed DTEs</w:t>
      </w:r>
    </w:p>
    <w:p>
      <w:pPr>
        <w:pStyle w:val="ListBullet"/>
      </w:pPr>
      <w:r>
        <w:t>For each target tenor, the engine selects the near and next Friday-cycle expirations that bracket the target in minutes.</w:t>
      </w:r>
    </w:p>
    <w:p>
      <w:pPr>
        <w:pStyle w:val="ListBullet"/>
      </w:pPr>
      <w:r>
        <w:t>Variance is interpolated in total-variance space between the near and next expiration.</w:t>
      </w:r>
    </w:p>
    <w:p>
      <w:pPr>
        <w:pStyle w:val="ListBullet"/>
      </w:pPr>
      <w:r>
        <w:t>The interpolated value is converted back to annualized implied variance. VIX-style volatility is sqrt(implied_variance) multiplied by 100.</w:t>
      </w:r>
    </w:p>
    <w:p>
      <w:pPr>
        <w:pStyle w:val="ListBullet"/>
      </w:pPr>
      <w:r>
        <w:t>The final output is one row per trade_date and target_days, preserving both near/next expiration metadata and the final interpolated variance/volatility.</w:t>
      </w:r>
    </w:p>
    <w:p>
      <w:pPr>
        <w:pStyle w:val="Heading1"/>
      </w:pPr>
      <w:r>
        <w:t>6. Cleaning, QA, and repair of the VIX data</w:t>
      </w:r>
    </w:p>
    <w:p>
      <w:pPr>
        <w:pStyle w:val="Heading2"/>
      </w:pPr>
      <w:r>
        <w:t>6.1 Benchmark comparison</w:t>
      </w:r>
    </w:p>
    <w:p>
      <w:pPr>
        <w:pStyle w:val="ListBullet"/>
      </w:pPr>
      <w:r>
        <w:t>The 30d custom VIX-style volatility is compared to official Cboe VIX closes.</w:t>
      </w:r>
    </w:p>
    <w:p>
      <w:pPr>
        <w:pStyle w:val="ListBullet"/>
      </w:pPr>
      <w:r>
        <w:t>The 9d custom VIX-style volatility is compared to official Cboe VIX9D closes.</w:t>
      </w:r>
    </w:p>
    <w:p>
      <w:pPr>
        <w:pStyle w:val="ListBullet"/>
      </w:pPr>
      <w:r>
        <w:t>The benchmark comparison is used for QA and to identify isolated suspect dates or curve-shape problems. It is not used to mechanically overwrite the entire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888"/>
            <w:vAlign w:val="center"/>
            <w:shd w:fill="1F4E79"/>
          </w:tcPr>
          <w:p>
            <w:r>
              <w:rPr>
                <w:rFonts w:ascii="Aptos" w:hAnsi="Aptos" w:eastAsia="Aptos"/>
                <w:sz w:val="18"/>
              </w:rPr>
            </w:r>
            <w:r>
              <w:rPr>
                <w:rFonts w:ascii="Aptos" w:hAnsi="Aptos" w:eastAsia="Aptos"/>
                <w:b/>
                <w:color w:val="FFFFFF"/>
                <w:sz w:val="18"/>
              </w:rPr>
              <w:t>Benchmark</w:t>
            </w:r>
          </w:p>
        </w:tc>
        <w:tc>
          <w:tcPr>
            <w:tcW w:type="dxa" w:w="1152"/>
            <w:vAlign w:val="center"/>
            <w:shd w:fill="1F4E79"/>
          </w:tcPr>
          <w:p>
            <w:r>
              <w:rPr>
                <w:rFonts w:ascii="Aptos" w:hAnsi="Aptos" w:eastAsia="Aptos"/>
                <w:sz w:val="18"/>
              </w:rPr>
            </w:r>
            <w:r>
              <w:rPr>
                <w:rFonts w:ascii="Aptos" w:hAnsi="Aptos" w:eastAsia="Aptos"/>
                <w:b/>
                <w:color w:val="FFFFFF"/>
                <w:sz w:val="18"/>
              </w:rPr>
              <w:t>Rows</w:t>
            </w:r>
          </w:p>
        </w:tc>
        <w:tc>
          <w:tcPr>
            <w:tcW w:type="dxa" w:w="1728"/>
            <w:vAlign w:val="center"/>
            <w:shd w:fill="1F4E79"/>
          </w:tcPr>
          <w:p>
            <w:r>
              <w:rPr>
                <w:rFonts w:ascii="Aptos" w:hAnsi="Aptos" w:eastAsia="Aptos"/>
                <w:sz w:val="18"/>
              </w:rPr>
            </w:r>
            <w:r>
              <w:rPr>
                <w:rFonts w:ascii="Aptos" w:hAnsi="Aptos" w:eastAsia="Aptos"/>
                <w:b/>
                <w:color w:val="FFFFFF"/>
                <w:sz w:val="18"/>
              </w:rPr>
              <w:t>Mean diff</w:t>
            </w:r>
          </w:p>
        </w:tc>
        <w:tc>
          <w:tcPr>
            <w:tcW w:type="dxa" w:w="2016"/>
            <w:vAlign w:val="center"/>
            <w:shd w:fill="1F4E79"/>
          </w:tcPr>
          <w:p>
            <w:r>
              <w:rPr>
                <w:rFonts w:ascii="Aptos" w:hAnsi="Aptos" w:eastAsia="Aptos"/>
                <w:sz w:val="18"/>
              </w:rPr>
            </w:r>
            <w:r>
              <w:rPr>
                <w:rFonts w:ascii="Aptos" w:hAnsi="Aptos" w:eastAsia="Aptos"/>
                <w:b/>
                <w:color w:val="FFFFFF"/>
                <w:sz w:val="18"/>
              </w:rPr>
              <w:t>Mean absolute diff</w:t>
            </w:r>
          </w:p>
        </w:tc>
        <w:tc>
          <w:tcPr>
            <w:tcW w:type="dxa" w:w="1440"/>
            <w:vAlign w:val="center"/>
            <w:shd w:fill="1F4E79"/>
          </w:tcPr>
          <w:p>
            <w:r>
              <w:rPr>
                <w:rFonts w:ascii="Aptos" w:hAnsi="Aptos" w:eastAsia="Aptos"/>
                <w:sz w:val="18"/>
              </w:rPr>
            </w:r>
            <w:r>
              <w:rPr>
                <w:rFonts w:ascii="Aptos" w:hAnsi="Aptos" w:eastAsia="Aptos"/>
                <w:b/>
                <w:color w:val="FFFFFF"/>
                <w:sz w:val="18"/>
              </w:rPr>
              <w:t>Correlation</w:t>
            </w:r>
          </w:p>
        </w:tc>
      </w:tr>
      <w:tr>
        <w:tc>
          <w:tcPr>
            <w:tcW w:type="dxa" w:w="3888"/>
            <w:vAlign w:val="center"/>
          </w:tcPr>
          <w:p>
            <w:r>
              <w:rPr>
                <w:rFonts w:ascii="Aptos" w:hAnsi="Aptos" w:eastAsia="Aptos"/>
                <w:sz w:val="18"/>
              </w:rPr>
            </w:r>
            <w:r>
              <w:rPr>
                <w:rFonts w:ascii="Aptos" w:hAnsi="Aptos" w:eastAsia="Aptos"/>
                <w:b w:val="0"/>
                <w:sz w:val="18"/>
              </w:rPr>
              <w:t>Final repaired 30d vs Cboe VIX</w:t>
            </w:r>
          </w:p>
        </w:tc>
        <w:tc>
          <w:tcPr>
            <w:tcW w:type="dxa" w:w="1152"/>
            <w:vAlign w:val="center"/>
          </w:tcPr>
          <w:p>
            <w:r>
              <w:rPr>
                <w:rFonts w:ascii="Aptos" w:hAnsi="Aptos" w:eastAsia="Aptos"/>
                <w:sz w:val="18"/>
              </w:rPr>
            </w:r>
            <w:r>
              <w:rPr>
                <w:rFonts w:ascii="Aptos" w:hAnsi="Aptos" w:eastAsia="Aptos"/>
                <w:b w:val="0"/>
                <w:sz w:val="18"/>
              </w:rPr>
              <w:t>2,011</w:t>
            </w:r>
          </w:p>
        </w:tc>
        <w:tc>
          <w:tcPr>
            <w:tcW w:type="dxa" w:w="1728"/>
            <w:vAlign w:val="center"/>
          </w:tcPr>
          <w:p>
            <w:r>
              <w:rPr>
                <w:rFonts w:ascii="Aptos" w:hAnsi="Aptos" w:eastAsia="Aptos"/>
                <w:sz w:val="18"/>
              </w:rPr>
            </w:r>
            <w:r>
              <w:rPr>
                <w:rFonts w:ascii="Aptos" w:hAnsi="Aptos" w:eastAsia="Aptos"/>
                <w:b w:val="0"/>
                <w:sz w:val="18"/>
              </w:rPr>
              <w:t>-0.0104 vol pts</w:t>
            </w:r>
          </w:p>
        </w:tc>
        <w:tc>
          <w:tcPr>
            <w:tcW w:type="dxa" w:w="2016"/>
            <w:vAlign w:val="center"/>
          </w:tcPr>
          <w:p>
            <w:r>
              <w:rPr>
                <w:rFonts w:ascii="Aptos" w:hAnsi="Aptos" w:eastAsia="Aptos"/>
                <w:sz w:val="18"/>
              </w:rPr>
            </w:r>
            <w:r>
              <w:rPr>
                <w:rFonts w:ascii="Aptos" w:hAnsi="Aptos" w:eastAsia="Aptos"/>
                <w:b w:val="0"/>
                <w:sz w:val="18"/>
              </w:rPr>
              <w:t>0.1591 vol pts</w:t>
            </w:r>
          </w:p>
        </w:tc>
        <w:tc>
          <w:tcPr>
            <w:tcW w:type="dxa" w:w="1440"/>
            <w:vAlign w:val="center"/>
          </w:tcPr>
          <w:p>
            <w:r>
              <w:rPr>
                <w:rFonts w:ascii="Aptos" w:hAnsi="Aptos" w:eastAsia="Aptos"/>
                <w:sz w:val="18"/>
              </w:rPr>
            </w:r>
            <w:r>
              <w:rPr>
                <w:rFonts w:ascii="Aptos" w:hAnsi="Aptos" w:eastAsia="Aptos"/>
                <w:b w:val="0"/>
                <w:sz w:val="18"/>
              </w:rPr>
              <w:t>0.9990</w:t>
            </w:r>
          </w:p>
        </w:tc>
      </w:tr>
      <w:tr>
        <w:tc>
          <w:tcPr>
            <w:tcW w:type="dxa" w:w="3888"/>
            <w:vAlign w:val="center"/>
          </w:tcPr>
          <w:p>
            <w:r>
              <w:rPr>
                <w:rFonts w:ascii="Aptos" w:hAnsi="Aptos" w:eastAsia="Aptos"/>
                <w:sz w:val="18"/>
              </w:rPr>
            </w:r>
            <w:r>
              <w:rPr>
                <w:rFonts w:ascii="Aptos" w:hAnsi="Aptos" w:eastAsia="Aptos"/>
                <w:b w:val="0"/>
                <w:sz w:val="18"/>
              </w:rPr>
              <w:t>Final repaired 9d vs Cboe VIX9D</w:t>
            </w:r>
          </w:p>
        </w:tc>
        <w:tc>
          <w:tcPr>
            <w:tcW w:type="dxa" w:w="1152"/>
            <w:vAlign w:val="center"/>
          </w:tcPr>
          <w:p>
            <w:r>
              <w:rPr>
                <w:rFonts w:ascii="Aptos" w:hAnsi="Aptos" w:eastAsia="Aptos"/>
                <w:sz w:val="18"/>
              </w:rPr>
            </w:r>
            <w:r>
              <w:rPr>
                <w:rFonts w:ascii="Aptos" w:hAnsi="Aptos" w:eastAsia="Aptos"/>
                <w:b w:val="0"/>
                <w:sz w:val="18"/>
              </w:rPr>
              <w:t>2,011</w:t>
            </w:r>
          </w:p>
        </w:tc>
        <w:tc>
          <w:tcPr>
            <w:tcW w:type="dxa" w:w="1728"/>
            <w:vAlign w:val="center"/>
          </w:tcPr>
          <w:p>
            <w:r>
              <w:rPr>
                <w:rFonts w:ascii="Aptos" w:hAnsi="Aptos" w:eastAsia="Aptos"/>
                <w:sz w:val="18"/>
              </w:rPr>
            </w:r>
            <w:r>
              <w:rPr>
                <w:rFonts w:ascii="Aptos" w:hAnsi="Aptos" w:eastAsia="Aptos"/>
                <w:b w:val="0"/>
                <w:sz w:val="18"/>
              </w:rPr>
              <w:t>-0.0400 vol pts</w:t>
            </w:r>
          </w:p>
        </w:tc>
        <w:tc>
          <w:tcPr>
            <w:tcW w:type="dxa" w:w="2016"/>
            <w:vAlign w:val="center"/>
          </w:tcPr>
          <w:p>
            <w:r>
              <w:rPr>
                <w:rFonts w:ascii="Aptos" w:hAnsi="Aptos" w:eastAsia="Aptos"/>
                <w:sz w:val="18"/>
              </w:rPr>
            </w:r>
            <w:r>
              <w:rPr>
                <w:rFonts w:ascii="Aptos" w:hAnsi="Aptos" w:eastAsia="Aptos"/>
                <w:b w:val="0"/>
                <w:sz w:val="18"/>
              </w:rPr>
              <w:t>0.2502 vol pts</w:t>
            </w:r>
          </w:p>
        </w:tc>
        <w:tc>
          <w:tcPr>
            <w:tcW w:type="dxa" w:w="1440"/>
            <w:vAlign w:val="center"/>
          </w:tcPr>
          <w:p>
            <w:r>
              <w:rPr>
                <w:rFonts w:ascii="Aptos" w:hAnsi="Aptos" w:eastAsia="Aptos"/>
                <w:sz w:val="18"/>
              </w:rPr>
            </w:r>
            <w:r>
              <w:rPr>
                <w:rFonts w:ascii="Aptos" w:hAnsi="Aptos" w:eastAsia="Aptos"/>
                <w:b w:val="0"/>
                <w:sz w:val="18"/>
              </w:rPr>
              <w:t>0.9981</w:t>
            </w:r>
          </w:p>
        </w:tc>
      </w:tr>
    </w:tbl>
    <w:p/>
    <w:p>
      <w:pPr>
        <w:pStyle w:val="Heading2"/>
      </w:pPr>
      <w:r>
        <w:t>6.2 Repair dates and method</w:t>
      </w:r>
    </w:p>
    <w:p>
      <w:pPr>
        <w:pStyle w:val="ListBullet"/>
      </w:pPr>
      <w:r>
        <w:t>Nine specific dates were repaired: 2020-02-28, 2020-03-12, 2020-03-18, 2020-12-18, 2021-01-29, 2021-02-25, 2021-11-26, 2022-01-20, and 2024-12-18.</w:t>
      </w:r>
    </w:p>
    <w:p>
      <w:pPr>
        <w:pStyle w:val="ListBullet"/>
      </w:pPr>
      <w:r>
        <w:t>Because there are nine target tenors per date, the repair changed 81 rows.</w:t>
      </w:r>
    </w:p>
    <w:p>
      <w:pPr>
        <w:pStyle w:val="ListBullet"/>
      </w:pPr>
      <w:r>
        <w:t>The final repair method is total-variance based rather than simple volatility interpolation.</w:t>
      </w:r>
    </w:p>
    <w:p>
      <w:pPr>
        <w:pStyle w:val="ListBullet"/>
      </w:pPr>
      <w:r>
        <w:t>For each repair date, neighboring non-repair curves are used to form a base total-variance curve.</w:t>
      </w:r>
    </w:p>
    <w:p>
      <w:pPr>
        <w:pStyle w:val="ListBullet"/>
      </w:pPr>
      <w:r>
        <w:t>Where available, Cboe VIX9D anchors the 9d point and Cboe VIX anchors the 30d point. The rest of the curve is adjusted consistently around those anchors.</w:t>
      </w:r>
    </w:p>
    <w:p>
      <w:pPr>
        <w:pStyle w:val="ListBullet"/>
      </w:pPr>
      <w:r>
        <w:t>A monotonic total-variance / non-negative-forward-variance check is applied so the repaired curve does not introduce impossible negative forward variance between adjacent tenors.</w:t>
      </w:r>
    </w:p>
    <w:p>
      <w:pPr>
        <w:pStyle w:val="Heading2"/>
      </w:pPr>
      <w:r>
        <w:t>6.3 Final repaired dataset</w:t>
      </w:r>
    </w:p>
    <w:p>
      <w:pPr>
        <w:pStyle w:val="ListBullet"/>
      </w:pPr>
      <w:r>
        <w:t>All rows in the final repaired file use methodology_version = v0.7.1_repaired_total_variance_cboe_anchors.</w:t>
      </w:r>
    </w:p>
    <w:p>
      <w:pPr>
        <w:pStyle w:val="ListBullet"/>
      </w:pPr>
      <w:r>
        <w:t>Rows that were changed have is_repaired = True and a repair_method value. Unchanged rows keep is_repaired = False but inherit the final methodology version for consistency.</w:t>
      </w:r>
    </w:p>
    <w:p>
      <w:pPr>
        <w:pStyle w:val="ListBullet"/>
      </w:pPr>
      <w:r>
        <w:t>The raw v0.7 values are preserved in raw_implied_variance and raw_vix_style_vol so repaired and unrepaired values can be audited later.</w:t>
      </w:r>
    </w:p>
    <w:p>
      <w:pPr>
        <w:pStyle w:val="ListBullet"/>
      </w:pPr>
      <w:r>
        <w:t>The final repaired file contains 18,099 rows, 2,011 dates, and 9 tenors per date, with no duplicate date/tenor rows.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F4E79"/>
          </w:tcPr>
          <w:p>
            <w:r>
              <w:rPr>
                <w:rFonts w:ascii="Aptos" w:hAnsi="Aptos" w:eastAsia="Aptos"/>
                <w:sz w:val="18"/>
              </w:rPr>
            </w:r>
            <w:r>
              <w:rPr>
                <w:rFonts w:ascii="Aptos" w:hAnsi="Aptos" w:eastAsia="Aptos"/>
                <w:b/>
                <w:color w:val="FFFFFF"/>
                <w:sz w:val="18"/>
              </w:rPr>
              <w:t>Final repair artifact</w:t>
            </w:r>
          </w:p>
        </w:tc>
        <w:tc>
          <w:tcPr>
            <w:tcW w:type="dxa" w:w="6912"/>
            <w:vAlign w:val="center"/>
            <w:shd w:fill="1F4E79"/>
          </w:tcPr>
          <w:p>
            <w:r>
              <w:rPr>
                <w:rFonts w:ascii="Aptos" w:hAnsi="Aptos" w:eastAsia="Aptos"/>
                <w:sz w:val="18"/>
              </w:rPr>
            </w:r>
            <w:r>
              <w:rPr>
                <w:rFonts w:ascii="Aptos" w:hAnsi="Aptos" w:eastAsia="Aptos"/>
                <w:b/>
                <w:color w:val="FFFFFF"/>
                <w:sz w:val="18"/>
              </w:rPr>
              <w:t>Path</w:t>
            </w:r>
          </w:p>
        </w:tc>
      </w:tr>
      <w:tr>
        <w:tc>
          <w:tcPr>
            <w:tcW w:type="dxa" w:w="3312"/>
            <w:vAlign w:val="center"/>
          </w:tcPr>
          <w:p>
            <w:r>
              <w:rPr>
                <w:rFonts w:ascii="Aptos" w:hAnsi="Aptos" w:eastAsia="Aptos"/>
                <w:sz w:val="18"/>
              </w:rPr>
            </w:r>
            <w:r>
              <w:rPr>
                <w:rFonts w:ascii="Aptos" w:hAnsi="Aptos" w:eastAsia="Aptos"/>
                <w:b w:val="0"/>
                <w:sz w:val="18"/>
              </w:rPr>
              <w:t>Repaired term structure parquet</w:t>
            </w:r>
          </w:p>
        </w:tc>
        <w:tc>
          <w:tcPr>
            <w:tcW w:type="dxa" w:w="6912"/>
            <w:vAlign w:val="center"/>
          </w:tcPr>
          <w:p>
            <w:r>
              <w:rPr>
                <w:rFonts w:ascii="Aptos" w:hAnsi="Aptos" w:eastAsia="Aptos"/>
                <w:sz w:val="18"/>
              </w:rPr>
            </w:r>
            <w:r>
              <w:rPr>
                <w:rFonts w:ascii="Aptos" w:hAnsi="Aptos" w:eastAsia="Aptos"/>
                <w:b w:val="0"/>
                <w:sz w:val="18"/>
              </w:rPr>
              <w:t>data/processed/vix_term_structure_history_v0_7_1_repaired_total_variance.parquet</w:t>
            </w:r>
          </w:p>
        </w:tc>
      </w:tr>
      <w:tr>
        <w:tc>
          <w:tcPr>
            <w:tcW w:type="dxa" w:w="3312"/>
            <w:vAlign w:val="center"/>
          </w:tcPr>
          <w:p>
            <w:r>
              <w:rPr>
                <w:rFonts w:ascii="Aptos" w:hAnsi="Aptos" w:eastAsia="Aptos"/>
                <w:sz w:val="18"/>
              </w:rPr>
            </w:r>
            <w:r>
              <w:rPr>
                <w:rFonts w:ascii="Aptos" w:hAnsi="Aptos" w:eastAsia="Aptos"/>
                <w:b w:val="0"/>
                <w:sz w:val="18"/>
              </w:rPr>
              <w:t>Repaired term structure CSV</w:t>
            </w:r>
          </w:p>
        </w:tc>
        <w:tc>
          <w:tcPr>
            <w:tcW w:type="dxa" w:w="6912"/>
            <w:vAlign w:val="center"/>
          </w:tcPr>
          <w:p>
            <w:r>
              <w:rPr>
                <w:rFonts w:ascii="Aptos" w:hAnsi="Aptos" w:eastAsia="Aptos"/>
                <w:sz w:val="18"/>
              </w:rPr>
            </w:r>
            <w:r>
              <w:rPr>
                <w:rFonts w:ascii="Aptos" w:hAnsi="Aptos" w:eastAsia="Aptos"/>
                <w:b w:val="0"/>
                <w:sz w:val="18"/>
              </w:rPr>
              <w:t>data/processed/vix_term_structure_history_v0_7_1_repaired_total_variance.csv</w:t>
            </w:r>
          </w:p>
        </w:tc>
      </w:tr>
      <w:tr>
        <w:tc>
          <w:tcPr>
            <w:tcW w:type="dxa" w:w="3312"/>
            <w:vAlign w:val="center"/>
          </w:tcPr>
          <w:p>
            <w:r>
              <w:rPr>
                <w:rFonts w:ascii="Aptos" w:hAnsi="Aptos" w:eastAsia="Aptos"/>
                <w:sz w:val="18"/>
              </w:rPr>
            </w:r>
            <w:r>
              <w:rPr>
                <w:rFonts w:ascii="Aptos" w:hAnsi="Aptos" w:eastAsia="Aptos"/>
                <w:b w:val="0"/>
                <w:sz w:val="18"/>
              </w:rPr>
              <w:t>Repair log</w:t>
            </w:r>
          </w:p>
        </w:tc>
        <w:tc>
          <w:tcPr>
            <w:tcW w:type="dxa" w:w="6912"/>
            <w:vAlign w:val="center"/>
          </w:tcPr>
          <w:p>
            <w:r>
              <w:rPr>
                <w:rFonts w:ascii="Aptos" w:hAnsi="Aptos" w:eastAsia="Aptos"/>
                <w:sz w:val="18"/>
              </w:rPr>
            </w:r>
            <w:r>
              <w:rPr>
                <w:rFonts w:ascii="Aptos" w:hAnsi="Aptos" w:eastAsia="Aptos"/>
                <w:b w:val="0"/>
                <w:sz w:val="18"/>
              </w:rPr>
              <w:t>data/audit/v0_7_1_repaired_total_variance_repair_log.csv</w:t>
            </w:r>
          </w:p>
        </w:tc>
      </w:tr>
      <w:tr>
        <w:tc>
          <w:tcPr>
            <w:tcW w:type="dxa" w:w="3312"/>
            <w:vAlign w:val="center"/>
          </w:tcPr>
          <w:p>
            <w:r>
              <w:rPr>
                <w:rFonts w:ascii="Aptos" w:hAnsi="Aptos" w:eastAsia="Aptos"/>
                <w:sz w:val="18"/>
              </w:rPr>
            </w:r>
            <w:r>
              <w:rPr>
                <w:rFonts w:ascii="Aptos" w:hAnsi="Aptos" w:eastAsia="Aptos"/>
                <w:b w:val="0"/>
                <w:sz w:val="18"/>
              </w:rPr>
              <w:t>Curve QA</w:t>
            </w:r>
          </w:p>
        </w:tc>
        <w:tc>
          <w:tcPr>
            <w:tcW w:type="dxa" w:w="6912"/>
            <w:vAlign w:val="center"/>
          </w:tcPr>
          <w:p>
            <w:r>
              <w:rPr>
                <w:rFonts w:ascii="Aptos" w:hAnsi="Aptos" w:eastAsia="Aptos"/>
                <w:sz w:val="18"/>
              </w:rPr>
            </w:r>
            <w:r>
              <w:rPr>
                <w:rFonts w:ascii="Aptos" w:hAnsi="Aptos" w:eastAsia="Aptos"/>
                <w:b w:val="0"/>
                <w:sz w:val="18"/>
              </w:rPr>
              <w:t>data/audit/v0_7_1_repaired_total_variance_curve_qa.csv</w:t>
            </w:r>
          </w:p>
        </w:tc>
      </w:tr>
      <w:tr>
        <w:tc>
          <w:tcPr>
            <w:tcW w:type="dxa" w:w="3312"/>
            <w:vAlign w:val="center"/>
          </w:tcPr>
          <w:p>
            <w:r>
              <w:rPr>
                <w:rFonts w:ascii="Aptos" w:hAnsi="Aptos" w:eastAsia="Aptos"/>
                <w:sz w:val="18"/>
              </w:rPr>
            </w:r>
            <w:r>
              <w:rPr>
                <w:rFonts w:ascii="Aptos" w:hAnsi="Aptos" w:eastAsia="Aptos"/>
                <w:b w:val="0"/>
                <w:sz w:val="18"/>
              </w:rPr>
              <w:t>Daily QA</w:t>
            </w:r>
          </w:p>
        </w:tc>
        <w:tc>
          <w:tcPr>
            <w:tcW w:type="dxa" w:w="6912"/>
            <w:vAlign w:val="center"/>
          </w:tcPr>
          <w:p>
            <w:r>
              <w:rPr>
                <w:rFonts w:ascii="Aptos" w:hAnsi="Aptos" w:eastAsia="Aptos"/>
                <w:sz w:val="18"/>
              </w:rPr>
            </w:r>
            <w:r>
              <w:rPr>
                <w:rFonts w:ascii="Aptos" w:hAnsi="Aptos" w:eastAsia="Aptos"/>
                <w:b w:val="0"/>
                <w:sz w:val="18"/>
              </w:rPr>
              <w:t>data/audit/v0_7_1_repaired_total_variance_daily_qa.csv</w:t>
            </w:r>
          </w:p>
        </w:tc>
      </w:tr>
      <w:tr>
        <w:tc>
          <w:tcPr>
            <w:tcW w:type="dxa" w:w="3312"/>
            <w:vAlign w:val="center"/>
          </w:tcPr>
          <w:p>
            <w:r>
              <w:rPr>
                <w:rFonts w:ascii="Aptos" w:hAnsi="Aptos" w:eastAsia="Aptos"/>
                <w:sz w:val="18"/>
              </w:rPr>
            </w:r>
            <w:r>
              <w:rPr>
                <w:rFonts w:ascii="Aptos" w:hAnsi="Aptos" w:eastAsia="Aptos"/>
                <w:b w:val="0"/>
                <w:sz w:val="18"/>
              </w:rPr>
              <w:t>Combined QA</w:t>
            </w:r>
          </w:p>
        </w:tc>
        <w:tc>
          <w:tcPr>
            <w:tcW w:type="dxa" w:w="6912"/>
            <w:vAlign w:val="center"/>
          </w:tcPr>
          <w:p>
            <w:r>
              <w:rPr>
                <w:rFonts w:ascii="Aptos" w:hAnsi="Aptos" w:eastAsia="Aptos"/>
                <w:sz w:val="18"/>
              </w:rPr>
            </w:r>
            <w:r>
              <w:rPr>
                <w:rFonts w:ascii="Aptos" w:hAnsi="Aptos" w:eastAsia="Aptos"/>
                <w:b w:val="0"/>
                <w:sz w:val="18"/>
              </w:rPr>
              <w:t>data/audit/v0_7_1_repaired_total_variance_combined_qa.csv</w:t>
            </w:r>
          </w:p>
        </w:tc>
      </w:tr>
      <w:tr>
        <w:tc>
          <w:tcPr>
            <w:tcW w:type="dxa" w:w="3312"/>
            <w:vAlign w:val="center"/>
          </w:tcPr>
          <w:p>
            <w:r>
              <w:rPr>
                <w:rFonts w:ascii="Aptos" w:hAnsi="Aptos" w:eastAsia="Aptos"/>
                <w:sz w:val="18"/>
              </w:rPr>
            </w:r>
            <w:r>
              <w:rPr>
                <w:rFonts w:ascii="Aptos" w:hAnsi="Aptos" w:eastAsia="Aptos"/>
                <w:b w:val="0"/>
                <w:sz w:val="18"/>
              </w:rPr>
              <w:t>Final benchmark summary</w:t>
            </w:r>
          </w:p>
        </w:tc>
        <w:tc>
          <w:tcPr>
            <w:tcW w:type="dxa" w:w="6912"/>
            <w:vAlign w:val="center"/>
          </w:tcPr>
          <w:p>
            <w:r>
              <w:rPr>
                <w:rFonts w:ascii="Aptos" w:hAnsi="Aptos" w:eastAsia="Aptos"/>
                <w:sz w:val="18"/>
              </w:rPr>
            </w:r>
            <w:r>
              <w:rPr>
                <w:rFonts w:ascii="Aptos" w:hAnsi="Aptos" w:eastAsia="Aptos"/>
                <w:b w:val="0"/>
                <w:sz w:val="18"/>
              </w:rPr>
              <w:t>data/audit/v0_7_1_final_benchmark_summary.csv</w:t>
            </w:r>
          </w:p>
        </w:tc>
      </w:tr>
    </w:tbl>
    <w:p/>
    <w:p>
      <w:pPr>
        <w:pStyle w:val="Heading1"/>
      </w:pPr>
      <w:r>
        <w:t>7. Realized variance and VRP preparation</w:t>
      </w:r>
    </w:p>
    <w:p>
      <w:pPr>
        <w:pStyle w:val="ListBullet"/>
      </w:pPr>
      <w:r>
        <w:t>After the implied term structure is cleaned, FRED SPX daily close data is normalized into a date, close, and log-return panel.</w:t>
      </w:r>
    </w:p>
    <w:p>
      <w:pPr>
        <w:pStyle w:val="ListBullet"/>
      </w:pPr>
      <w:r>
        <w:t>For every trade_date and target tenor, trailing realized variance/volatility is computed over the corresponding calendar window. Forward realized variance is also computed where future closes are available for backtesting/audit.</w:t>
      </w:r>
    </w:p>
    <w:p>
      <w:pPr>
        <w:pStyle w:val="ListBullet"/>
      </w:pPr>
      <w:r>
        <w:t>VRP fields are built by comparing implied variance to realized variance. The main signal field is the trailing log variance ratio, stored as primary_vrp_signal in the VRP panel.</w:t>
      </w:r>
    </w:p>
    <w:p>
      <w:pPr>
        <w:pStyle w:val="ListBullet"/>
      </w:pPr>
      <w:r>
        <w:t>A 14-day SPX RSI is computed using Wilder smoothing and joined to the VRP panel for downstream signal and trade-filter logic.</w:t>
      </w:r>
    </w:p>
    <w:p>
      <w:pPr>
        <w:pStyle w:val="ListBullet"/>
      </w:pPr>
      <w:r>
        <w:t>The VRP panel contains the same 18,099 date-by-tenor grid as the repaired implied panel, with no missing implied variance, realized variance, primary signal, SPX close, log return, or RSI values in the validated history.</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F4E79"/>
          </w:tcPr>
          <w:p>
            <w:r>
              <w:rPr>
                <w:rFonts w:ascii="Aptos" w:hAnsi="Aptos" w:eastAsia="Aptos"/>
                <w:sz w:val="18"/>
              </w:rPr>
            </w:r>
            <w:r>
              <w:rPr>
                <w:rFonts w:ascii="Aptos" w:hAnsi="Aptos" w:eastAsia="Aptos"/>
                <w:b/>
                <w:color w:val="FFFFFF"/>
                <w:sz w:val="18"/>
              </w:rPr>
              <w:t>Downstream artifact</w:t>
            </w:r>
          </w:p>
        </w:tc>
        <w:tc>
          <w:tcPr>
            <w:tcW w:type="dxa" w:w="6912"/>
            <w:vAlign w:val="center"/>
            <w:shd w:fill="1F4E79"/>
          </w:tcPr>
          <w:p>
            <w:r>
              <w:rPr>
                <w:rFonts w:ascii="Aptos" w:hAnsi="Aptos" w:eastAsia="Aptos"/>
                <w:sz w:val="18"/>
              </w:rPr>
            </w:r>
            <w:r>
              <w:rPr>
                <w:rFonts w:ascii="Aptos" w:hAnsi="Aptos" w:eastAsia="Aptos"/>
                <w:b/>
                <w:color w:val="FFFFFF"/>
                <w:sz w:val="18"/>
              </w:rPr>
              <w:t>Path</w:t>
            </w:r>
          </w:p>
        </w:tc>
      </w:tr>
      <w:tr>
        <w:tc>
          <w:tcPr>
            <w:tcW w:type="dxa" w:w="3312"/>
            <w:vAlign w:val="center"/>
          </w:tcPr>
          <w:p>
            <w:r>
              <w:rPr>
                <w:rFonts w:ascii="Aptos" w:hAnsi="Aptos" w:eastAsia="Aptos"/>
                <w:sz w:val="18"/>
              </w:rPr>
            </w:r>
            <w:r>
              <w:rPr>
                <w:rFonts w:ascii="Aptos" w:hAnsi="Aptos" w:eastAsia="Aptos"/>
                <w:b w:val="0"/>
                <w:sz w:val="18"/>
              </w:rPr>
              <w:t>Normalized SPX closes</w:t>
            </w:r>
          </w:p>
        </w:tc>
        <w:tc>
          <w:tcPr>
            <w:tcW w:type="dxa" w:w="6912"/>
            <w:vAlign w:val="center"/>
          </w:tcPr>
          <w:p>
            <w:r>
              <w:rPr>
                <w:rFonts w:ascii="Aptos" w:hAnsi="Aptos" w:eastAsia="Aptos"/>
                <w:sz w:val="18"/>
              </w:rPr>
            </w:r>
            <w:r>
              <w:rPr>
                <w:rFonts w:ascii="Aptos" w:hAnsi="Aptos" w:eastAsia="Aptos"/>
                <w:b w:val="0"/>
                <w:sz w:val="18"/>
              </w:rPr>
              <w:t>data/external/spx_index_daily_fred_normalized.csv</w:t>
            </w:r>
          </w:p>
        </w:tc>
      </w:tr>
      <w:tr>
        <w:tc>
          <w:tcPr>
            <w:tcW w:type="dxa" w:w="3312"/>
            <w:vAlign w:val="center"/>
          </w:tcPr>
          <w:p>
            <w:r>
              <w:rPr>
                <w:rFonts w:ascii="Aptos" w:hAnsi="Aptos" w:eastAsia="Aptos"/>
                <w:sz w:val="18"/>
              </w:rPr>
            </w:r>
            <w:r>
              <w:rPr>
                <w:rFonts w:ascii="Aptos" w:hAnsi="Aptos" w:eastAsia="Aptos"/>
                <w:b w:val="0"/>
                <w:sz w:val="18"/>
              </w:rPr>
              <w:t>Realized variance panel</w:t>
            </w:r>
          </w:p>
        </w:tc>
        <w:tc>
          <w:tcPr>
            <w:tcW w:type="dxa" w:w="6912"/>
            <w:vAlign w:val="center"/>
          </w:tcPr>
          <w:p>
            <w:r>
              <w:rPr>
                <w:rFonts w:ascii="Aptos" w:hAnsi="Aptos" w:eastAsia="Aptos"/>
                <w:sz w:val="18"/>
              </w:rPr>
            </w:r>
            <w:r>
              <w:rPr>
                <w:rFonts w:ascii="Aptos" w:hAnsi="Aptos" w:eastAsia="Aptos"/>
                <w:b w:val="0"/>
                <w:sz w:val="18"/>
              </w:rPr>
              <w:t>data/processed/realized_variance_panel_v0_1.parquet and .csv</w:t>
            </w:r>
          </w:p>
        </w:tc>
      </w:tr>
      <w:tr>
        <w:tc>
          <w:tcPr>
            <w:tcW w:type="dxa" w:w="3312"/>
            <w:vAlign w:val="center"/>
          </w:tcPr>
          <w:p>
            <w:r>
              <w:rPr>
                <w:rFonts w:ascii="Aptos" w:hAnsi="Aptos" w:eastAsia="Aptos"/>
                <w:sz w:val="18"/>
              </w:rPr>
            </w:r>
            <w:r>
              <w:rPr>
                <w:rFonts w:ascii="Aptos" w:hAnsi="Aptos" w:eastAsia="Aptos"/>
                <w:b w:val="0"/>
                <w:sz w:val="18"/>
              </w:rPr>
              <w:t>VRP panel</w:t>
            </w:r>
          </w:p>
        </w:tc>
        <w:tc>
          <w:tcPr>
            <w:tcW w:type="dxa" w:w="6912"/>
            <w:vAlign w:val="center"/>
          </w:tcPr>
          <w:p>
            <w:r>
              <w:rPr>
                <w:rFonts w:ascii="Aptos" w:hAnsi="Aptos" w:eastAsia="Aptos"/>
                <w:sz w:val="18"/>
              </w:rPr>
            </w:r>
            <w:r>
              <w:rPr>
                <w:rFonts w:ascii="Aptos" w:hAnsi="Aptos" w:eastAsia="Aptos"/>
                <w:b w:val="0"/>
                <w:sz w:val="18"/>
              </w:rPr>
              <w:t>data/processed/vrp_panel_v0_1.parquet and .csv</w:t>
            </w:r>
          </w:p>
        </w:tc>
      </w:tr>
    </w:tbl>
    <w:p/>
    <w:p>
      <w:pPr>
        <w:pStyle w:val="Heading1"/>
      </w:pPr>
      <w:r>
        <w:t>8. Production update implications</w:t>
      </w:r>
    </w:p>
    <w:p>
      <w:pPr>
        <w:pStyle w:val="ListBullet"/>
      </w:pPr>
      <w:r>
        <w:t>The VIX-style term-structure process is the upstream production dependency. It must be updated before naked ATM put EOD rows or live signal checks are refreshed.</w:t>
      </w:r>
    </w:p>
    <w:p>
      <w:pPr>
        <w:pStyle w:val="ListBullet"/>
      </w:pPr>
      <w:r>
        <w:t>A daily updater should first determine the latest completed EOD date from the NYSE calendar and the current time, then compare that against the latest date in the repaired term-structure file.</w:t>
      </w:r>
    </w:p>
    <w:p>
      <w:pPr>
        <w:pStyle w:val="ListBullet"/>
      </w:pPr>
      <w:r>
        <w:t>If the term-structure history is stale, the existing v0.7 market-close updater should run for the missing completed trading dates. That will also create any missing raw ThetaData chain cache files.</w:t>
      </w:r>
    </w:p>
    <w:p>
      <w:pPr>
        <w:pStyle w:val="ListBullet"/>
      </w:pPr>
      <w:r>
        <w:t>Once the term-structure panel and chain cache are current, downstream naked ATM put data can select the ATM put from the cached chain and join the refreshed variance/VRP fields.</w:t>
      </w:r>
    </w:p>
    <w:p>
      <w:pPr>
        <w:pStyle w:val="ListBullet"/>
      </w:pPr>
      <w:r>
        <w:t>Intraday checks should remain separate from EOD history. Intraday snapshots can use current ThetaData quotes and current SPX level, but they should not be permanently appended to the EOD panel until the trading day is complete.</w:t>
      </w:r>
    </w:p>
    <w:p>
      <w:pPr>
        <w:pStyle w:val="Heading1"/>
      </w:pPr>
      <w:r>
        <w:t>Appendix A — Key definitions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9"/>
          </w:tcPr>
          <w:p>
            <w:r>
              <w:rPr>
                <w:rFonts w:ascii="Aptos" w:hAnsi="Aptos" w:eastAsia="Aptos"/>
                <w:sz w:val="18"/>
              </w:rPr>
            </w:r>
            <w:r>
              <w:rPr>
                <w:rFonts w:ascii="Aptos" w:hAnsi="Aptos" w:eastAsia="Aptos"/>
                <w:b/>
                <w:color w:val="FFFFFF"/>
                <w:sz w:val="18"/>
              </w:rPr>
              <w:t>Term</w:t>
            </w:r>
          </w:p>
        </w:tc>
        <w:tc>
          <w:tcPr>
            <w:tcW w:type="dxa" w:w="7920"/>
            <w:vAlign w:val="center"/>
            <w:shd w:fill="1F4E79"/>
          </w:tcPr>
          <w:p>
            <w:r>
              <w:rPr>
                <w:rFonts w:ascii="Aptos" w:hAnsi="Aptos" w:eastAsia="Aptos"/>
                <w:sz w:val="18"/>
              </w:rPr>
            </w:r>
            <w:r>
              <w:rPr>
                <w:rFonts w:ascii="Aptos" w:hAnsi="Aptos" w:eastAsia="Aptos"/>
                <w:b/>
                <w:color w:val="FFFFFF"/>
                <w:sz w:val="18"/>
              </w:rPr>
              <w:t>Definition</w:t>
            </w:r>
          </w:p>
        </w:tc>
      </w:tr>
      <w:tr>
        <w:tc>
          <w:tcPr>
            <w:tcW w:type="dxa" w:w="2304"/>
            <w:vAlign w:val="center"/>
          </w:tcPr>
          <w:p>
            <w:r>
              <w:rPr>
                <w:rFonts w:ascii="Aptos" w:hAnsi="Aptos" w:eastAsia="Aptos"/>
                <w:sz w:val="18"/>
              </w:rPr>
            </w:r>
            <w:r>
              <w:rPr>
                <w:rFonts w:ascii="Aptos" w:hAnsi="Aptos" w:eastAsia="Aptos"/>
                <w:b w:val="0"/>
                <w:sz w:val="18"/>
              </w:rPr>
              <w:t>implied_variance</w:t>
            </w:r>
          </w:p>
        </w:tc>
        <w:tc>
          <w:tcPr>
            <w:tcW w:type="dxa" w:w="7920"/>
            <w:vAlign w:val="center"/>
          </w:tcPr>
          <w:p>
            <w:r>
              <w:rPr>
                <w:rFonts w:ascii="Aptos" w:hAnsi="Aptos" w:eastAsia="Aptos"/>
                <w:sz w:val="18"/>
              </w:rPr>
            </w:r>
            <w:r>
              <w:rPr>
                <w:rFonts w:ascii="Aptos" w:hAnsi="Aptos" w:eastAsia="Aptos"/>
                <w:b w:val="0"/>
                <w:sz w:val="18"/>
              </w:rPr>
              <w:t>Annualized variance interpolated to the target tenor using VIX-style option-strip calculations and total-variance interpolation.</w:t>
            </w:r>
          </w:p>
        </w:tc>
      </w:tr>
      <w:tr>
        <w:tc>
          <w:tcPr>
            <w:tcW w:type="dxa" w:w="2304"/>
            <w:vAlign w:val="center"/>
          </w:tcPr>
          <w:p>
            <w:r>
              <w:rPr>
                <w:rFonts w:ascii="Aptos" w:hAnsi="Aptos" w:eastAsia="Aptos"/>
                <w:sz w:val="18"/>
              </w:rPr>
            </w:r>
            <w:r>
              <w:rPr>
                <w:rFonts w:ascii="Aptos" w:hAnsi="Aptos" w:eastAsia="Aptos"/>
                <w:b w:val="0"/>
                <w:sz w:val="18"/>
              </w:rPr>
              <w:t>vix_style_vol</w:t>
            </w:r>
          </w:p>
        </w:tc>
        <w:tc>
          <w:tcPr>
            <w:tcW w:type="dxa" w:w="7920"/>
            <w:vAlign w:val="center"/>
          </w:tcPr>
          <w:p>
            <w:r>
              <w:rPr>
                <w:rFonts w:ascii="Aptos" w:hAnsi="Aptos" w:eastAsia="Aptos"/>
                <w:sz w:val="18"/>
              </w:rPr>
            </w:r>
            <w:r>
              <w:rPr>
                <w:rFonts w:ascii="Aptos" w:hAnsi="Aptos" w:eastAsia="Aptos"/>
                <w:b w:val="0"/>
                <w:sz w:val="18"/>
              </w:rPr>
              <w:t>sqrt(implied_variance) * 100. This is the VIX-style volatility level in vol points.</w:t>
            </w:r>
          </w:p>
        </w:tc>
      </w:tr>
      <w:tr>
        <w:tc>
          <w:tcPr>
            <w:tcW w:type="dxa" w:w="2304"/>
            <w:vAlign w:val="center"/>
          </w:tcPr>
          <w:p>
            <w:r>
              <w:rPr>
                <w:rFonts w:ascii="Aptos" w:hAnsi="Aptos" w:eastAsia="Aptos"/>
                <w:sz w:val="18"/>
              </w:rPr>
            </w:r>
            <w:r>
              <w:rPr>
                <w:rFonts w:ascii="Aptos" w:hAnsi="Aptos" w:eastAsia="Aptos"/>
                <w:b w:val="0"/>
                <w:sz w:val="18"/>
              </w:rPr>
              <w:t>target_days</w:t>
            </w:r>
          </w:p>
        </w:tc>
        <w:tc>
          <w:tcPr>
            <w:tcW w:type="dxa" w:w="7920"/>
            <w:vAlign w:val="center"/>
          </w:tcPr>
          <w:p>
            <w:r>
              <w:rPr>
                <w:rFonts w:ascii="Aptos" w:hAnsi="Aptos" w:eastAsia="Aptos"/>
                <w:sz w:val="18"/>
              </w:rPr>
            </w:r>
            <w:r>
              <w:rPr>
                <w:rFonts w:ascii="Aptos" w:hAnsi="Aptos" w:eastAsia="Aptos"/>
                <w:b w:val="0"/>
                <w:sz w:val="18"/>
              </w:rPr>
              <w:t>The fixed target tenor in calendar days: 9, 12, 15, 18, 21, 24, 27, 30, or 33.</w:t>
            </w:r>
          </w:p>
        </w:tc>
      </w:tr>
      <w:tr>
        <w:tc>
          <w:tcPr>
            <w:tcW w:type="dxa" w:w="2304"/>
            <w:vAlign w:val="center"/>
          </w:tcPr>
          <w:p>
            <w:r>
              <w:rPr>
                <w:rFonts w:ascii="Aptos" w:hAnsi="Aptos" w:eastAsia="Aptos"/>
                <w:sz w:val="18"/>
              </w:rPr>
            </w:r>
            <w:r>
              <w:rPr>
                <w:rFonts w:ascii="Aptos" w:hAnsi="Aptos" w:eastAsia="Aptos"/>
                <w:b w:val="0"/>
                <w:sz w:val="18"/>
              </w:rPr>
              <w:t>near / next expiration</w:t>
            </w:r>
          </w:p>
        </w:tc>
        <w:tc>
          <w:tcPr>
            <w:tcW w:type="dxa" w:w="7920"/>
            <w:vAlign w:val="center"/>
          </w:tcPr>
          <w:p>
            <w:r>
              <w:rPr>
                <w:rFonts w:ascii="Aptos" w:hAnsi="Aptos" w:eastAsia="Aptos"/>
                <w:sz w:val="18"/>
              </w:rPr>
            </w:r>
            <w:r>
              <w:rPr>
                <w:rFonts w:ascii="Aptos" w:hAnsi="Aptos" w:eastAsia="Aptos"/>
                <w:b w:val="0"/>
                <w:sz w:val="18"/>
              </w:rPr>
              <w:t>The two Friday-cycle expirations that bracket the target tenor in minutes.</w:t>
            </w:r>
          </w:p>
        </w:tc>
      </w:tr>
      <w:tr>
        <w:tc>
          <w:tcPr>
            <w:tcW w:type="dxa" w:w="2304"/>
            <w:vAlign w:val="center"/>
          </w:tcPr>
          <w:p>
            <w:r>
              <w:rPr>
                <w:rFonts w:ascii="Aptos" w:hAnsi="Aptos" w:eastAsia="Aptos"/>
                <w:sz w:val="18"/>
              </w:rPr>
            </w:r>
            <w:r>
              <w:rPr>
                <w:rFonts w:ascii="Aptos" w:hAnsi="Aptos" w:eastAsia="Aptos"/>
                <w:b w:val="0"/>
                <w:sz w:val="18"/>
              </w:rPr>
              <w:t>K0</w:t>
            </w:r>
          </w:p>
        </w:tc>
        <w:tc>
          <w:tcPr>
            <w:tcW w:type="dxa" w:w="7920"/>
            <w:vAlign w:val="center"/>
          </w:tcPr>
          <w:p>
            <w:r>
              <w:rPr>
                <w:rFonts w:ascii="Aptos" w:hAnsi="Aptos" w:eastAsia="Aptos"/>
                <w:sz w:val="18"/>
              </w:rPr>
            </w:r>
            <w:r>
              <w:rPr>
                <w:rFonts w:ascii="Aptos" w:hAnsi="Aptos" w:eastAsia="Aptos"/>
                <w:b w:val="0"/>
                <w:sz w:val="18"/>
              </w:rPr>
              <w:t>The strike at or below the estimated forward level used as the center strike in the VIX-style option strip.</w:t>
            </w:r>
          </w:p>
        </w:tc>
      </w:tr>
      <w:tr>
        <w:tc>
          <w:tcPr>
            <w:tcW w:type="dxa" w:w="2304"/>
            <w:vAlign w:val="center"/>
          </w:tcPr>
          <w:p>
            <w:r>
              <w:rPr>
                <w:rFonts w:ascii="Aptos" w:hAnsi="Aptos" w:eastAsia="Aptos"/>
                <w:sz w:val="18"/>
              </w:rPr>
            </w:r>
            <w:r>
              <w:rPr>
                <w:rFonts w:ascii="Aptos" w:hAnsi="Aptos" w:eastAsia="Aptos"/>
                <w:b w:val="0"/>
                <w:sz w:val="18"/>
              </w:rPr>
              <w:t>Q(K)</w:t>
            </w:r>
          </w:p>
        </w:tc>
        <w:tc>
          <w:tcPr>
            <w:tcW w:type="dxa" w:w="7920"/>
            <w:vAlign w:val="center"/>
          </w:tcPr>
          <w:p>
            <w:r>
              <w:rPr>
                <w:rFonts w:ascii="Aptos" w:hAnsi="Aptos" w:eastAsia="Aptos"/>
                <w:sz w:val="18"/>
              </w:rPr>
            </w:r>
            <w:r>
              <w:rPr>
                <w:rFonts w:ascii="Aptos" w:hAnsi="Aptos" w:eastAsia="Aptos"/>
                <w:b w:val="0"/>
                <w:sz w:val="18"/>
              </w:rPr>
              <w:t>The option price used in the VIX-style summation: OTM put, OTM call, or average call/put at K0.</w:t>
            </w:r>
          </w:p>
        </w:tc>
      </w:tr>
      <w:tr>
        <w:tc>
          <w:tcPr>
            <w:tcW w:type="dxa" w:w="2304"/>
            <w:vAlign w:val="center"/>
          </w:tcPr>
          <w:p>
            <w:r>
              <w:rPr>
                <w:rFonts w:ascii="Aptos" w:hAnsi="Aptos" w:eastAsia="Aptos"/>
                <w:sz w:val="18"/>
              </w:rPr>
            </w:r>
            <w:r>
              <w:rPr>
                <w:rFonts w:ascii="Aptos" w:hAnsi="Aptos" w:eastAsia="Aptos"/>
                <w:b w:val="0"/>
                <w:sz w:val="18"/>
              </w:rPr>
              <w:t>VRP</w:t>
            </w:r>
          </w:p>
        </w:tc>
        <w:tc>
          <w:tcPr>
            <w:tcW w:type="dxa" w:w="7920"/>
            <w:vAlign w:val="center"/>
          </w:tcPr>
          <w:p>
            <w:r>
              <w:rPr>
                <w:rFonts w:ascii="Aptos" w:hAnsi="Aptos" w:eastAsia="Aptos"/>
                <w:sz w:val="18"/>
              </w:rPr>
            </w:r>
            <w:r>
              <w:rPr>
                <w:rFonts w:ascii="Aptos" w:hAnsi="Aptos" w:eastAsia="Aptos"/>
                <w:b w:val="0"/>
                <w:sz w:val="18"/>
              </w:rPr>
              <w:t>Variance risk premium measure derived by comparing implied variance to realized variance, primarily using log variance ratios.</w:t>
            </w:r>
          </w:p>
        </w:tc>
      </w:tr>
    </w:tbl>
    <w:p/>
    <w:sectPr>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VRP project documentation — ThetaData VIX-style variance build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