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0DA080" w14:textId="0A0CE96F" w:rsidR="00321B2E" w:rsidRDefault="00321B2E" w:rsidP="00321B2E">
      <w:pPr>
        <w:jc w:val="center"/>
      </w:pPr>
      <w:r w:rsidRPr="00321B2E">
        <w:t>Curriculum Vitae</w:t>
      </w:r>
    </w:p>
    <w:p w14:paraId="3C988CBC" w14:textId="435BEE20" w:rsidR="00321B2E" w:rsidRPr="00321B2E" w:rsidRDefault="00321B2E" w:rsidP="00321B2E">
      <w:pPr>
        <w:jc w:val="center"/>
      </w:pPr>
      <w:r w:rsidRPr="00321B2E">
        <w:t>Patrick Field</w:t>
      </w:r>
    </w:p>
    <w:p w14:paraId="20BF6692" w14:textId="77777777" w:rsidR="00321B2E" w:rsidRPr="00321B2E" w:rsidRDefault="00321B2E" w:rsidP="00321B2E">
      <w:pPr>
        <w:jc w:val="center"/>
      </w:pPr>
      <w:r w:rsidRPr="00321B2E">
        <w:t>Phone: (203) 214-9062</w:t>
      </w:r>
    </w:p>
    <w:p w14:paraId="3B03482C" w14:textId="11A2F858" w:rsidR="00321B2E" w:rsidRDefault="00321B2E" w:rsidP="00321B2E">
      <w:pPr>
        <w:jc w:val="center"/>
      </w:pPr>
      <w:r w:rsidRPr="00321B2E">
        <w:t>Email: patrickfield109@gmail.com</w:t>
      </w:r>
    </w:p>
    <w:p w14:paraId="46820B32" w14:textId="77777777" w:rsidR="00321B2E" w:rsidRPr="00321B2E" w:rsidRDefault="00321B2E" w:rsidP="00321B2E">
      <w:pPr>
        <w:jc w:val="center"/>
      </w:pPr>
      <w:r w:rsidRPr="00321B2E">
        <w:t xml:space="preserve">Date Prepared:  </w:t>
      </w:r>
      <w:r>
        <w:t>6/1/2025</w:t>
      </w:r>
    </w:p>
    <w:p w14:paraId="07F495C8" w14:textId="77777777" w:rsidR="00321B2E" w:rsidRPr="00321B2E" w:rsidRDefault="00321B2E" w:rsidP="00321B2E">
      <w:r w:rsidRPr="00321B2E">
        <w:rPr>
          <w:b/>
          <w:bCs/>
        </w:rPr>
        <w:t>Education/Residency/Fellowship</w:t>
      </w:r>
    </w:p>
    <w:tbl>
      <w:tblPr>
        <w:tblW w:w="0" w:type="auto"/>
        <w:tblCellMar>
          <w:top w:w="15" w:type="dxa"/>
          <w:left w:w="15" w:type="dxa"/>
          <w:bottom w:w="15" w:type="dxa"/>
          <w:right w:w="15" w:type="dxa"/>
        </w:tblCellMar>
        <w:tblLook w:val="04A0" w:firstRow="1" w:lastRow="0" w:firstColumn="1" w:lastColumn="0" w:noHBand="0" w:noVBand="1"/>
      </w:tblPr>
      <w:tblGrid>
        <w:gridCol w:w="2250"/>
        <w:gridCol w:w="7110"/>
      </w:tblGrid>
      <w:tr w:rsidR="00321B2E" w:rsidRPr="00321B2E" w14:paraId="10F129C6" w14:textId="77777777" w:rsidTr="00321B2E">
        <w:tc>
          <w:tcPr>
            <w:tcW w:w="2250" w:type="dxa"/>
            <w:tcMar>
              <w:top w:w="0" w:type="dxa"/>
              <w:left w:w="108" w:type="dxa"/>
              <w:bottom w:w="0" w:type="dxa"/>
              <w:right w:w="108" w:type="dxa"/>
            </w:tcMar>
            <w:hideMark/>
          </w:tcPr>
          <w:p w14:paraId="4D22CC4F" w14:textId="77777777" w:rsidR="00321B2E" w:rsidRPr="00321B2E" w:rsidRDefault="00321B2E" w:rsidP="00321B2E">
            <w:r w:rsidRPr="00321B2E">
              <w:t>8/2008–6/2012</w:t>
            </w:r>
          </w:p>
        </w:tc>
        <w:tc>
          <w:tcPr>
            <w:tcW w:w="7110" w:type="dxa"/>
            <w:tcMar>
              <w:top w:w="0" w:type="dxa"/>
              <w:left w:w="108" w:type="dxa"/>
              <w:bottom w:w="0" w:type="dxa"/>
              <w:right w:w="108" w:type="dxa"/>
            </w:tcMar>
            <w:hideMark/>
          </w:tcPr>
          <w:p w14:paraId="4B04C472" w14:textId="77777777" w:rsidR="00321B2E" w:rsidRPr="00321B2E" w:rsidRDefault="00321B2E" w:rsidP="00321B2E">
            <w:r w:rsidRPr="00321B2E">
              <w:rPr>
                <w:b/>
                <w:bCs/>
              </w:rPr>
              <w:t>Bachelor of Science Degree</w:t>
            </w:r>
            <w:r w:rsidRPr="00321B2E">
              <w:t>, Chemistry and Molecular &amp; Cell Biology, University Scholar, University of Connecticut, Storrs CT</w:t>
            </w:r>
          </w:p>
        </w:tc>
      </w:tr>
      <w:tr w:rsidR="00321B2E" w:rsidRPr="00321B2E" w14:paraId="47EFF583" w14:textId="77777777" w:rsidTr="00321B2E">
        <w:tc>
          <w:tcPr>
            <w:tcW w:w="2250" w:type="dxa"/>
            <w:tcMar>
              <w:top w:w="0" w:type="dxa"/>
              <w:left w:w="108" w:type="dxa"/>
              <w:bottom w:w="0" w:type="dxa"/>
              <w:right w:w="108" w:type="dxa"/>
            </w:tcMar>
            <w:hideMark/>
          </w:tcPr>
          <w:p w14:paraId="0EDC5B09" w14:textId="77777777" w:rsidR="00321B2E" w:rsidRPr="00321B2E" w:rsidRDefault="00321B2E" w:rsidP="00321B2E">
            <w:r w:rsidRPr="00321B2E">
              <w:t>8/2012–-5/2016</w:t>
            </w:r>
          </w:p>
        </w:tc>
        <w:tc>
          <w:tcPr>
            <w:tcW w:w="7110" w:type="dxa"/>
            <w:tcMar>
              <w:top w:w="0" w:type="dxa"/>
              <w:left w:w="108" w:type="dxa"/>
              <w:bottom w:w="0" w:type="dxa"/>
              <w:right w:w="108" w:type="dxa"/>
            </w:tcMar>
            <w:hideMark/>
          </w:tcPr>
          <w:p w14:paraId="369D3466" w14:textId="77777777" w:rsidR="00321B2E" w:rsidRPr="00321B2E" w:rsidRDefault="00321B2E" w:rsidP="00321B2E">
            <w:r w:rsidRPr="00321B2E">
              <w:rPr>
                <w:b/>
                <w:bCs/>
              </w:rPr>
              <w:t>Medical Doctorate Degree</w:t>
            </w:r>
            <w:r w:rsidRPr="00321B2E">
              <w:t>, University of Connecticut School of Medicine, Farmington CT</w:t>
            </w:r>
          </w:p>
        </w:tc>
      </w:tr>
      <w:tr w:rsidR="00321B2E" w:rsidRPr="00321B2E" w14:paraId="30D69708" w14:textId="77777777" w:rsidTr="00321B2E">
        <w:tc>
          <w:tcPr>
            <w:tcW w:w="2250" w:type="dxa"/>
            <w:tcMar>
              <w:top w:w="0" w:type="dxa"/>
              <w:left w:w="108" w:type="dxa"/>
              <w:bottom w:w="0" w:type="dxa"/>
              <w:right w:w="108" w:type="dxa"/>
            </w:tcMar>
            <w:hideMark/>
          </w:tcPr>
          <w:p w14:paraId="5BAA6EDE" w14:textId="77777777" w:rsidR="00321B2E" w:rsidRPr="00321B2E" w:rsidRDefault="00321B2E" w:rsidP="00321B2E">
            <w:r w:rsidRPr="00321B2E">
              <w:t>7/2016–6/2019</w:t>
            </w:r>
          </w:p>
        </w:tc>
        <w:tc>
          <w:tcPr>
            <w:tcW w:w="7110" w:type="dxa"/>
            <w:tcMar>
              <w:top w:w="0" w:type="dxa"/>
              <w:left w:w="108" w:type="dxa"/>
              <w:bottom w:w="0" w:type="dxa"/>
              <w:right w:w="108" w:type="dxa"/>
            </w:tcMar>
            <w:hideMark/>
          </w:tcPr>
          <w:p w14:paraId="346C110B" w14:textId="77777777" w:rsidR="00321B2E" w:rsidRPr="00321B2E" w:rsidRDefault="00321B2E" w:rsidP="00321B2E">
            <w:r w:rsidRPr="00321B2E">
              <w:rPr>
                <w:b/>
                <w:bCs/>
              </w:rPr>
              <w:t>Internal Medicine Residency</w:t>
            </w:r>
            <w:r w:rsidRPr="00321B2E">
              <w:t>, Boston Medical Center, Boston MA.</w:t>
            </w:r>
          </w:p>
        </w:tc>
      </w:tr>
      <w:tr w:rsidR="00321B2E" w:rsidRPr="00321B2E" w14:paraId="3E08A0C6" w14:textId="77777777" w:rsidTr="00321B2E">
        <w:trPr>
          <w:trHeight w:val="21"/>
        </w:trPr>
        <w:tc>
          <w:tcPr>
            <w:tcW w:w="2250" w:type="dxa"/>
            <w:tcMar>
              <w:top w:w="0" w:type="dxa"/>
              <w:left w:w="108" w:type="dxa"/>
              <w:bottom w:w="0" w:type="dxa"/>
              <w:right w:w="108" w:type="dxa"/>
            </w:tcMar>
            <w:hideMark/>
          </w:tcPr>
          <w:p w14:paraId="336CE50D" w14:textId="77777777" w:rsidR="00321B2E" w:rsidRPr="00321B2E" w:rsidRDefault="00321B2E" w:rsidP="00321B2E">
            <w:r w:rsidRPr="00321B2E">
              <w:t>7/2022- 6/2025</w:t>
            </w:r>
          </w:p>
        </w:tc>
        <w:tc>
          <w:tcPr>
            <w:tcW w:w="7110" w:type="dxa"/>
            <w:tcMar>
              <w:top w:w="0" w:type="dxa"/>
              <w:left w:w="108" w:type="dxa"/>
              <w:bottom w:w="0" w:type="dxa"/>
              <w:right w:w="108" w:type="dxa"/>
            </w:tcMar>
            <w:hideMark/>
          </w:tcPr>
          <w:p w14:paraId="739BE0B6" w14:textId="77777777" w:rsidR="00321B2E" w:rsidRPr="00321B2E" w:rsidRDefault="00321B2E" w:rsidP="00321B2E">
            <w:r w:rsidRPr="00321B2E">
              <w:rPr>
                <w:b/>
                <w:bCs/>
              </w:rPr>
              <w:t>Cardiovascular Medicine Fellow</w:t>
            </w:r>
            <w:r w:rsidRPr="00321B2E">
              <w:t>, St. Luke’s University Hospital, Bethlehem PA.</w:t>
            </w:r>
          </w:p>
        </w:tc>
      </w:tr>
      <w:tr w:rsidR="00321B2E" w:rsidRPr="00321B2E" w14:paraId="3615C617" w14:textId="77777777" w:rsidTr="00321B2E">
        <w:tc>
          <w:tcPr>
            <w:tcW w:w="2250" w:type="dxa"/>
            <w:tcMar>
              <w:top w:w="0" w:type="dxa"/>
              <w:left w:w="108" w:type="dxa"/>
              <w:bottom w:w="0" w:type="dxa"/>
              <w:right w:w="108" w:type="dxa"/>
            </w:tcMar>
            <w:hideMark/>
          </w:tcPr>
          <w:p w14:paraId="6C0CB31B" w14:textId="77777777" w:rsidR="00321B2E" w:rsidRPr="00321B2E" w:rsidRDefault="00321B2E" w:rsidP="00321B2E">
            <w:r w:rsidRPr="00321B2E">
              <w:t>7/2025-</w:t>
            </w:r>
          </w:p>
        </w:tc>
        <w:tc>
          <w:tcPr>
            <w:tcW w:w="7110" w:type="dxa"/>
            <w:tcMar>
              <w:top w:w="0" w:type="dxa"/>
              <w:left w:w="108" w:type="dxa"/>
              <w:bottom w:w="0" w:type="dxa"/>
              <w:right w:w="108" w:type="dxa"/>
            </w:tcMar>
            <w:hideMark/>
          </w:tcPr>
          <w:p w14:paraId="3E3FF138" w14:textId="77777777" w:rsidR="00321B2E" w:rsidRPr="00321B2E" w:rsidRDefault="00321B2E" w:rsidP="00321B2E">
            <w:r w:rsidRPr="00321B2E">
              <w:rPr>
                <w:b/>
                <w:bCs/>
              </w:rPr>
              <w:t xml:space="preserve">Electrophysiology Fellow, </w:t>
            </w:r>
            <w:r w:rsidRPr="00321B2E">
              <w:t>Thomas Jefferson Hospital, Philadelphia PA</w:t>
            </w:r>
          </w:p>
        </w:tc>
      </w:tr>
    </w:tbl>
    <w:p w14:paraId="7C5D2489" w14:textId="77777777" w:rsidR="00321B2E" w:rsidRPr="00321B2E" w:rsidRDefault="00321B2E" w:rsidP="00321B2E">
      <w:r w:rsidRPr="00321B2E">
        <w:rPr>
          <w:b/>
          <w:bCs/>
        </w:rPr>
        <w:t>Work Experience</w:t>
      </w:r>
    </w:p>
    <w:tbl>
      <w:tblPr>
        <w:tblW w:w="0" w:type="auto"/>
        <w:tblCellMar>
          <w:top w:w="15" w:type="dxa"/>
          <w:left w:w="15" w:type="dxa"/>
          <w:bottom w:w="15" w:type="dxa"/>
          <w:right w:w="15" w:type="dxa"/>
        </w:tblCellMar>
        <w:tblLook w:val="04A0" w:firstRow="1" w:lastRow="0" w:firstColumn="1" w:lastColumn="0" w:noHBand="0" w:noVBand="1"/>
      </w:tblPr>
      <w:tblGrid>
        <w:gridCol w:w="2250"/>
        <w:gridCol w:w="7100"/>
      </w:tblGrid>
      <w:tr w:rsidR="00321B2E" w:rsidRPr="00321B2E" w14:paraId="793F6DB5" w14:textId="77777777" w:rsidTr="00321B2E">
        <w:tc>
          <w:tcPr>
            <w:tcW w:w="2250" w:type="dxa"/>
            <w:tcMar>
              <w:top w:w="0" w:type="dxa"/>
              <w:left w:w="108" w:type="dxa"/>
              <w:bottom w:w="0" w:type="dxa"/>
              <w:right w:w="108" w:type="dxa"/>
            </w:tcMar>
            <w:hideMark/>
          </w:tcPr>
          <w:p w14:paraId="2F88C3D9" w14:textId="3A36D802" w:rsidR="00321B2E" w:rsidRPr="00321B2E" w:rsidRDefault="00321B2E" w:rsidP="00321B2E">
            <w:r w:rsidRPr="00321B2E">
              <w:t>7/2019–6/2022</w:t>
            </w:r>
          </w:p>
        </w:tc>
        <w:tc>
          <w:tcPr>
            <w:tcW w:w="7100" w:type="dxa"/>
            <w:tcMar>
              <w:top w:w="0" w:type="dxa"/>
              <w:left w:w="108" w:type="dxa"/>
              <w:bottom w:w="0" w:type="dxa"/>
              <w:right w:w="108" w:type="dxa"/>
            </w:tcMar>
            <w:hideMark/>
          </w:tcPr>
          <w:p w14:paraId="386441DC" w14:textId="3D9EA539" w:rsidR="00321B2E" w:rsidRPr="00321B2E" w:rsidRDefault="00321B2E" w:rsidP="00321B2E">
            <w:r w:rsidRPr="00321B2E">
              <w:rPr>
                <w:b/>
                <w:bCs/>
              </w:rPr>
              <w:t>Hospital Medicine Attending Physician</w:t>
            </w:r>
            <w:r w:rsidRPr="00321B2E">
              <w:t>, Beth Israel Deaconess Medical Center, Boston MA.</w:t>
            </w:r>
          </w:p>
        </w:tc>
      </w:tr>
      <w:tr w:rsidR="00321B2E" w:rsidRPr="00321B2E" w14:paraId="3F49EA39" w14:textId="77777777" w:rsidTr="00321B2E">
        <w:tc>
          <w:tcPr>
            <w:tcW w:w="2250" w:type="dxa"/>
            <w:tcMar>
              <w:top w:w="0" w:type="dxa"/>
              <w:left w:w="108" w:type="dxa"/>
              <w:bottom w:w="0" w:type="dxa"/>
              <w:right w:w="108" w:type="dxa"/>
            </w:tcMar>
          </w:tcPr>
          <w:p w14:paraId="65D81616" w14:textId="39D032A3" w:rsidR="00321B2E" w:rsidRPr="00321B2E" w:rsidRDefault="00321B2E" w:rsidP="00321B2E">
            <w:r w:rsidRPr="00321B2E">
              <w:t>7/2019–6/2022</w:t>
            </w:r>
          </w:p>
        </w:tc>
        <w:tc>
          <w:tcPr>
            <w:tcW w:w="7100" w:type="dxa"/>
            <w:tcMar>
              <w:top w:w="0" w:type="dxa"/>
              <w:left w:w="108" w:type="dxa"/>
              <w:bottom w:w="0" w:type="dxa"/>
              <w:right w:w="108" w:type="dxa"/>
            </w:tcMar>
          </w:tcPr>
          <w:p w14:paraId="2DD42987" w14:textId="0A354F7B" w:rsidR="00321B2E" w:rsidRPr="00321B2E" w:rsidRDefault="00321B2E" w:rsidP="00321B2E">
            <w:r w:rsidRPr="00321B2E">
              <w:rPr>
                <w:b/>
                <w:bCs/>
              </w:rPr>
              <w:t>Instructor of Medicine</w:t>
            </w:r>
            <w:r w:rsidRPr="00321B2E">
              <w:t>, Harvard Medical School, Boston MA</w:t>
            </w:r>
          </w:p>
        </w:tc>
      </w:tr>
    </w:tbl>
    <w:p w14:paraId="1160C253" w14:textId="77777777" w:rsidR="00321B2E" w:rsidRPr="00321B2E" w:rsidRDefault="00321B2E" w:rsidP="00321B2E">
      <w:r w:rsidRPr="00321B2E">
        <w:rPr>
          <w:b/>
          <w:bCs/>
        </w:rPr>
        <w:t>Current Licensure/Certifications</w:t>
      </w:r>
    </w:p>
    <w:tbl>
      <w:tblPr>
        <w:tblW w:w="0" w:type="auto"/>
        <w:tblCellMar>
          <w:top w:w="15" w:type="dxa"/>
          <w:left w:w="15" w:type="dxa"/>
          <w:bottom w:w="15" w:type="dxa"/>
          <w:right w:w="15" w:type="dxa"/>
        </w:tblCellMar>
        <w:tblLook w:val="04A0" w:firstRow="1" w:lastRow="0" w:firstColumn="1" w:lastColumn="0" w:noHBand="0" w:noVBand="1"/>
      </w:tblPr>
      <w:tblGrid>
        <w:gridCol w:w="1778"/>
        <w:gridCol w:w="5655"/>
      </w:tblGrid>
      <w:tr w:rsidR="00321B2E" w:rsidRPr="00321B2E" w14:paraId="47C269BB" w14:textId="77777777" w:rsidTr="00321B2E">
        <w:tc>
          <w:tcPr>
            <w:tcW w:w="0" w:type="auto"/>
            <w:tcMar>
              <w:top w:w="0" w:type="dxa"/>
              <w:left w:w="108" w:type="dxa"/>
              <w:bottom w:w="0" w:type="dxa"/>
              <w:right w:w="108" w:type="dxa"/>
            </w:tcMar>
            <w:hideMark/>
          </w:tcPr>
          <w:p w14:paraId="480BB083" w14:textId="77777777" w:rsidR="00321B2E" w:rsidRPr="00321B2E" w:rsidRDefault="00321B2E" w:rsidP="00321B2E">
            <w:r w:rsidRPr="00321B2E">
              <w:t>7/2019-current</w:t>
            </w:r>
          </w:p>
        </w:tc>
        <w:tc>
          <w:tcPr>
            <w:tcW w:w="0" w:type="auto"/>
            <w:tcMar>
              <w:top w:w="0" w:type="dxa"/>
              <w:left w:w="108" w:type="dxa"/>
              <w:bottom w:w="0" w:type="dxa"/>
              <w:right w:w="108" w:type="dxa"/>
            </w:tcMar>
            <w:hideMark/>
          </w:tcPr>
          <w:p w14:paraId="037F5A93" w14:textId="77777777" w:rsidR="00321B2E" w:rsidRPr="00321B2E" w:rsidRDefault="00321B2E" w:rsidP="00321B2E">
            <w:r w:rsidRPr="00321B2E">
              <w:t>Massachusetts Medical License</w:t>
            </w:r>
          </w:p>
        </w:tc>
      </w:tr>
      <w:tr w:rsidR="00321B2E" w:rsidRPr="00321B2E" w14:paraId="60F6FB7A" w14:textId="77777777" w:rsidTr="00321B2E">
        <w:tc>
          <w:tcPr>
            <w:tcW w:w="0" w:type="auto"/>
            <w:tcMar>
              <w:top w:w="0" w:type="dxa"/>
              <w:left w:w="108" w:type="dxa"/>
              <w:bottom w:w="0" w:type="dxa"/>
              <w:right w:w="108" w:type="dxa"/>
            </w:tcMar>
            <w:hideMark/>
          </w:tcPr>
          <w:p w14:paraId="085F0AD8" w14:textId="77777777" w:rsidR="00321B2E" w:rsidRPr="00321B2E" w:rsidRDefault="00321B2E" w:rsidP="00321B2E">
            <w:r w:rsidRPr="00321B2E">
              <w:t>7/2022-current</w:t>
            </w:r>
          </w:p>
        </w:tc>
        <w:tc>
          <w:tcPr>
            <w:tcW w:w="0" w:type="auto"/>
            <w:tcMar>
              <w:top w:w="0" w:type="dxa"/>
              <w:left w:w="108" w:type="dxa"/>
              <w:bottom w:w="0" w:type="dxa"/>
              <w:right w:w="108" w:type="dxa"/>
            </w:tcMar>
            <w:hideMark/>
          </w:tcPr>
          <w:p w14:paraId="412FC720" w14:textId="77777777" w:rsidR="00321B2E" w:rsidRPr="00321B2E" w:rsidRDefault="00321B2E" w:rsidP="00321B2E">
            <w:r w:rsidRPr="00321B2E">
              <w:t>Pennsylvania Medical License</w:t>
            </w:r>
          </w:p>
        </w:tc>
      </w:tr>
      <w:tr w:rsidR="00321B2E" w:rsidRPr="00321B2E" w14:paraId="51C3F3BB" w14:textId="77777777" w:rsidTr="00321B2E">
        <w:tc>
          <w:tcPr>
            <w:tcW w:w="0" w:type="auto"/>
            <w:tcMar>
              <w:top w:w="0" w:type="dxa"/>
              <w:left w:w="108" w:type="dxa"/>
              <w:bottom w:w="0" w:type="dxa"/>
              <w:right w:w="108" w:type="dxa"/>
            </w:tcMar>
            <w:hideMark/>
          </w:tcPr>
          <w:p w14:paraId="7E1A63E3" w14:textId="77777777" w:rsidR="00321B2E" w:rsidRPr="00321B2E" w:rsidRDefault="00321B2E" w:rsidP="00321B2E">
            <w:r w:rsidRPr="00321B2E">
              <w:t>9/2019-current</w:t>
            </w:r>
          </w:p>
        </w:tc>
        <w:tc>
          <w:tcPr>
            <w:tcW w:w="0" w:type="auto"/>
            <w:tcMar>
              <w:top w:w="0" w:type="dxa"/>
              <w:left w:w="108" w:type="dxa"/>
              <w:bottom w:w="0" w:type="dxa"/>
              <w:right w:w="108" w:type="dxa"/>
            </w:tcMar>
            <w:hideMark/>
          </w:tcPr>
          <w:p w14:paraId="5577033C" w14:textId="77777777" w:rsidR="00321B2E" w:rsidRPr="00321B2E" w:rsidRDefault="00321B2E" w:rsidP="00321B2E">
            <w:r w:rsidRPr="00321B2E">
              <w:t>Board Certified, American Board of Internal Medicine</w:t>
            </w:r>
          </w:p>
        </w:tc>
      </w:tr>
    </w:tbl>
    <w:p w14:paraId="656A2C17" w14:textId="77777777" w:rsidR="00321B2E" w:rsidRPr="00321B2E" w:rsidRDefault="00321B2E" w:rsidP="00321B2E"/>
    <w:p w14:paraId="352A626C" w14:textId="77777777" w:rsidR="00321B2E" w:rsidRPr="00321B2E" w:rsidRDefault="00321B2E" w:rsidP="00321B2E">
      <w:r w:rsidRPr="00321B2E">
        <w:rPr>
          <w:b/>
          <w:bCs/>
        </w:rPr>
        <w:t>Report of Scholarship</w:t>
      </w:r>
    </w:p>
    <w:p w14:paraId="360E8A93" w14:textId="77777777" w:rsidR="00321B2E" w:rsidRPr="00321B2E" w:rsidRDefault="00321B2E" w:rsidP="00321B2E">
      <w:r w:rsidRPr="00321B2E">
        <w:rPr>
          <w:u w:val="single"/>
        </w:rPr>
        <w:t>Publications</w:t>
      </w:r>
    </w:p>
    <w:p w14:paraId="43F35B8C" w14:textId="4362CC01" w:rsidR="00321B2E" w:rsidRPr="00321B2E" w:rsidRDefault="00321B2E" w:rsidP="00321B2E">
      <w:r w:rsidRPr="00321B2E">
        <w:rPr>
          <w:b/>
          <w:bCs/>
        </w:rPr>
        <w:t>Field P</w:t>
      </w:r>
      <w:r w:rsidRPr="00321B2E">
        <w:t>, Umer A, Mecca-Monahan MA, Tandon R. Case Report: A Meckel’s diverticulum presenting as pyogenic liver abscesses. BMJ Case Report. 2015.</w:t>
      </w:r>
    </w:p>
    <w:p w14:paraId="6250FC8C" w14:textId="4039189B" w:rsidR="00321B2E" w:rsidRPr="00321B2E" w:rsidRDefault="00321B2E" w:rsidP="00321B2E">
      <w:r w:rsidRPr="00321B2E">
        <w:rPr>
          <w:b/>
          <w:bCs/>
        </w:rPr>
        <w:lastRenderedPageBreak/>
        <w:t>Field P</w:t>
      </w:r>
      <w:r w:rsidRPr="00321B2E">
        <w:t>, Vasan RS. LDL</w:t>
      </w:r>
      <w:r w:rsidRPr="00321B2E">
        <w:rPr>
          <w:rFonts w:ascii="Cambria Math" w:hAnsi="Cambria Math" w:cs="Cambria Math"/>
        </w:rPr>
        <w:t>‐</w:t>
      </w:r>
      <w:r w:rsidRPr="00321B2E">
        <w:t>Cholesterol Is Not the Only Clinically Relevant Biomarker for Coronary Artery Disease or Acute Coronary Syndrome.</w:t>
      </w:r>
      <w:r w:rsidRPr="00321B2E">
        <w:rPr>
          <w:rFonts w:ascii="Aptos" w:hAnsi="Aptos" w:cs="Aptos"/>
        </w:rPr>
        <w:t> </w:t>
      </w:r>
      <w:r w:rsidRPr="00321B2E">
        <w:t>Clinical Pharmacology &amp; Therapeutics. 2018.</w:t>
      </w:r>
    </w:p>
    <w:p w14:paraId="7D1DF297" w14:textId="6971CEC5" w:rsidR="00321B2E" w:rsidRPr="00321B2E" w:rsidRDefault="00321B2E" w:rsidP="00321B2E">
      <w:r w:rsidRPr="00321B2E">
        <w:t xml:space="preserve">Echouffo-Tcheugui J, Short M, Xanthakis V, </w:t>
      </w:r>
      <w:r w:rsidRPr="00321B2E">
        <w:rPr>
          <w:b/>
          <w:bCs/>
        </w:rPr>
        <w:t>Field P,</w:t>
      </w:r>
      <w:r w:rsidRPr="00321B2E">
        <w:t xml:space="preserve"> Sponholtz T, Larson M, Vasan RS, Natural History of Obesity Subphenotypes: Dynamic Changes Over Two Decades and Prognosis in the Framingham Heart Study, The Journal of Clinical Endocrinology &amp; Metabolism, 104(3): 738-752. 2018.</w:t>
      </w:r>
    </w:p>
    <w:p w14:paraId="26C8D38F" w14:textId="4BA4DF70" w:rsidR="00321B2E" w:rsidRPr="00321B2E" w:rsidRDefault="00321B2E" w:rsidP="00321B2E">
      <w:r w:rsidRPr="00321B2E">
        <w:t xml:space="preserve">Wallman DJ, </w:t>
      </w:r>
      <w:r w:rsidRPr="00321B2E">
        <w:rPr>
          <w:b/>
          <w:bCs/>
        </w:rPr>
        <w:t>Field P</w:t>
      </w:r>
      <w:r w:rsidRPr="00321B2E">
        <w:t>. A Woman in Her Early 70s With Altered Mental Status and Left-Sided Wea</w:t>
      </w:r>
      <w:r>
        <w:t>k</w:t>
      </w:r>
      <w:r w:rsidRPr="00321B2E">
        <w:t>ness. </w:t>
      </w:r>
      <w:r w:rsidRPr="00321B2E">
        <w:rPr>
          <w:i/>
          <w:iCs/>
        </w:rPr>
        <w:t>JAMA Cardiology</w:t>
      </w:r>
      <w:r w:rsidRPr="00321B2E">
        <w:t>. Published online April 10, 2019.</w:t>
      </w:r>
    </w:p>
    <w:p w14:paraId="3166FB04" w14:textId="0F1CB5A4" w:rsidR="00321B2E" w:rsidRPr="00321B2E" w:rsidRDefault="00321B2E" w:rsidP="00321B2E">
      <w:r w:rsidRPr="00321B2E">
        <w:t xml:space="preserve">Dixit S, Shirani J, &amp; </w:t>
      </w:r>
      <w:r w:rsidRPr="00321B2E">
        <w:rPr>
          <w:b/>
          <w:bCs/>
        </w:rPr>
        <w:t>Field P</w:t>
      </w:r>
      <w:r w:rsidRPr="00321B2E">
        <w:t>. (2023). Rapid Involution of a Bioprosthetic Transcatheter Aortic Valve Replacement Presenting as Late Bioprosthetic Stenosis. Circulation, 148(Suppl_1), A14286-A14286.</w:t>
      </w:r>
    </w:p>
    <w:p w14:paraId="00D44B6A" w14:textId="5B7101E9" w:rsidR="00321B2E" w:rsidRPr="00321B2E" w:rsidRDefault="00321B2E" w:rsidP="00321B2E">
      <w:r w:rsidRPr="00321B2E">
        <w:t>Roma N, Padala V, Pattoli M, Desai S, Krinock M, Durkin M,</w:t>
      </w:r>
      <w:r w:rsidRPr="00321B2E">
        <w:rPr>
          <w:b/>
          <w:bCs/>
        </w:rPr>
        <w:t xml:space="preserve"> Field P</w:t>
      </w:r>
      <w:r w:rsidRPr="00321B2E">
        <w:t>. and Sheikh T.(2024). BRASH Syndrome: A Rare Clinical Phenomenon. CJC Open, 6(6), 840-842.</w:t>
      </w:r>
    </w:p>
    <w:p w14:paraId="0B3C0827" w14:textId="0A6A4AD6" w:rsidR="00321B2E" w:rsidRPr="00321B2E" w:rsidRDefault="00321B2E" w:rsidP="00321B2E">
      <w:r w:rsidRPr="00321B2E">
        <w:t>Yellapu, V.,</w:t>
      </w:r>
      <w:r w:rsidRPr="00321B2E">
        <w:rPr>
          <w:b/>
          <w:bCs/>
        </w:rPr>
        <w:t xml:space="preserve"> P. Field</w:t>
      </w:r>
      <w:r w:rsidRPr="00321B2E">
        <w:t>, P. Thacker and T. Sheikh "Diagnostic and Prognostic Testing in Heart Failure." Medical Clinics of North America. (2025)</w:t>
      </w:r>
    </w:p>
    <w:p w14:paraId="191177D8" w14:textId="77777777" w:rsidR="00321B2E" w:rsidRPr="00321B2E" w:rsidRDefault="00321B2E" w:rsidP="00321B2E">
      <w:r w:rsidRPr="00321B2E">
        <w:rPr>
          <w:u w:val="single"/>
        </w:rPr>
        <w:t>Non-peer reviewed scholarship in print or other media</w:t>
      </w:r>
    </w:p>
    <w:p w14:paraId="076B544E" w14:textId="19631D5D" w:rsidR="00321B2E" w:rsidRPr="00321B2E" w:rsidRDefault="00321B2E" w:rsidP="00321B2E">
      <w:r w:rsidRPr="00321B2E">
        <w:t xml:space="preserve">Dwyer C, </w:t>
      </w:r>
      <w:r w:rsidRPr="00321B2E">
        <w:rPr>
          <w:b/>
          <w:bCs/>
        </w:rPr>
        <w:t>Field P</w:t>
      </w:r>
      <w:r w:rsidRPr="00321B2E">
        <w:t>. Chapter 1: Cardiology.</w:t>
      </w:r>
      <w:r w:rsidRPr="00321B2E">
        <w:rPr>
          <w:b/>
          <w:bCs/>
        </w:rPr>
        <w:t xml:space="preserve"> </w:t>
      </w:r>
      <w:r w:rsidRPr="00321B2E">
        <w:t>In: Bracken S, Brown T, editors. “USMLE Step 1 Secrets Fourth Edition”. St. Louis: Elsevier Inc; 1-22. 2017.</w:t>
      </w:r>
    </w:p>
    <w:p w14:paraId="3B8DF12E" w14:textId="77777777" w:rsidR="00321B2E" w:rsidRPr="00321B2E" w:rsidRDefault="00321B2E" w:rsidP="00321B2E">
      <w:r w:rsidRPr="00321B2E">
        <w:rPr>
          <w:u w:val="single"/>
        </w:rPr>
        <w:t>Poster Presentations</w:t>
      </w:r>
    </w:p>
    <w:p w14:paraId="38F5D385" w14:textId="2AC5A340" w:rsidR="00321B2E" w:rsidRPr="00321B2E" w:rsidRDefault="00321B2E" w:rsidP="00321B2E">
      <w:r w:rsidRPr="00321B2E">
        <w:rPr>
          <w:b/>
          <w:bCs/>
        </w:rPr>
        <w:t>Field P</w:t>
      </w:r>
      <w:r w:rsidRPr="00321B2E">
        <w:t>, Xanthakis V, Mitchell G, O’Connor G, Cheng S, Vasan RS, “Association of Lung Diffusion Capacity with Cardiac Remodeling and Risk of Heart Failure in the Community” Abstract Poster. November 10, 2018, American Heart Association Conference, Chicago, IL.</w:t>
      </w:r>
    </w:p>
    <w:p w14:paraId="49C06C02" w14:textId="77777777" w:rsidR="00321B2E" w:rsidRPr="00321B2E" w:rsidRDefault="00321B2E" w:rsidP="00321B2E">
      <w:r w:rsidRPr="00321B2E">
        <w:rPr>
          <w:b/>
          <w:bCs/>
        </w:rPr>
        <w:t>Field P</w:t>
      </w:r>
      <w:r w:rsidRPr="00321B2E">
        <w:t>, Ferraro B, Dixit S, Roma N, Friend R, Breslin M, Traub D. “Advanced Practitioner Placement of Implantable Long-Term Cardiac Monitors” Abstract Poster. May 17, 2024, Heart Rhythm Society Conference, Boston, MA.</w:t>
      </w:r>
    </w:p>
    <w:p w14:paraId="67070FE2" w14:textId="77777777" w:rsidR="00B655FD" w:rsidRDefault="00B655FD"/>
    <w:sectPr w:rsidR="00B655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B2E"/>
    <w:rsid w:val="0030442C"/>
    <w:rsid w:val="00321B2E"/>
    <w:rsid w:val="003348FD"/>
    <w:rsid w:val="007074B9"/>
    <w:rsid w:val="00837D8D"/>
    <w:rsid w:val="00B0157D"/>
    <w:rsid w:val="00B65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C9C06"/>
  <w15:chartTrackingRefBased/>
  <w15:docId w15:val="{7A6151FB-91E0-4471-B28C-5ACE58194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1B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1B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1B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1B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1B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1B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1B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1B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1B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1B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1B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1B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1B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1B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1B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1B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1B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1B2E"/>
    <w:rPr>
      <w:rFonts w:eastAsiaTheme="majorEastAsia" w:cstheme="majorBidi"/>
      <w:color w:val="272727" w:themeColor="text1" w:themeTint="D8"/>
    </w:rPr>
  </w:style>
  <w:style w:type="paragraph" w:styleId="Title">
    <w:name w:val="Title"/>
    <w:basedOn w:val="Normal"/>
    <w:next w:val="Normal"/>
    <w:link w:val="TitleChar"/>
    <w:uiPriority w:val="10"/>
    <w:qFormat/>
    <w:rsid w:val="00321B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1B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1B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1B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1B2E"/>
    <w:pPr>
      <w:spacing w:before="160"/>
      <w:jc w:val="center"/>
    </w:pPr>
    <w:rPr>
      <w:i/>
      <w:iCs/>
      <w:color w:val="404040" w:themeColor="text1" w:themeTint="BF"/>
    </w:rPr>
  </w:style>
  <w:style w:type="character" w:customStyle="1" w:styleId="QuoteChar">
    <w:name w:val="Quote Char"/>
    <w:basedOn w:val="DefaultParagraphFont"/>
    <w:link w:val="Quote"/>
    <w:uiPriority w:val="29"/>
    <w:rsid w:val="00321B2E"/>
    <w:rPr>
      <w:i/>
      <w:iCs/>
      <w:color w:val="404040" w:themeColor="text1" w:themeTint="BF"/>
    </w:rPr>
  </w:style>
  <w:style w:type="paragraph" w:styleId="ListParagraph">
    <w:name w:val="List Paragraph"/>
    <w:basedOn w:val="Normal"/>
    <w:uiPriority w:val="34"/>
    <w:qFormat/>
    <w:rsid w:val="00321B2E"/>
    <w:pPr>
      <w:ind w:left="720"/>
      <w:contextualSpacing/>
    </w:pPr>
  </w:style>
  <w:style w:type="character" w:styleId="IntenseEmphasis">
    <w:name w:val="Intense Emphasis"/>
    <w:basedOn w:val="DefaultParagraphFont"/>
    <w:uiPriority w:val="21"/>
    <w:qFormat/>
    <w:rsid w:val="00321B2E"/>
    <w:rPr>
      <w:i/>
      <w:iCs/>
      <w:color w:val="0F4761" w:themeColor="accent1" w:themeShade="BF"/>
    </w:rPr>
  </w:style>
  <w:style w:type="paragraph" w:styleId="IntenseQuote">
    <w:name w:val="Intense Quote"/>
    <w:basedOn w:val="Normal"/>
    <w:next w:val="Normal"/>
    <w:link w:val="IntenseQuoteChar"/>
    <w:uiPriority w:val="30"/>
    <w:qFormat/>
    <w:rsid w:val="00321B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1B2E"/>
    <w:rPr>
      <w:i/>
      <w:iCs/>
      <w:color w:val="0F4761" w:themeColor="accent1" w:themeShade="BF"/>
    </w:rPr>
  </w:style>
  <w:style w:type="character" w:styleId="IntenseReference">
    <w:name w:val="Intense Reference"/>
    <w:basedOn w:val="DefaultParagraphFont"/>
    <w:uiPriority w:val="32"/>
    <w:qFormat/>
    <w:rsid w:val="00321B2E"/>
    <w:rPr>
      <w:b/>
      <w:bCs/>
      <w:smallCaps/>
      <w:color w:val="0F4761" w:themeColor="accent1" w:themeShade="BF"/>
      <w:spacing w:val="5"/>
    </w:rPr>
  </w:style>
  <w:style w:type="character" w:styleId="Hyperlink">
    <w:name w:val="Hyperlink"/>
    <w:basedOn w:val="DefaultParagraphFont"/>
    <w:uiPriority w:val="99"/>
    <w:unhideWhenUsed/>
    <w:rsid w:val="00321B2E"/>
    <w:rPr>
      <w:color w:val="467886" w:themeColor="hyperlink"/>
      <w:u w:val="single"/>
    </w:rPr>
  </w:style>
  <w:style w:type="character" w:styleId="UnresolvedMention">
    <w:name w:val="Unresolved Mention"/>
    <w:basedOn w:val="DefaultParagraphFont"/>
    <w:uiPriority w:val="99"/>
    <w:semiHidden/>
    <w:unhideWhenUsed/>
    <w:rsid w:val="00321B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9052965">
      <w:bodyDiv w:val="1"/>
      <w:marLeft w:val="0"/>
      <w:marRight w:val="0"/>
      <w:marTop w:val="0"/>
      <w:marBottom w:val="0"/>
      <w:divBdr>
        <w:top w:val="none" w:sz="0" w:space="0" w:color="auto"/>
        <w:left w:val="none" w:sz="0" w:space="0" w:color="auto"/>
        <w:bottom w:val="none" w:sz="0" w:space="0" w:color="auto"/>
        <w:right w:val="none" w:sz="0" w:space="0" w:color="auto"/>
      </w:divBdr>
      <w:divsChild>
        <w:div w:id="89935144">
          <w:marLeft w:val="-18"/>
          <w:marRight w:val="0"/>
          <w:marTop w:val="0"/>
          <w:marBottom w:val="0"/>
          <w:divBdr>
            <w:top w:val="none" w:sz="0" w:space="0" w:color="auto"/>
            <w:left w:val="none" w:sz="0" w:space="0" w:color="auto"/>
            <w:bottom w:val="none" w:sz="0" w:space="0" w:color="auto"/>
            <w:right w:val="none" w:sz="0" w:space="0" w:color="auto"/>
          </w:divBdr>
        </w:div>
        <w:div w:id="2145656825">
          <w:marLeft w:val="-18"/>
          <w:marRight w:val="0"/>
          <w:marTop w:val="0"/>
          <w:marBottom w:val="0"/>
          <w:divBdr>
            <w:top w:val="none" w:sz="0" w:space="0" w:color="auto"/>
            <w:left w:val="none" w:sz="0" w:space="0" w:color="auto"/>
            <w:bottom w:val="none" w:sz="0" w:space="0" w:color="auto"/>
            <w:right w:val="none" w:sz="0" w:space="0" w:color="auto"/>
          </w:divBdr>
        </w:div>
        <w:div w:id="1984969527">
          <w:marLeft w:val="-108"/>
          <w:marRight w:val="0"/>
          <w:marTop w:val="0"/>
          <w:marBottom w:val="0"/>
          <w:divBdr>
            <w:top w:val="none" w:sz="0" w:space="0" w:color="auto"/>
            <w:left w:val="none" w:sz="0" w:space="0" w:color="auto"/>
            <w:bottom w:val="none" w:sz="0" w:space="0" w:color="auto"/>
            <w:right w:val="none" w:sz="0" w:space="0" w:color="auto"/>
          </w:divBdr>
        </w:div>
      </w:divsChild>
    </w:div>
    <w:div w:id="1558396720">
      <w:bodyDiv w:val="1"/>
      <w:marLeft w:val="0"/>
      <w:marRight w:val="0"/>
      <w:marTop w:val="0"/>
      <w:marBottom w:val="0"/>
      <w:divBdr>
        <w:top w:val="none" w:sz="0" w:space="0" w:color="auto"/>
        <w:left w:val="none" w:sz="0" w:space="0" w:color="auto"/>
        <w:bottom w:val="none" w:sz="0" w:space="0" w:color="auto"/>
        <w:right w:val="none" w:sz="0" w:space="0" w:color="auto"/>
      </w:divBdr>
      <w:divsChild>
        <w:div w:id="1585842175">
          <w:marLeft w:val="-18"/>
          <w:marRight w:val="0"/>
          <w:marTop w:val="0"/>
          <w:marBottom w:val="0"/>
          <w:divBdr>
            <w:top w:val="none" w:sz="0" w:space="0" w:color="auto"/>
            <w:left w:val="none" w:sz="0" w:space="0" w:color="auto"/>
            <w:bottom w:val="none" w:sz="0" w:space="0" w:color="auto"/>
            <w:right w:val="none" w:sz="0" w:space="0" w:color="auto"/>
          </w:divBdr>
        </w:div>
        <w:div w:id="1499879372">
          <w:marLeft w:val="-18"/>
          <w:marRight w:val="0"/>
          <w:marTop w:val="0"/>
          <w:marBottom w:val="0"/>
          <w:divBdr>
            <w:top w:val="none" w:sz="0" w:space="0" w:color="auto"/>
            <w:left w:val="none" w:sz="0" w:space="0" w:color="auto"/>
            <w:bottom w:val="none" w:sz="0" w:space="0" w:color="auto"/>
            <w:right w:val="none" w:sz="0" w:space="0" w:color="auto"/>
          </w:divBdr>
        </w:div>
        <w:div w:id="1774939436">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450</Words>
  <Characters>2565</Characters>
  <Application>Microsoft Office Word</Application>
  <DocSecurity>0</DocSecurity>
  <Lines>21</Lines>
  <Paragraphs>6</Paragraphs>
  <ScaleCrop>false</ScaleCrop>
  <Company/>
  <LinksUpToDate>false</LinksUpToDate>
  <CharactersWithSpaces>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Field, Patrick</dc:creator>
  <cp:keywords/>
  <dc:description/>
  <cp:lastModifiedBy>Field, Patrick</cp:lastModifiedBy>
  <cp:revision>2</cp:revision>
  <dcterms:created xsi:type="dcterms:W3CDTF">2025-06-04T00:35:00Z</dcterms:created>
  <dcterms:modified xsi:type="dcterms:W3CDTF">2025-06-04T00:39:00Z</dcterms:modified>
</cp:coreProperties>
</file>