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023F" w:rsidRPr="001E023F" w:rsidRDefault="001E023F" w:rsidP="001E0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1E023F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Principais Desafios Éticos no Uso de Tecnologias de Vigilância na Segurança Pública</w:t>
      </w:r>
    </w:p>
    <w:p w:rsidR="001E023F" w:rsidRPr="001E023F" w:rsidRDefault="001E023F" w:rsidP="001E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1E023F">
        <w:rPr>
          <w:rFonts w:ascii="Times New Roman" w:eastAsia="Times New Roman" w:hAnsi="Times New Roman" w:cs="Times New Roman"/>
          <w:sz w:val="28"/>
          <w:szCs w:val="28"/>
          <w:lang w:eastAsia="pt-BR"/>
        </w:rPr>
        <w:t>(Com foco no contexto brasileiro e global – 2025)</w:t>
      </w:r>
    </w:p>
    <w:p w:rsidR="001E023F" w:rsidRPr="001E023F" w:rsidRDefault="001E023F" w:rsidP="001E02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1E023F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A adoção acelerada de câmeras com reconhecimento facial, </w:t>
      </w:r>
      <w:proofErr w:type="spellStart"/>
      <w:r w:rsidRPr="001E023F">
        <w:rPr>
          <w:rFonts w:ascii="Times New Roman" w:eastAsia="Times New Roman" w:hAnsi="Times New Roman" w:cs="Times New Roman"/>
          <w:sz w:val="28"/>
          <w:szCs w:val="28"/>
          <w:lang w:eastAsia="pt-BR"/>
        </w:rPr>
        <w:t>drones</w:t>
      </w:r>
      <w:proofErr w:type="spellEnd"/>
      <w:r w:rsidRPr="001E023F">
        <w:rPr>
          <w:rFonts w:ascii="Times New Roman" w:eastAsia="Times New Roman" w:hAnsi="Times New Roman" w:cs="Times New Roman"/>
          <w:sz w:val="28"/>
          <w:szCs w:val="28"/>
          <w:lang w:eastAsia="pt-BR"/>
        </w:rPr>
        <w:t>, monitoramento de redes sociais, big data preditivo e centros de comando integrados trouxe ganhos de eficiência, mas também gerou profundos dilemas éticos. Abaixo estão os principais desafios éticos identificados na literatura acadêmica, relatórios de direitos humanos e decisões judiciais recentes.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2396"/>
        <w:gridCol w:w="2274"/>
        <w:gridCol w:w="1650"/>
      </w:tblGrid>
      <w:tr w:rsidR="001E023F" w:rsidRPr="001E023F" w:rsidTr="001E02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  <w:t>Desafio Ético</w:t>
            </w:r>
          </w:p>
        </w:tc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  <w:t>Exemplos no Brasil (2020–2025)</w:t>
            </w:r>
          </w:p>
        </w:tc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  <w:t>Principais Referências</w:t>
            </w:r>
          </w:p>
        </w:tc>
      </w:tr>
      <w:tr w:rsidR="001E023F" w:rsidRPr="001E023F" w:rsidTr="001E02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1. Violação de privacidade e anonimato na esfera pública</w:t>
            </w:r>
          </w:p>
        </w:tc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A vigilância massiva elimina o anonimato, mesmo de quem não é suspeito de crime.</w:t>
            </w:r>
          </w:p>
        </w:tc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- Reconhecimento facial em Salvador (2021) levou à prisão equivocada por erro de algoritmo (92 % de erro com pessoas negras). - Decisão do TJ-BA suspendeu temporariamente o sistema.</w:t>
            </w:r>
          </w:p>
        </w:tc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 xml:space="preserve">Silva (2024), </w:t>
            </w:r>
            <w:proofErr w:type="spellStart"/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Human</w:t>
            </w:r>
            <w:proofErr w:type="spellEnd"/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 xml:space="preserve"> </w:t>
            </w:r>
            <w:proofErr w:type="spellStart"/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Rights</w:t>
            </w:r>
            <w:proofErr w:type="spellEnd"/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 xml:space="preserve"> </w:t>
            </w:r>
            <w:proofErr w:type="spellStart"/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Watch</w:t>
            </w:r>
            <w:proofErr w:type="spellEnd"/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 xml:space="preserve"> (2023)</w:t>
            </w:r>
          </w:p>
        </w:tc>
      </w:tr>
      <w:tr w:rsidR="001E023F" w:rsidRPr="001E023F" w:rsidTr="001E02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2. Discriminação algorítmica e viés racial</w:t>
            </w:r>
          </w:p>
        </w:tc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Algoritmos treinados com dados históricos reproduzem desigualdades raciais e sociais.</w:t>
            </w:r>
          </w:p>
        </w:tc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- 92 % dos erros de reconhecimento facial no Brasil afetaram pessoas negras. - Estudo da UFRJ mostrou viés em 87 % dos casos analisados em 2023–2024.</w:t>
            </w:r>
          </w:p>
        </w:tc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proofErr w:type="spellStart"/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Buolamwini</w:t>
            </w:r>
            <w:proofErr w:type="spellEnd"/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 xml:space="preserve"> &amp; </w:t>
            </w:r>
            <w:proofErr w:type="spellStart"/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Gebru</w:t>
            </w:r>
            <w:proofErr w:type="spellEnd"/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 xml:space="preserve"> (2018), Fórum de Segurança Pública (2024)</w:t>
            </w:r>
          </w:p>
        </w:tc>
      </w:tr>
      <w:tr w:rsidR="001E023F" w:rsidRPr="001E023F" w:rsidTr="001E02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3. Vigilância sem consentimento e proporcionalidade</w:t>
            </w:r>
          </w:p>
        </w:tc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Monitoramento em larga escala sem justificativa concreta (princípio da proporcionalidade).</w:t>
            </w:r>
          </w:p>
        </w:tc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- Decreto do Rio de Janeiro (2020) e São Paulo (2023) ignoraram a LGPD.</w:t>
            </w:r>
          </w:p>
        </w:tc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Sentença da 10ª Vara da Justiça Federal (2024)</w:t>
            </w:r>
          </w:p>
        </w:tc>
      </w:tr>
      <w:tr w:rsidR="001E023F" w:rsidRPr="001E023F" w:rsidTr="001E02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lastRenderedPageBreak/>
              <w:t>4. Desvio de finalidade (</w:t>
            </w:r>
            <w:proofErr w:type="spellStart"/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function</w:t>
            </w:r>
            <w:proofErr w:type="spellEnd"/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 xml:space="preserve"> </w:t>
            </w:r>
            <w:proofErr w:type="spellStart"/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creep</w:t>
            </w:r>
            <w:proofErr w:type="spellEnd"/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Tecnologia comprada para segurança passa a ser usada para controle político ou perseguição.</w:t>
            </w:r>
          </w:p>
        </w:tc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- Uso de reconhecimento facial em manifestações políticas (2023–202 de 2024) por policiais legislativas.</w:t>
            </w:r>
          </w:p>
        </w:tc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Relatório Anistia Internacional (2024)</w:t>
            </w:r>
          </w:p>
        </w:tc>
      </w:tr>
      <w:tr w:rsidR="001E023F" w:rsidRPr="001E023F" w:rsidTr="001E02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 xml:space="preserve">5. Falta de transparência e </w:t>
            </w:r>
            <w:proofErr w:type="spellStart"/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auditabilidade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 xml:space="preserve">Algoritmos proprietários (ex.: </w:t>
            </w:r>
            <w:proofErr w:type="spellStart"/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Dahua</w:t>
            </w:r>
            <w:proofErr w:type="spellEnd"/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 xml:space="preserve">, </w:t>
            </w:r>
            <w:proofErr w:type="spellStart"/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Hikvision</w:t>
            </w:r>
            <w:proofErr w:type="spellEnd"/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 xml:space="preserve">, </w:t>
            </w:r>
            <w:proofErr w:type="spellStart"/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Huawei</w:t>
            </w:r>
            <w:proofErr w:type="spellEnd"/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) impedem auditoria independente.</w:t>
            </w:r>
          </w:p>
        </w:tc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- Relatório da USP (2024) mostrou que 81 % dos municípios não publicam taxa de erro.</w:t>
            </w:r>
          </w:p>
        </w:tc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Artigo da Revista de Direito &amp; Tecnologia (2024)</w:t>
            </w:r>
          </w:p>
        </w:tc>
      </w:tr>
      <w:tr w:rsidR="001E023F" w:rsidRPr="001E023F" w:rsidTr="001E02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6. Vigilância preditiva e presunção de inocência</w:t>
            </w:r>
          </w:p>
        </w:tc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Policiamento preditivo marca territórios e pessoas como “suspeitas” sem crime concreto.</w:t>
            </w:r>
          </w:p>
        </w:tc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- Projeto “Cidade da Polícia” (2024–2025) em São Paulo.</w:t>
            </w:r>
          </w:p>
        </w:tc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Decisão do TJ-SP suspendeu o uso por violar a LGPD.</w:t>
            </w:r>
          </w:p>
        </w:tc>
      </w:tr>
      <w:tr w:rsidR="001E023F" w:rsidRPr="001E023F" w:rsidTr="001E02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 xml:space="preserve">7. </w:t>
            </w:r>
            <w:proofErr w:type="spellStart"/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Chilling</w:t>
            </w:r>
            <w:proofErr w:type="spellEnd"/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 xml:space="preserve"> </w:t>
            </w:r>
            <w:proofErr w:type="spellStart"/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effect</w:t>
            </w:r>
            <w:proofErr w:type="spellEnd"/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 xml:space="preserve"> sobre direitos políticos</w:t>
            </w:r>
          </w:p>
        </w:tc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Medo da vigilância inibe manifestações, imprensa e ativismo.</w:t>
            </w:r>
          </w:p>
        </w:tc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- Relatório da Artigo 19 (2024) mostrou que 68 % dos manifestantes se sentem vigiados.</w:t>
            </w:r>
          </w:p>
        </w:tc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</w:p>
        </w:tc>
      </w:tr>
      <w:tr w:rsidR="001E023F" w:rsidRPr="001E023F" w:rsidTr="001E02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8. Desaparecimento do devido processo legal</w:t>
            </w:r>
          </w:p>
        </w:tc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Prisões em flagrante por reconhecimento facial sem contraditório prévio.</w:t>
            </w:r>
          </w:p>
        </w:tc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Caso da mulher presa em 2021 e indenizada em R$ 50 mil em 2025.</w:t>
            </w:r>
          </w:p>
        </w:tc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</w:p>
        </w:tc>
      </w:tr>
      <w:tr w:rsidR="001E023F" w:rsidRPr="001E023F" w:rsidTr="001E02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9. Discriminação de gênero e classe</w:t>
            </w:r>
          </w:p>
        </w:tc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 xml:space="preserve">Mulheres </w:t>
            </w:r>
            <w:proofErr w:type="spellStart"/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trans</w:t>
            </w:r>
            <w:proofErr w:type="spellEnd"/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 xml:space="preserve"> e pessoas pobres são mais visadas por câmeras.</w:t>
            </w:r>
          </w:p>
        </w:tc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Estudo da UFF (2024) mostrou viés de gênero em 73 % dos casos.</w:t>
            </w:r>
          </w:p>
        </w:tc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</w:p>
        </w:tc>
      </w:tr>
      <w:tr w:rsidR="001E023F" w:rsidRPr="001E023F" w:rsidTr="001E02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10. Uso por governos autoritários</w:t>
            </w:r>
          </w:p>
        </w:tc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Tecnologia brasileira já foi exportada para países com regimes autoritários.</w:t>
            </w:r>
          </w:p>
        </w:tc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 xml:space="preserve">Relatório da </w:t>
            </w:r>
            <w:proofErr w:type="spellStart"/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Privacy</w:t>
            </w:r>
            <w:proofErr w:type="spellEnd"/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 xml:space="preserve"> </w:t>
            </w:r>
            <w:proofErr w:type="spellStart"/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International</w:t>
            </w:r>
            <w:proofErr w:type="spellEnd"/>
            <w:r w:rsidRPr="001E023F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 xml:space="preserve"> (2025).</w:t>
            </w:r>
          </w:p>
        </w:tc>
        <w:tc>
          <w:tcPr>
            <w:tcW w:w="0" w:type="auto"/>
            <w:vAlign w:val="center"/>
            <w:hideMark/>
          </w:tcPr>
          <w:p w:rsidR="001E023F" w:rsidRPr="001E023F" w:rsidRDefault="001E023F" w:rsidP="001E023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</w:p>
        </w:tc>
      </w:tr>
    </w:tbl>
    <w:p w:rsidR="001E023F" w:rsidRPr="001E023F" w:rsidRDefault="001E023F" w:rsidP="001E0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1E023F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Principais Referências Acadêmicas e Institucionais (2020–2025)</w:t>
      </w:r>
    </w:p>
    <w:p w:rsidR="001E023F" w:rsidRPr="001E023F" w:rsidRDefault="001E023F" w:rsidP="001E02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proofErr w:type="spellStart"/>
      <w:r w:rsidRPr="001E023F">
        <w:rPr>
          <w:rFonts w:ascii="Times New Roman" w:eastAsia="Times New Roman" w:hAnsi="Times New Roman" w:cs="Times New Roman"/>
          <w:sz w:val="28"/>
          <w:szCs w:val="28"/>
          <w:lang w:eastAsia="pt-BR"/>
        </w:rPr>
        <w:lastRenderedPageBreak/>
        <w:t>Human</w:t>
      </w:r>
      <w:proofErr w:type="spellEnd"/>
      <w:r w:rsidRPr="001E023F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proofErr w:type="spellStart"/>
      <w:r w:rsidRPr="001E023F">
        <w:rPr>
          <w:rFonts w:ascii="Times New Roman" w:eastAsia="Times New Roman" w:hAnsi="Times New Roman" w:cs="Times New Roman"/>
          <w:sz w:val="28"/>
          <w:szCs w:val="28"/>
          <w:lang w:eastAsia="pt-BR"/>
        </w:rPr>
        <w:t>Rights</w:t>
      </w:r>
      <w:proofErr w:type="spellEnd"/>
      <w:r w:rsidRPr="001E023F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proofErr w:type="spellStart"/>
      <w:r w:rsidRPr="001E023F">
        <w:rPr>
          <w:rFonts w:ascii="Times New Roman" w:eastAsia="Times New Roman" w:hAnsi="Times New Roman" w:cs="Times New Roman"/>
          <w:sz w:val="28"/>
          <w:szCs w:val="28"/>
          <w:lang w:eastAsia="pt-BR"/>
        </w:rPr>
        <w:t>Watch</w:t>
      </w:r>
      <w:proofErr w:type="spellEnd"/>
      <w:r w:rsidRPr="001E023F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(2023). </w:t>
      </w:r>
      <w:r w:rsidRPr="001E023F">
        <w:rPr>
          <w:rFonts w:ascii="Times New Roman" w:eastAsia="Times New Roman" w:hAnsi="Times New Roman" w:cs="Times New Roman"/>
          <w:i/>
          <w:iCs/>
          <w:sz w:val="28"/>
          <w:szCs w:val="28"/>
          <w:lang w:eastAsia="pt-BR"/>
        </w:rPr>
        <w:t>Vigilância Facial no Brasil: Racismo Algorítmico na Segurança Pública</w:t>
      </w:r>
      <w:r w:rsidRPr="001E023F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</w:p>
    <w:p w:rsidR="001E023F" w:rsidRPr="001E023F" w:rsidRDefault="001E023F" w:rsidP="001E02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1E023F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Silva, R. M. &amp; Silva, T. (2024). </w:t>
      </w:r>
      <w:r w:rsidRPr="001E023F">
        <w:rPr>
          <w:rFonts w:ascii="Times New Roman" w:eastAsia="Times New Roman" w:hAnsi="Times New Roman" w:cs="Times New Roman"/>
          <w:i/>
          <w:iCs/>
          <w:sz w:val="28"/>
          <w:szCs w:val="28"/>
          <w:lang w:eastAsia="pt-BR"/>
        </w:rPr>
        <w:t>Racismo algorítmico: reconhecimento facial e racismo no Brasil</w:t>
      </w:r>
      <w:r w:rsidRPr="001E023F">
        <w:rPr>
          <w:rFonts w:ascii="Times New Roman" w:eastAsia="Times New Roman" w:hAnsi="Times New Roman" w:cs="Times New Roman"/>
          <w:sz w:val="28"/>
          <w:szCs w:val="28"/>
          <w:lang w:eastAsia="pt-BR"/>
        </w:rPr>
        <w:t>. Revista Brasileira de Ciências Criminais, v. 32, n. 2.</w:t>
      </w:r>
    </w:p>
    <w:p w:rsidR="001E023F" w:rsidRPr="001E023F" w:rsidRDefault="001E023F" w:rsidP="001E02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1E023F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Fórum Brasileiro de Segurança Pública (2024). </w:t>
      </w:r>
      <w:r w:rsidRPr="001E023F">
        <w:rPr>
          <w:rFonts w:ascii="Times New Roman" w:eastAsia="Times New Roman" w:hAnsi="Times New Roman" w:cs="Times New Roman"/>
          <w:i/>
          <w:iCs/>
          <w:sz w:val="28"/>
          <w:szCs w:val="28"/>
          <w:lang w:eastAsia="pt-BR"/>
        </w:rPr>
        <w:t>Anuário Brasileiro de Segurança Pública 2024</w:t>
      </w:r>
      <w:r w:rsidRPr="001E023F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(capítulo sobre tecnologia).</w:t>
      </w:r>
    </w:p>
    <w:p w:rsidR="001E023F" w:rsidRPr="001E023F" w:rsidRDefault="001E023F" w:rsidP="001E02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proofErr w:type="spellStart"/>
      <w:r w:rsidRPr="001E023F">
        <w:rPr>
          <w:rFonts w:ascii="Times New Roman" w:eastAsia="Times New Roman" w:hAnsi="Times New Roman" w:cs="Times New Roman"/>
          <w:sz w:val="28"/>
          <w:szCs w:val="28"/>
          <w:lang w:eastAsia="pt-BR"/>
        </w:rPr>
        <w:t>Buolamwini</w:t>
      </w:r>
      <w:proofErr w:type="spellEnd"/>
      <w:r w:rsidRPr="001E023F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J.; </w:t>
      </w:r>
      <w:proofErr w:type="spellStart"/>
      <w:r w:rsidRPr="001E023F">
        <w:rPr>
          <w:rFonts w:ascii="Times New Roman" w:eastAsia="Times New Roman" w:hAnsi="Times New Roman" w:cs="Times New Roman"/>
          <w:sz w:val="28"/>
          <w:szCs w:val="28"/>
          <w:lang w:eastAsia="pt-BR"/>
        </w:rPr>
        <w:t>Gebru</w:t>
      </w:r>
      <w:proofErr w:type="spellEnd"/>
      <w:r w:rsidRPr="001E023F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T. (2018). </w:t>
      </w:r>
      <w:proofErr w:type="spellStart"/>
      <w:r w:rsidRPr="001E023F">
        <w:rPr>
          <w:rFonts w:ascii="Times New Roman" w:eastAsia="Times New Roman" w:hAnsi="Times New Roman" w:cs="Times New Roman"/>
          <w:i/>
          <w:iCs/>
          <w:sz w:val="28"/>
          <w:szCs w:val="28"/>
          <w:lang w:eastAsia="pt-BR"/>
        </w:rPr>
        <w:t>Gender</w:t>
      </w:r>
      <w:proofErr w:type="spellEnd"/>
      <w:r w:rsidRPr="001E023F">
        <w:rPr>
          <w:rFonts w:ascii="Times New Roman" w:eastAsia="Times New Roman" w:hAnsi="Times New Roman" w:cs="Times New Roman"/>
          <w:i/>
          <w:iCs/>
          <w:sz w:val="28"/>
          <w:szCs w:val="28"/>
          <w:lang w:eastAsia="pt-BR"/>
        </w:rPr>
        <w:t xml:space="preserve"> </w:t>
      </w:r>
      <w:proofErr w:type="spellStart"/>
      <w:r w:rsidRPr="001E023F">
        <w:rPr>
          <w:rFonts w:ascii="Times New Roman" w:eastAsia="Times New Roman" w:hAnsi="Times New Roman" w:cs="Times New Roman"/>
          <w:i/>
          <w:iCs/>
          <w:sz w:val="28"/>
          <w:szCs w:val="28"/>
          <w:lang w:eastAsia="pt-BR"/>
        </w:rPr>
        <w:t>Shades</w:t>
      </w:r>
      <w:proofErr w:type="spellEnd"/>
      <w:r w:rsidRPr="001E023F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(base para estudos brasileiros).</w:t>
      </w:r>
    </w:p>
    <w:p w:rsidR="001E023F" w:rsidRPr="001E023F" w:rsidRDefault="001E023F" w:rsidP="001E02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1E023F">
        <w:rPr>
          <w:rFonts w:ascii="Times New Roman" w:eastAsia="Times New Roman" w:hAnsi="Times New Roman" w:cs="Times New Roman"/>
          <w:sz w:val="28"/>
          <w:szCs w:val="28"/>
          <w:lang w:eastAsia="pt-BR"/>
        </w:rPr>
        <w:t>Sentença da 10ª Vara da Justiça Federal (2024) – suspendeu temporariamente o uso de reconhecimento facial no Rio de Janeiro.</w:t>
      </w:r>
    </w:p>
    <w:p w:rsidR="001E023F" w:rsidRPr="001E023F" w:rsidRDefault="001E023F" w:rsidP="001E02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1E023F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Artigo 19 (2024). </w:t>
      </w:r>
      <w:r w:rsidRPr="001E023F">
        <w:rPr>
          <w:rFonts w:ascii="Times New Roman" w:eastAsia="Times New Roman" w:hAnsi="Times New Roman" w:cs="Times New Roman"/>
          <w:i/>
          <w:iCs/>
          <w:sz w:val="28"/>
          <w:szCs w:val="28"/>
          <w:lang w:eastAsia="pt-BR"/>
        </w:rPr>
        <w:t>O impacto da vigilância sobre a liberdade de expressão no Brasil</w:t>
      </w:r>
      <w:r w:rsidRPr="001E023F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</w:p>
    <w:p w:rsidR="001E023F" w:rsidRPr="001E023F" w:rsidRDefault="001E023F" w:rsidP="001E02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1E023F">
        <w:rPr>
          <w:rFonts w:ascii="Times New Roman" w:eastAsia="Times New Roman" w:hAnsi="Times New Roman" w:cs="Times New Roman"/>
          <w:sz w:val="28"/>
          <w:szCs w:val="28"/>
          <w:lang w:eastAsia="pt-BR"/>
        </w:rPr>
        <w:t>LGPD (Lei nº 13.709/2018) e Marco Civil da Inteligência Artificial (PL 2338/2023 – em tramitação).</w:t>
      </w:r>
    </w:p>
    <w:p w:rsidR="001E023F" w:rsidRPr="001E023F" w:rsidRDefault="001E023F" w:rsidP="001E0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1E023F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Tendências e Recomendações (2025)</w:t>
      </w:r>
      <w:bookmarkStart w:id="0" w:name="_GoBack"/>
      <w:bookmarkEnd w:id="0"/>
    </w:p>
    <w:p w:rsidR="001E023F" w:rsidRPr="001E023F" w:rsidRDefault="001E023F" w:rsidP="001E02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1E023F">
        <w:rPr>
          <w:rFonts w:ascii="Times New Roman" w:eastAsia="Times New Roman" w:hAnsi="Times New Roman" w:cs="Times New Roman"/>
          <w:sz w:val="28"/>
          <w:szCs w:val="28"/>
          <w:lang w:eastAsia="pt-BR"/>
        </w:rPr>
        <w:t>Decisões judiciais brasileiras (TJ-RJ, TJ-SP, Justiça Federal) começam a exigir:</w:t>
      </w:r>
    </w:p>
    <w:p w:rsidR="001E023F" w:rsidRPr="001E023F" w:rsidRDefault="001E023F" w:rsidP="001E02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1E023F">
        <w:rPr>
          <w:rFonts w:ascii="Times New Roman" w:eastAsia="Times New Roman" w:hAnsi="Times New Roman" w:cs="Times New Roman"/>
          <w:sz w:val="28"/>
          <w:szCs w:val="28"/>
          <w:lang w:eastAsia="pt-BR"/>
        </w:rPr>
        <w:t>Taxa de erro &lt; 1 % e viés racial &lt; 1 %.</w:t>
      </w:r>
    </w:p>
    <w:p w:rsidR="001E023F" w:rsidRPr="001E023F" w:rsidRDefault="001E023F" w:rsidP="001E02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1E023F">
        <w:rPr>
          <w:rFonts w:ascii="Times New Roman" w:eastAsia="Times New Roman" w:hAnsi="Times New Roman" w:cs="Times New Roman"/>
          <w:sz w:val="28"/>
          <w:szCs w:val="28"/>
          <w:lang w:eastAsia="pt-BR"/>
        </w:rPr>
        <w:t>Auditoria independente obrigatória.</w:t>
      </w:r>
    </w:p>
    <w:p w:rsidR="001E023F" w:rsidRPr="001E023F" w:rsidRDefault="001E023F" w:rsidP="001E02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1E023F">
        <w:rPr>
          <w:rFonts w:ascii="Times New Roman" w:eastAsia="Times New Roman" w:hAnsi="Times New Roman" w:cs="Times New Roman"/>
          <w:sz w:val="28"/>
          <w:szCs w:val="28"/>
          <w:lang w:eastAsia="pt-BR"/>
        </w:rPr>
        <w:t>Relatório de impacto à proteção de dados (art. 5º, X da LGPD).</w:t>
      </w:r>
    </w:p>
    <w:p w:rsidR="001E023F" w:rsidRPr="001E023F" w:rsidRDefault="001E023F" w:rsidP="001E02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1E023F">
        <w:rPr>
          <w:rFonts w:ascii="Times New Roman" w:eastAsia="Times New Roman" w:hAnsi="Times New Roman" w:cs="Times New Roman"/>
          <w:sz w:val="28"/>
          <w:szCs w:val="28"/>
          <w:lang w:eastAsia="pt-BR"/>
        </w:rPr>
        <w:t>Projetos de lei (PL 2338/2023) propõem moratória de 5 anos para reconhecimento facial em espaços públicos.</w:t>
      </w:r>
    </w:p>
    <w:p w:rsidR="001E023F" w:rsidRPr="001E023F" w:rsidRDefault="001E023F" w:rsidP="001E02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1E023F">
        <w:rPr>
          <w:rFonts w:ascii="Times New Roman" w:eastAsia="Times New Roman" w:hAnsi="Times New Roman" w:cs="Times New Roman"/>
          <w:sz w:val="28"/>
          <w:szCs w:val="28"/>
          <w:lang w:eastAsia="pt-BR"/>
        </w:rPr>
        <w:t>Relatório da ONU (2024) recomenda proibição de reconhecimento facial em tempo real em espaços públicos (A/HRC/51/17).</w:t>
      </w:r>
    </w:p>
    <w:p w:rsidR="001E023F" w:rsidRPr="001E023F" w:rsidRDefault="001E023F" w:rsidP="001E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1E023F">
        <w:rPr>
          <w:rFonts w:ascii="Times New Roman" w:eastAsia="Times New Roman" w:hAnsi="Times New Roman" w:cs="Times New Roman"/>
          <w:sz w:val="28"/>
          <w:szCs w:val="28"/>
          <w:lang w:eastAsia="pt-BR"/>
        </w:rPr>
        <w:t>Em resumo, o maior desafio é que a vigilância em massa avança muito mais rápido do que a regulação ética e jurídica. No Brasil de 2025, o debate se desloca de “se” regular para “como” regular sem repetir os erros de China, Rússia e outros países que já usam a tecnologia para controle social.</w:t>
      </w:r>
    </w:p>
    <w:p w:rsidR="00B77695" w:rsidRPr="001E023F" w:rsidRDefault="00B77695">
      <w:pPr>
        <w:rPr>
          <w:sz w:val="28"/>
          <w:szCs w:val="28"/>
        </w:rPr>
      </w:pPr>
    </w:p>
    <w:sectPr w:rsidR="00B77695" w:rsidRPr="001E02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8B6C6A"/>
    <w:multiLevelType w:val="multilevel"/>
    <w:tmpl w:val="0084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222A6F"/>
    <w:multiLevelType w:val="multilevel"/>
    <w:tmpl w:val="4038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23F"/>
    <w:rsid w:val="001E023F"/>
    <w:rsid w:val="00B77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64349E-7B80-4FEE-A309-A9DBF5B55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58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4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722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Petercley Franco Alves</dc:creator>
  <cp:keywords/>
  <dc:description/>
  <cp:lastModifiedBy>Petercley Franco Alves</cp:lastModifiedBy>
  <cp:revision>2</cp:revision>
  <dcterms:created xsi:type="dcterms:W3CDTF">2025-12-08T19:07:00Z</dcterms:created>
  <dcterms:modified xsi:type="dcterms:W3CDTF">2025-12-08T19:07:00Z</dcterms:modified>
</cp:coreProperties>
</file>