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3C1D" w14:textId="77777777" w:rsidR="00060A6A" w:rsidRDefault="00060A6A" w:rsidP="002A5E14"/>
    <w:p w14:paraId="6A0D43A3" w14:textId="7AC87609" w:rsidR="002A5E14" w:rsidRDefault="0055332E" w:rsidP="002A5E14">
      <w:r w:rsidRPr="00060A6A">
        <w:rPr>
          <w:b/>
          <w:bCs/>
        </w:rPr>
        <w:t>Resumo</w:t>
      </w:r>
      <w:r w:rsidR="002A5E14">
        <w:t>:</w:t>
      </w:r>
    </w:p>
    <w:p w14:paraId="23BDAAEF" w14:textId="2049A6E4" w:rsidR="002A5E14" w:rsidRDefault="002A5E14" w:rsidP="00060A6A">
      <w:pPr>
        <w:ind w:firstLine="708"/>
        <w:jc w:val="both"/>
      </w:pPr>
      <w:r>
        <w:t>A inteligência artificial (IA) tem o potencial de remodelar a economia global, especialmente no âmbito dos mercados de trabalho.</w:t>
      </w:r>
      <w:r>
        <w:t xml:space="preserve"> </w:t>
      </w:r>
      <w:r>
        <w:t xml:space="preserve">As economias avançadas experimentarão os benefícios e as armadilhas da IA </w:t>
      </w:r>
      <w:r>
        <w:rPr>
          <w:rFonts w:ascii="Arial" w:hAnsi="Arial" w:cs="Arial"/>
        </w:rPr>
        <w:t>​​</w:t>
      </w:r>
      <w:r>
        <w:t xml:space="preserve">mais cedo do que as economias de mercado emergentes e em desenvolvimento, em grande parte porque sua estrutura de emprego </w:t>
      </w:r>
      <w:r>
        <w:rPr>
          <w:rFonts w:ascii="Aptos" w:hAnsi="Aptos" w:cs="Aptos"/>
        </w:rPr>
        <w:t>é</w:t>
      </w:r>
      <w:r>
        <w:t xml:space="preserve"> focada em fun</w:t>
      </w:r>
      <w:r>
        <w:rPr>
          <w:rFonts w:ascii="Aptos" w:hAnsi="Aptos" w:cs="Aptos"/>
        </w:rPr>
        <w:t>çõ</w:t>
      </w:r>
      <w:r>
        <w:t>es cognitivas intensivas.</w:t>
      </w:r>
    </w:p>
    <w:p w14:paraId="1081DA95" w14:textId="4398F50B" w:rsidR="002A5E14" w:rsidRDefault="002A5E14" w:rsidP="00060A6A">
      <w:pPr>
        <w:ind w:firstLine="708"/>
        <w:jc w:val="both"/>
      </w:pPr>
      <w:r>
        <w:t>Existem alguns padrões consistentes em relação à exposição à IA: mulheres e indivíduos com ensino superior estão mais expostos, mas também mais bem posicionados para colher os benefícios da IA, e os trabalhadores mais velhos são potencialmente menos</w:t>
      </w:r>
      <w:r w:rsidR="00060A6A">
        <w:t xml:space="preserve"> </w:t>
      </w:r>
      <w:r>
        <w:t>capazes de se adaptar à nova tecnologia.</w:t>
      </w:r>
    </w:p>
    <w:p w14:paraId="232CC83A" w14:textId="77777777" w:rsidR="002A5E14" w:rsidRDefault="002A5E14" w:rsidP="00060A6A">
      <w:pPr>
        <w:ind w:firstLine="708"/>
        <w:jc w:val="both"/>
      </w:pPr>
      <w:r>
        <w:t>A desigualdade de renda do trabalho pode aumentar se a complementaridade entre IA e trabalhadores de alta renda for forte, e os retornos de capital aumentarão a desigualdade de riqueza. No entanto, se os ganhos de produtividade forem suficientemente grandes, os níveis de renda podem aumentar para a maioria dos trabalhadores.</w:t>
      </w:r>
    </w:p>
    <w:p w14:paraId="0495E847" w14:textId="77777777" w:rsidR="002A5E14" w:rsidRDefault="002A5E14" w:rsidP="00060A6A">
      <w:pPr>
        <w:ind w:firstLine="708"/>
        <w:jc w:val="both"/>
      </w:pPr>
      <w:r>
        <w:t>Neste cenário em evolução, as economias avançadas e as economias de mercado emergentes mais desenvolvidas precisam se concentrar na atualização de estruturas regulatórias e no suporte à realocação de mão de obra, ao mesmo tempo em que protegem aqueles afetados negativamente.</w:t>
      </w:r>
    </w:p>
    <w:p w14:paraId="32512A38" w14:textId="3E2F0018" w:rsidR="00060A6A" w:rsidRDefault="002A5E14" w:rsidP="00060A6A">
      <w:pPr>
        <w:ind w:firstLine="708"/>
        <w:jc w:val="both"/>
      </w:pPr>
      <w:r>
        <w:t>As economias de mercado emergentes e em desenvolvimento devem priorizar o desenvolvimento de infraestrutura digital e habilidades digitais.</w:t>
      </w:r>
      <w:r w:rsidR="00060A6A">
        <w:t xml:space="preserve"> </w:t>
      </w:r>
      <w:r w:rsidR="00060A6A">
        <w:t>A inteligência artificial (IA) está pronta para mudar profundamente a economia global, com alguns comentaristas a vendo como semelhante a uma nova revolução industrial. Suas consequências para economias e sociedades continuam difíceis de prever. Isso é especialmente evidente no contexto dos mercados de trabalho, onde a IA promete aumentar a produtividade</w:t>
      </w:r>
      <w:r w:rsidR="00060A6A">
        <w:t xml:space="preserve"> </w:t>
      </w:r>
      <w:r w:rsidR="00060A6A">
        <w:t>enquanto ameaça substituir humanos em alguns empregos e complementá-los em outros.</w:t>
      </w:r>
    </w:p>
    <w:p w14:paraId="4B5D917D" w14:textId="66B7973B" w:rsidR="00060A6A" w:rsidRDefault="00060A6A" w:rsidP="00060A6A">
      <w:pPr>
        <w:ind w:firstLine="708"/>
        <w:jc w:val="both"/>
      </w:pPr>
      <w:r>
        <w:t xml:space="preserve">Quase 40% do emprego global está exposto à IA, com economias avançadas em maior risco, mas também mais bem posicionadas para explorar os benefícios da IA </w:t>
      </w:r>
      <w:r>
        <w:rPr>
          <w:rFonts w:ascii="Arial" w:hAnsi="Arial" w:cs="Arial"/>
        </w:rPr>
        <w:t>​​</w:t>
      </w:r>
      <w:r>
        <w:t>do que economias de mercados emergentes e em desenvolvimento. Em economias avan</w:t>
      </w:r>
      <w:r>
        <w:rPr>
          <w:rFonts w:ascii="Aptos" w:hAnsi="Aptos" w:cs="Aptos"/>
        </w:rPr>
        <w:t>ç</w:t>
      </w:r>
      <w:r>
        <w:t>adas, cerca de 60% dos empregos est</w:t>
      </w:r>
      <w:r>
        <w:rPr>
          <w:rFonts w:ascii="Aptos" w:hAnsi="Aptos" w:cs="Aptos"/>
        </w:rPr>
        <w:t>ã</w:t>
      </w:r>
      <w:r>
        <w:t xml:space="preserve">o expostos </w:t>
      </w:r>
      <w:r>
        <w:rPr>
          <w:rFonts w:ascii="Aptos" w:hAnsi="Aptos" w:cs="Aptos"/>
        </w:rPr>
        <w:t>à</w:t>
      </w:r>
      <w:r>
        <w:t xml:space="preserve"> IA, devido </w:t>
      </w:r>
      <w:r>
        <w:rPr>
          <w:rFonts w:ascii="Aptos" w:hAnsi="Aptos" w:cs="Aptos"/>
        </w:rPr>
        <w:t>à</w:t>
      </w:r>
      <w:r>
        <w:t xml:space="preserve"> preval</w:t>
      </w:r>
      <w:r>
        <w:rPr>
          <w:rFonts w:ascii="Aptos" w:hAnsi="Aptos" w:cs="Aptos"/>
        </w:rPr>
        <w:t>ê</w:t>
      </w:r>
      <w:r>
        <w:t>ncia de empregos orientados a tarefas cognitivas. Uma</w:t>
      </w:r>
      <w:r>
        <w:t xml:space="preserve"> </w:t>
      </w:r>
      <w:r>
        <w:t xml:space="preserve">nova medida de complementaridade potencial da IA </w:t>
      </w:r>
      <w:r>
        <w:rPr>
          <w:rFonts w:ascii="Arial" w:hAnsi="Arial" w:cs="Arial"/>
        </w:rPr>
        <w:t>​​</w:t>
      </w:r>
      <w:r>
        <w:t>sugere que, destes, cerca de metade pode ser afetada negativamente pela</w:t>
      </w:r>
      <w:r>
        <w:t xml:space="preserve"> </w:t>
      </w:r>
      <w:r>
        <w:t>IA, enquanto o restante pode se beneficiar da produtividade aprimorada por meio da integração da IA.</w:t>
      </w:r>
    </w:p>
    <w:p w14:paraId="182560E9" w14:textId="77777777" w:rsidR="00060A6A" w:rsidRDefault="00060A6A" w:rsidP="00060A6A">
      <w:pPr>
        <w:ind w:firstLine="708"/>
        <w:jc w:val="both"/>
      </w:pPr>
      <w:r>
        <w:t>A exposição geral é de 40% em economias de mercados emergentes e 26% em países de baixa renda. Embora muitas economias de mercados emergentes e em desenvolvimento possam experimentar menos interrupções imediatas relacionadas à IA, elas também estão menos prontas para aproveitar as vantagens da IA. Isso pode exacerbar a exclusão digital e a disparidade de renda entre países.</w:t>
      </w:r>
    </w:p>
    <w:p w14:paraId="08F7458A" w14:textId="77777777" w:rsidR="00060A6A" w:rsidRDefault="00060A6A" w:rsidP="00060A6A">
      <w:pPr>
        <w:ind w:firstLine="708"/>
        <w:jc w:val="both"/>
      </w:pPr>
      <w:r>
        <w:t xml:space="preserve">A IA afetará a desigualdade de renda e riqueza. Ao contrário das ondas anteriores de automação, que tiveram o efeito mais forte em trabalhadores de qualificação média, os riscos de deslocamento da IA </w:t>
      </w:r>
      <w:r>
        <w:rPr>
          <w:rFonts w:ascii="Arial" w:hAnsi="Arial" w:cs="Arial"/>
        </w:rPr>
        <w:t>​​</w:t>
      </w:r>
      <w:r>
        <w:t>se estendem aos assalariados com sal</w:t>
      </w:r>
      <w:r>
        <w:rPr>
          <w:rFonts w:ascii="Aptos" w:hAnsi="Aptos" w:cs="Aptos"/>
        </w:rPr>
        <w:t>á</w:t>
      </w:r>
      <w:r>
        <w:t xml:space="preserve">rios mais altos. </w:t>
      </w:r>
    </w:p>
    <w:p w14:paraId="22D5390D" w14:textId="157A72C0" w:rsidR="00060A6A" w:rsidRDefault="00060A6A" w:rsidP="00060A6A">
      <w:pPr>
        <w:ind w:firstLine="708"/>
        <w:jc w:val="both"/>
      </w:pPr>
      <w:r>
        <w:lastRenderedPageBreak/>
        <w:t xml:space="preserve">No entanto, a complementaridade potencial da IA </w:t>
      </w:r>
      <w:r>
        <w:rPr>
          <w:rFonts w:ascii="Arial" w:hAnsi="Arial" w:cs="Arial"/>
        </w:rPr>
        <w:t>​​</w:t>
      </w:r>
      <w:r>
        <w:rPr>
          <w:rFonts w:ascii="Aptos" w:hAnsi="Aptos" w:cs="Aptos"/>
        </w:rPr>
        <w:t>é</w:t>
      </w:r>
      <w:r>
        <w:t xml:space="preserve"> positivamente correlacionada com a renda. Portanto, o efeito sobre a desigualdade de renda do trabalho depende</w:t>
      </w:r>
      <w:r>
        <w:t xml:space="preserve"> </w:t>
      </w:r>
      <w:r>
        <w:t>em grande parte da extensão em que a IA desloca ou complementa trabalhadores de alta renda. Simulações de modelos sugerem</w:t>
      </w:r>
      <w:r>
        <w:t xml:space="preserve"> </w:t>
      </w:r>
      <w:r>
        <w:t>que, com alta complementaridade, os assalariados com salários mais altos podem esperar um aumento mais do que proporcional em sua</w:t>
      </w:r>
      <w:r>
        <w:t xml:space="preserve"> </w:t>
      </w:r>
      <w:r>
        <w:t>renda do trabalho, levando a um aumento na desigualdade de renda do trabalho. Isso amplificaria o aumento na renda e</w:t>
      </w:r>
      <w:r>
        <w:t xml:space="preserve"> </w:t>
      </w:r>
      <w:r>
        <w:t>desigualdade de riqueza que resulta de retornos de capital aprimorados que são acumulados para os assalariados altos. As escolhas dos países</w:t>
      </w:r>
      <w:r>
        <w:t xml:space="preserve"> </w:t>
      </w:r>
      <w:r>
        <w:t>em relação à definição de direitos de propriedade da IA, bem como políticas fiscais redistributivas e outras, acabarão por moldar</w:t>
      </w:r>
      <w:r>
        <w:t xml:space="preserve"> </w:t>
      </w:r>
      <w:r>
        <w:t>seu impacto na distribuição de renda e riqueza.</w:t>
      </w:r>
    </w:p>
    <w:p w14:paraId="3CC97C46" w14:textId="77777777" w:rsidR="008422D3" w:rsidRDefault="008422D3" w:rsidP="00060A6A">
      <w:pPr>
        <w:ind w:firstLine="708"/>
        <w:jc w:val="both"/>
      </w:pPr>
    </w:p>
    <w:p w14:paraId="1FDD707A" w14:textId="77777777" w:rsidR="008422D3" w:rsidRDefault="008422D3" w:rsidP="008422D3">
      <w:pPr>
        <w:ind w:firstLine="708"/>
        <w:jc w:val="both"/>
      </w:pPr>
      <w:r>
        <w:t>Os ganhos em produtividade, se fortes, podem resultar em maior crescimento e maiores rendas para a maioria dos trabalhadores.</w:t>
      </w:r>
    </w:p>
    <w:p w14:paraId="7F6E03CB" w14:textId="42D57B0B" w:rsidR="008422D3" w:rsidRDefault="008422D3" w:rsidP="008422D3">
      <w:pPr>
        <w:ind w:firstLine="708"/>
        <w:jc w:val="both"/>
      </w:pPr>
      <w:r>
        <w:t xml:space="preserve">Devido ao aprofundamento do capital e ao aumento da produtividade, espera-se que a adoção da IA </w:t>
      </w:r>
      <w:r>
        <w:rPr>
          <w:rFonts w:ascii="Arial" w:hAnsi="Arial" w:cs="Arial"/>
        </w:rPr>
        <w:t>​​</w:t>
      </w:r>
      <w:r>
        <w:t>aumente a renda total. Se a IA complementar fortemente o trabalho humano em certas ocupa</w:t>
      </w:r>
      <w:r>
        <w:rPr>
          <w:rFonts w:ascii="Aptos" w:hAnsi="Aptos" w:cs="Aptos"/>
        </w:rPr>
        <w:t>çõ</w:t>
      </w:r>
      <w:r>
        <w:t>es e os ganhos de produtividade forem suficientemente grandes, maior crescimento e demanda por trabalho podem mais do que compensar a substitui</w:t>
      </w:r>
      <w:r>
        <w:rPr>
          <w:rFonts w:ascii="Aptos" w:hAnsi="Aptos" w:cs="Aptos"/>
        </w:rPr>
        <w:t>çã</w:t>
      </w:r>
      <w:r>
        <w:t>o parcial de tarefas de trabalho por IA,</w:t>
      </w:r>
      <w:r>
        <w:t xml:space="preserve"> </w:t>
      </w:r>
      <w:r>
        <w:t>e as rendas podem aumentar ao longo da maior parte da distribuição de renda.</w:t>
      </w:r>
    </w:p>
    <w:p w14:paraId="5D34665B" w14:textId="3164D5E2" w:rsidR="008422D3" w:rsidRDefault="008422D3" w:rsidP="008422D3">
      <w:pPr>
        <w:ind w:firstLine="708"/>
        <w:jc w:val="both"/>
      </w:pPr>
      <w:r>
        <w:t xml:space="preserve">Trabalhadores com ensino superior estão mais bem preparados para mudar de empregos com risco de deslocamento para empregos de alta complementaridade; trabalhadores mais velhos podem ser mais vulneráveis </w:t>
      </w:r>
      <w:r>
        <w:rPr>
          <w:rFonts w:ascii="Arial" w:hAnsi="Arial" w:cs="Arial"/>
        </w:rPr>
        <w:t>​​</w:t>
      </w:r>
      <w:r>
        <w:rPr>
          <w:rFonts w:ascii="Aptos" w:hAnsi="Aptos" w:cs="Aptos"/>
        </w:rPr>
        <w:t>à</w:t>
      </w:r>
      <w:r>
        <w:t xml:space="preserve"> transforma</w:t>
      </w:r>
      <w:r>
        <w:rPr>
          <w:rFonts w:ascii="Aptos" w:hAnsi="Aptos" w:cs="Aptos"/>
        </w:rPr>
        <w:t>çã</w:t>
      </w:r>
      <w:r>
        <w:t>o impulsionada pela IA. No Reino Unido</w:t>
      </w:r>
      <w:r>
        <w:t xml:space="preserve"> </w:t>
      </w:r>
      <w:r>
        <w:t>e no Brasil, por exemplo, indivíduos com ensino superior historicamente mudaram mais facilmente de empregos agora avaliados como</w:t>
      </w:r>
      <w:r>
        <w:t xml:space="preserve"> </w:t>
      </w:r>
      <w:r>
        <w:t>de alto potencial de deslocamento para aqueles com alta complementaridade. Em contraste, trabalhadores sem</w:t>
      </w:r>
      <w:r>
        <w:t xml:space="preserve"> </w:t>
      </w:r>
      <w:r>
        <w:t xml:space="preserve">educação pós-secundária mostram mobilidade reduzida. Trabalhadores mais jovens que são adaptáveis </w:t>
      </w:r>
      <w:r>
        <w:rPr>
          <w:rFonts w:ascii="Arial" w:hAnsi="Arial" w:cs="Arial"/>
        </w:rPr>
        <w:t>​​</w:t>
      </w:r>
      <w:r>
        <w:t>e familiarizados com novas</w:t>
      </w:r>
      <w:r>
        <w:t xml:space="preserve"> </w:t>
      </w:r>
      <w:r>
        <w:t>tecnologias também podem ser mais capazes de aproveitar as novas oportunidades. Em contraste, trabalhadores mais velhos podem ter dificuldades</w:t>
      </w:r>
      <w:r>
        <w:t xml:space="preserve"> </w:t>
      </w:r>
      <w:r>
        <w:t>com reemprego, adaptação à tecnologia, mobilidade e treinamento para novas habilidades de trabalho.</w:t>
      </w:r>
    </w:p>
    <w:p w14:paraId="66151870" w14:textId="48AB4938" w:rsidR="008422D3" w:rsidRDefault="008422D3" w:rsidP="008422D3">
      <w:pPr>
        <w:ind w:firstLine="708"/>
        <w:jc w:val="both"/>
      </w:pPr>
      <w:r>
        <w:t>Para aproveitar totalmente o potencial da IA, as prioridades dependem dos níveis de desenvolvimento dos países. Um novo índice de preparação para IA</w:t>
      </w:r>
      <w:r>
        <w:t xml:space="preserve"> </w:t>
      </w:r>
      <w:r>
        <w:t>mostra que economias de mercado emergentes avançadas e mais desenvolvidas devem investir em inovação e integração de IA,</w:t>
      </w:r>
      <w:r>
        <w:t xml:space="preserve"> </w:t>
      </w:r>
      <w:r>
        <w:t>ao mesmo tempo em que promovem estruturas regulatórias adequadas para otimizar os benefícios do</w:t>
      </w:r>
      <w:r>
        <w:t xml:space="preserve"> </w:t>
      </w:r>
      <w:r>
        <w:t>aumento do uso de IA. Para economias de mercado emergentes e em desenvolvimento menos preparadas, o desenvolvimento de infraestrutura fundamental</w:t>
      </w:r>
      <w:r>
        <w:t xml:space="preserve"> </w:t>
      </w:r>
      <w:r>
        <w:t>e a construção de uma força de trabalho digitalmente qualificada são primordiais. Para todas as economias, redes de segurança social</w:t>
      </w:r>
      <w:r>
        <w:t xml:space="preserve"> </w:t>
      </w:r>
      <w:r>
        <w:t>e retreinamento para trabalhadores suscetíveis à IA são cruciais para garantir a inclusão.</w:t>
      </w:r>
    </w:p>
    <w:sectPr w:rsidR="00842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4"/>
    <w:rsid w:val="00060A6A"/>
    <w:rsid w:val="000A2B5D"/>
    <w:rsid w:val="002A0AEF"/>
    <w:rsid w:val="002A5E14"/>
    <w:rsid w:val="0055332E"/>
    <w:rsid w:val="0066607A"/>
    <w:rsid w:val="008422D3"/>
    <w:rsid w:val="0090602C"/>
    <w:rsid w:val="00996EF9"/>
    <w:rsid w:val="00BD67F8"/>
    <w:rsid w:val="00BE296B"/>
    <w:rsid w:val="00C13AE1"/>
    <w:rsid w:val="00F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435A"/>
  <w15:chartTrackingRefBased/>
  <w15:docId w15:val="{D57B66AA-EB26-4AE4-A6D0-AC6A02C7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E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E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E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E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E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E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E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E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E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E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5</cp:revision>
  <dcterms:created xsi:type="dcterms:W3CDTF">2025-01-02T22:17:00Z</dcterms:created>
  <dcterms:modified xsi:type="dcterms:W3CDTF">2025-01-04T19:59:00Z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2025-01-03T12:44:26Z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b8c30cbf-e3bf-4da7-89f7-14e5554984a8</vt:lpwstr>
  </property>
  <property fmtid="{D5CDD505-2E9C-101B-9397-08002B2CF9AE}" pid="8" name="MSIP_Label_6459b2e0-2ec4-47e6-afc1-6e3f8b684f6a_ContentBits">
    <vt:lpwstr>0</vt:lpwstr>
  </property>
</Properties>
</file>