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6F4D183" w14:textId="77777777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  <w:r w:rsidRPr="00B729A9">
        <w:rPr>
          <w:rFonts w:ascii="Cavolini" w:hAnsi="Cavolini" w:cs="Cavolini"/>
          <w:sz w:val="36"/>
          <w:szCs w:val="36"/>
        </w:rPr>
        <w:t xml:space="preserve">Shenei Luchot Habrit, publicado após o falecimento do Rabino Yeshayahu Halevi Horowitz em 1648, contêm a prescrição da leitura do </w:t>
      </w:r>
    </w:p>
    <w:p w14:paraId="49164D61" w14:textId="77777777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  <w:r w:rsidRPr="00B729A9">
        <w:rPr>
          <w:rFonts w:ascii="Cavolini" w:hAnsi="Cavolini" w:cs="Cavolini"/>
          <w:sz w:val="36"/>
          <w:szCs w:val="36"/>
        </w:rPr>
        <w:t>do Tikun HaGadol:</w:t>
      </w:r>
    </w:p>
    <w:p w14:paraId="3604FCA5" w14:textId="77777777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</w:p>
    <w:p w14:paraId="77A36451" w14:textId="10B2CA3B" w:rsidR="00B729A9" w:rsidRPr="00B729A9" w:rsidRDefault="00B729A9" w:rsidP="00B729A9">
      <w:pPr>
        <w:rPr>
          <w:rFonts w:ascii="Cavolini" w:hAnsi="Cavolini" w:cs="Cavolini"/>
          <w:sz w:val="34"/>
          <w:szCs w:val="34"/>
        </w:rPr>
      </w:pPr>
      <w:r w:rsidRPr="00B729A9">
        <w:rPr>
          <w:rFonts w:ascii="Cavolini" w:hAnsi="Cavolini" w:cs="Cavolini"/>
          <w:sz w:val="34"/>
          <w:szCs w:val="34"/>
        </w:rPr>
        <w:t>Salmos: 96 – 107 – 98 – 89 – 90 – 51 – 25 – 137 – 80 – 79</w:t>
      </w:r>
    </w:p>
    <w:p w14:paraId="6A1A0318" w14:textId="77777777" w:rsidR="00B729A9" w:rsidRDefault="00B729A9" w:rsidP="00B729A9">
      <w:pPr>
        <w:rPr>
          <w:rFonts w:ascii="Cavolini" w:hAnsi="Cavolini" w:cs="Cavolini"/>
          <w:sz w:val="34"/>
          <w:szCs w:val="34"/>
        </w:rPr>
      </w:pPr>
    </w:p>
    <w:p w14:paraId="21D5F72C" w14:textId="77777777" w:rsidR="00B729A9" w:rsidRDefault="00B729A9" w:rsidP="00B729A9">
      <w:pPr>
        <w:rPr>
          <w:rFonts w:ascii="Cavolini" w:hAnsi="Cavolini" w:cs="Cavolini"/>
          <w:sz w:val="34"/>
          <w:szCs w:val="34"/>
        </w:rPr>
      </w:pPr>
    </w:p>
    <w:p w14:paraId="2F8E55C8" w14:textId="6B4C1C1D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  <w:r w:rsidRPr="00B729A9">
        <w:rPr>
          <w:rFonts w:ascii="Cavolini" w:hAnsi="Cavolini" w:cs="Cavolini"/>
          <w:sz w:val="36"/>
          <w:szCs w:val="36"/>
        </w:rPr>
        <w:lastRenderedPageBreak/>
        <w:t>Oração de retificação (Tikun) prescrita por Shelah Hakadosh (Rabino Yeshayahu Halevi Horowitz 1555-1630).</w:t>
      </w:r>
    </w:p>
    <w:p w14:paraId="4A11ED56" w14:textId="2AB85C31" w:rsidR="00B729A9" w:rsidRDefault="00B729A9" w:rsidP="00B729A9">
      <w:pPr>
        <w:rPr>
          <w:rFonts w:ascii="Cavolini" w:hAnsi="Cavolini" w:cs="Cavolini"/>
          <w:sz w:val="36"/>
          <w:szCs w:val="36"/>
        </w:rPr>
      </w:pPr>
    </w:p>
    <w:p w14:paraId="7DB57E04" w14:textId="77777777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</w:p>
    <w:p w14:paraId="7B72A195" w14:textId="77777777" w:rsidR="00B729A9" w:rsidRPr="00B729A9" w:rsidRDefault="00B729A9" w:rsidP="00B729A9">
      <w:pPr>
        <w:rPr>
          <w:rFonts w:ascii="Cavolini" w:hAnsi="Cavolini" w:cs="Cavolini"/>
          <w:sz w:val="36"/>
          <w:szCs w:val="36"/>
        </w:rPr>
      </w:pPr>
    </w:p>
    <w:p w14:paraId="021FB2C4" w14:textId="1D855C9B" w:rsidR="00B729A9" w:rsidRPr="00B729A9" w:rsidRDefault="00B729A9" w:rsidP="00B729A9">
      <w:pPr>
        <w:rPr>
          <w:rFonts w:ascii="Cavolini" w:hAnsi="Cavolini" w:cs="Cavolini"/>
          <w:sz w:val="34"/>
          <w:szCs w:val="34"/>
        </w:rPr>
      </w:pPr>
      <w:r w:rsidRPr="00B729A9">
        <w:rPr>
          <w:rFonts w:ascii="Cavolini" w:hAnsi="Cavolini" w:cs="Cavolini"/>
          <w:sz w:val="34"/>
          <w:szCs w:val="34"/>
        </w:rPr>
        <w:t>Salmos 96 – 107 – 98 – 89 – 90 – 51 – 25 – 137 – 80 – 79</w:t>
      </w:r>
    </w:p>
    <w:p w14:paraId="6FF9032E" w14:textId="77777777" w:rsidR="00B729A9" w:rsidRPr="00B729A9" w:rsidRDefault="00B729A9" w:rsidP="00B729A9">
      <w:pPr>
        <w:rPr>
          <w:rFonts w:ascii="Cavolini" w:hAnsi="Cavolini" w:cs="Cavolini"/>
          <w:sz w:val="28"/>
          <w:szCs w:val="28"/>
        </w:rPr>
      </w:pPr>
    </w:p>
    <w:p w14:paraId="4E767FCA" w14:textId="16A7BBEC" w:rsidR="00B729A9" w:rsidRDefault="00B729A9">
      <w:pPr>
        <w:rPr>
          <w:sz w:val="34"/>
          <w:szCs w:val="34"/>
        </w:rPr>
      </w:pPr>
    </w:p>
    <w:p w14:paraId="3BE10B60" w14:textId="437E3605" w:rsidR="00B729A9" w:rsidRDefault="00B729A9">
      <w:pPr>
        <w:rPr>
          <w:sz w:val="34"/>
          <w:szCs w:val="34"/>
        </w:rPr>
      </w:pPr>
    </w:p>
    <w:p w14:paraId="4CFF0A1A" w14:textId="77777777" w:rsidR="00B729A9" w:rsidRDefault="00B729A9" w:rsidP="00B729A9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inline distT="0" distB="0" distL="0" distR="0" wp14:anchorId="4E1E9D21" wp14:editId="53A31FFF">
            <wp:extent cx="1477867" cy="2282766"/>
            <wp:effectExtent l="0" t="0" r="8255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92" cy="22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FED" w14:textId="0A178C02" w:rsidR="00B729A9" w:rsidRDefault="00B729A9" w:rsidP="00B729A9">
      <w:pPr>
        <w:rPr>
          <w:rFonts w:ascii="Cavolini" w:hAnsi="Cavolini" w:cs="Cavolini"/>
          <w:sz w:val="32"/>
          <w:szCs w:val="32"/>
        </w:rPr>
      </w:pPr>
      <w:r w:rsidRPr="00B729A9">
        <w:rPr>
          <w:rFonts w:ascii="Cavolini" w:hAnsi="Cavolini" w:cs="Cavolini"/>
          <w:sz w:val="32"/>
          <w:szCs w:val="32"/>
        </w:rPr>
        <w:t>Este é o nosso Tik</w:t>
      </w:r>
      <w:r w:rsidR="00E1167C">
        <w:rPr>
          <w:rFonts w:ascii="Cavolini" w:hAnsi="Cavolini" w:cs="Cavolini"/>
          <w:sz w:val="32"/>
          <w:szCs w:val="32"/>
        </w:rPr>
        <w:t>u</w:t>
      </w:r>
      <w:r w:rsidRPr="00B729A9">
        <w:rPr>
          <w:rFonts w:ascii="Cavolini" w:hAnsi="Cavolini" w:cs="Cavolini"/>
          <w:sz w:val="32"/>
          <w:szCs w:val="32"/>
        </w:rPr>
        <w:t>n para combater o mal, suavizar os pesados julgamentos que recaem sobre a humanidade, e apressar a vinda do Messias!</w:t>
      </w:r>
    </w:p>
    <w:p w14:paraId="23958161" w14:textId="36B064D4" w:rsidR="00B729A9" w:rsidRDefault="00B729A9" w:rsidP="00B729A9">
      <w:pPr>
        <w:rPr>
          <w:rFonts w:ascii="Cavolini" w:hAnsi="Cavolini" w:cs="Cavolini"/>
          <w:sz w:val="32"/>
          <w:szCs w:val="32"/>
        </w:rPr>
      </w:pPr>
    </w:p>
    <w:p w14:paraId="2818D8C8" w14:textId="5C413A3C" w:rsidR="00B729A9" w:rsidRDefault="00B729A9" w:rsidP="00B729A9">
      <w:pPr>
        <w:rPr>
          <w:rFonts w:ascii="Cavolini" w:hAnsi="Cavolini" w:cs="Cavolini"/>
          <w:sz w:val="32"/>
          <w:szCs w:val="32"/>
        </w:rPr>
      </w:pPr>
    </w:p>
    <w:p w14:paraId="69A91ADD" w14:textId="14190A8A" w:rsidR="00B729A9" w:rsidRPr="00B729A9" w:rsidRDefault="00B729A9" w:rsidP="00B729A9">
      <w:pPr>
        <w:rPr>
          <w:rFonts w:ascii="Cavolini" w:hAnsi="Cavolini" w:cs="Cavolini"/>
          <w:sz w:val="32"/>
          <w:szCs w:val="32"/>
        </w:rPr>
      </w:pPr>
      <w:r w:rsidRPr="00B729A9">
        <w:rPr>
          <w:rFonts w:ascii="Cavolini" w:hAnsi="Cavolini" w:cs="Cavolini"/>
          <w:sz w:val="32"/>
          <w:szCs w:val="32"/>
        </w:rPr>
        <w:lastRenderedPageBreak/>
        <w:t>Por centenas de anos este Tikun havia sido perdido, até ser redescoberto recentemente pelo rabino Anava, que está realizando uma campanha para leitura desse Tikun diariamente!</w:t>
      </w:r>
    </w:p>
    <w:p w14:paraId="1FB5FDD7" w14:textId="77777777" w:rsidR="00B729A9" w:rsidRPr="00B729A9" w:rsidRDefault="00B729A9" w:rsidP="00B729A9">
      <w:pPr>
        <w:rPr>
          <w:rFonts w:ascii="Cavolini" w:hAnsi="Cavolini" w:cs="Cavolini"/>
          <w:sz w:val="34"/>
          <w:szCs w:val="34"/>
        </w:rPr>
      </w:pPr>
    </w:p>
    <w:p w14:paraId="284A7FB8" w14:textId="38B223F1" w:rsidR="00B729A9" w:rsidRDefault="00B729A9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32D0E08" wp14:editId="67560A64">
            <wp:extent cx="2862076" cy="1809115"/>
            <wp:effectExtent l="0" t="0" r="0" b="635"/>
            <wp:docPr id="1" name="Imagem 1" descr="Uma imagem contendo edifício, pessoa, homem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edifício, pessoa, homem, fo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63" cy="18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C83" w14:textId="26BA452D" w:rsidR="00B729A9" w:rsidRDefault="00B729A9">
      <w:pPr>
        <w:rPr>
          <w:sz w:val="34"/>
          <w:szCs w:val="34"/>
        </w:rPr>
      </w:pPr>
    </w:p>
    <w:p w14:paraId="0C00C1CB" w14:textId="4F7DDDF2" w:rsidR="00B729A9" w:rsidRPr="00B729A9" w:rsidRDefault="00B729A9" w:rsidP="00B729A9">
      <w:pPr>
        <w:rPr>
          <w:rFonts w:ascii="Cavolini" w:hAnsi="Cavolini" w:cs="Cavolini"/>
          <w:sz w:val="32"/>
          <w:szCs w:val="32"/>
        </w:rPr>
      </w:pPr>
      <w:r w:rsidRPr="00B729A9">
        <w:rPr>
          <w:rFonts w:ascii="Cavolini" w:hAnsi="Cavolini" w:cs="Cavolini"/>
          <w:sz w:val="32"/>
          <w:szCs w:val="32"/>
        </w:rPr>
        <w:lastRenderedPageBreak/>
        <w:t>Sepultura do Rabino Yeshayahu Halevi Horowitz 1555-1630, conhecido como Shelah Hakadosh.</w:t>
      </w:r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B729A9">
        <w:rPr>
          <w:rFonts w:ascii="Cavolini" w:hAnsi="Cavolini" w:cs="Cavolini"/>
          <w:sz w:val="32"/>
          <w:szCs w:val="32"/>
        </w:rPr>
        <w:t>Tiberias</w:t>
      </w:r>
      <w:proofErr w:type="spellEnd"/>
      <w:r w:rsidRPr="00B729A9">
        <w:rPr>
          <w:rFonts w:ascii="Cavolini" w:hAnsi="Cavolini" w:cs="Cavolini"/>
          <w:sz w:val="32"/>
          <w:szCs w:val="32"/>
        </w:rPr>
        <w:t>, Israel</w:t>
      </w:r>
    </w:p>
    <w:p w14:paraId="6DED1E00" w14:textId="196B9551" w:rsidR="00B729A9" w:rsidRPr="00B729A9" w:rsidRDefault="00B729A9" w:rsidP="00B729A9">
      <w:pPr>
        <w:jc w:val="center"/>
        <w:rPr>
          <w:rFonts w:ascii="Cavolini" w:hAnsi="Cavolini" w:cs="Cavolini"/>
          <w:sz w:val="34"/>
          <w:szCs w:val="34"/>
        </w:rPr>
      </w:pPr>
      <w:r>
        <w:rPr>
          <w:rFonts w:ascii="Cavolini" w:hAnsi="Cavolini" w:cs="Cavolini"/>
          <w:noProof/>
          <w:sz w:val="34"/>
          <w:szCs w:val="34"/>
        </w:rPr>
        <w:drawing>
          <wp:inline distT="0" distB="0" distL="0" distR="0" wp14:anchorId="4F4C0FA7" wp14:editId="2F0CA446">
            <wp:extent cx="3125972" cy="2725848"/>
            <wp:effectExtent l="0" t="0" r="0" b="0"/>
            <wp:docPr id="2" name="Imagem 2" descr="Placa informativa na calçad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laca informativa na calçad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59" cy="27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13F" w14:textId="77777777" w:rsidR="00B729A9" w:rsidRPr="00B729A9" w:rsidRDefault="00B729A9">
      <w:pPr>
        <w:rPr>
          <w:sz w:val="34"/>
          <w:szCs w:val="34"/>
        </w:rPr>
      </w:pPr>
    </w:p>
    <w:sectPr w:rsidR="00B729A9" w:rsidRPr="00B729A9" w:rsidSect="00B729A9">
      <w:pgSz w:w="6804" w:h="850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25268D"/>
    <w:rsid w:val="005137CE"/>
    <w:rsid w:val="00B729A9"/>
    <w:rsid w:val="00E1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rilha de Vapor">
  <a:themeElements>
    <a:clrScheme name="Trilha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2</cp:revision>
  <dcterms:created xsi:type="dcterms:W3CDTF">2023-02-04T14:48:00Z</dcterms:created>
  <dcterms:modified xsi:type="dcterms:W3CDTF">2023-02-04T14:48:00Z</dcterms:modified>
</cp:coreProperties>
</file>