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46C" w14:textId="2318705D" w:rsidR="00155AB6" w:rsidRDefault="00155AB6" w:rsidP="00155AB6">
      <w:pPr>
        <w:jc w:val="center"/>
      </w:pPr>
      <w:r>
        <w:t>Evolução do Crédito Imobiliário nos últimos 10 anos</w:t>
      </w:r>
    </w:p>
    <w:p w14:paraId="7B9B69E3" w14:textId="143A1BF5" w:rsidR="00155AB6" w:rsidRDefault="00155AB6" w:rsidP="00155AB6">
      <w:pPr>
        <w:jc w:val="center"/>
      </w:pPr>
    </w:p>
    <w:p w14:paraId="4823366C" w14:textId="420F6DC1" w:rsidR="00155AB6" w:rsidRDefault="00155AB6" w:rsidP="00155AB6"/>
    <w:p w14:paraId="64F25356" w14:textId="14B97A12" w:rsidR="009F2935" w:rsidRPr="00C40610" w:rsidRDefault="009F2935" w:rsidP="00155AB6">
      <w:pPr>
        <w:rPr>
          <w:b/>
          <w:bCs/>
        </w:rPr>
      </w:pPr>
      <w:r w:rsidRPr="00C40610">
        <w:rPr>
          <w:b/>
          <w:bCs/>
        </w:rPr>
        <w:t>Sinopse</w:t>
      </w:r>
    </w:p>
    <w:p w14:paraId="097F6B48" w14:textId="18446F9E" w:rsidR="00285A02" w:rsidRDefault="0088148E" w:rsidP="00A45DD7">
      <w:pPr>
        <w:ind w:firstLine="708"/>
        <w:jc w:val="both"/>
      </w:pPr>
      <w:r>
        <w:t>Em dezembro de 2022 o</w:t>
      </w:r>
      <w:r w:rsidR="004949D6">
        <w:t xml:space="preserve"> s</w:t>
      </w:r>
      <w:r w:rsidR="004949D6" w:rsidRPr="004949D6">
        <w:t xml:space="preserve">aldo da carteira de crédito </w:t>
      </w:r>
      <w:r w:rsidR="004949D6">
        <w:t>de f</w:t>
      </w:r>
      <w:r w:rsidR="004949D6" w:rsidRPr="004949D6">
        <w:t xml:space="preserve">inanciamento imobiliário </w:t>
      </w:r>
      <w:r w:rsidR="004949D6">
        <w:t xml:space="preserve">chegou a </w:t>
      </w:r>
      <w:r w:rsidR="004949D6" w:rsidRPr="004949D6">
        <w:t>R$</w:t>
      </w:r>
      <w:r w:rsidR="005F345F">
        <w:t xml:space="preserve"> </w:t>
      </w:r>
      <w:r w:rsidR="00C3087B">
        <w:t>966</w:t>
      </w:r>
      <w:r w:rsidR="005F345F">
        <w:t>,</w:t>
      </w:r>
      <w:r w:rsidRPr="0088148E">
        <w:t>5</w:t>
      </w:r>
      <w:r w:rsidR="005F345F">
        <w:t xml:space="preserve"> bilhões, representando </w:t>
      </w:r>
      <w:r w:rsidR="00C3087B">
        <w:t>um crescimento de 101% em relação a dezembro de 2012.</w:t>
      </w:r>
      <w:r w:rsidR="00285A02">
        <w:t xml:space="preserve"> As </w:t>
      </w:r>
      <w:r w:rsidR="00E155F5">
        <w:t>famílias (</w:t>
      </w:r>
      <w:r w:rsidR="00285A02">
        <w:t>pessoas físicas</w:t>
      </w:r>
      <w:r w:rsidR="00E155F5">
        <w:t>)</w:t>
      </w:r>
      <w:r w:rsidR="00285A02">
        <w:t xml:space="preserve"> respondem por </w:t>
      </w:r>
      <w:r w:rsidR="00E155F5">
        <w:t xml:space="preserve">97% dos financiamentos imobiliários, enquanto as empresas (pessoas jurídicas) respondem por 4%.  </w:t>
      </w:r>
      <w:r w:rsidR="00CE5976" w:rsidRPr="00CE5976">
        <w:t xml:space="preserve">Mesmo com </w:t>
      </w:r>
      <w:r w:rsidR="0088083B">
        <w:t xml:space="preserve">os </w:t>
      </w:r>
      <w:r w:rsidR="00CE5976" w:rsidRPr="00CE5976">
        <w:t xml:space="preserve">investimentos </w:t>
      </w:r>
      <w:r w:rsidR="0088083B">
        <w:t xml:space="preserve">realizados </w:t>
      </w:r>
      <w:r w:rsidR="00CE5976" w:rsidRPr="00CE5976">
        <w:t>nos últimos dez anos, o crescimento populacional</w:t>
      </w:r>
      <w:r w:rsidR="0088083B">
        <w:t xml:space="preserve"> e </w:t>
      </w:r>
      <w:r w:rsidR="00CE5976" w:rsidRPr="00CE5976">
        <w:t>as recentes mudanças na estrutura familiar</w:t>
      </w:r>
      <w:r w:rsidR="0088083B">
        <w:t xml:space="preserve"> brasileira</w:t>
      </w:r>
      <w:r w:rsidR="00E47F18">
        <w:t xml:space="preserve">, </w:t>
      </w:r>
      <w:r w:rsidR="00CE5976" w:rsidRPr="00CE5976">
        <w:t>a demanda habitacional no Brasil</w:t>
      </w:r>
      <w:r w:rsidR="00E47F18">
        <w:t xml:space="preserve"> ainda e elevada</w:t>
      </w:r>
      <w:r w:rsidR="00CE5976" w:rsidRPr="00CE5976">
        <w:t xml:space="preserve">. </w:t>
      </w:r>
    </w:p>
    <w:p w14:paraId="2A8CCD99" w14:textId="6AA2D6A1" w:rsidR="009F2935" w:rsidRDefault="00F117A6" w:rsidP="00A45DD7">
      <w:pPr>
        <w:ind w:firstLine="708"/>
        <w:jc w:val="both"/>
      </w:pPr>
      <w:r>
        <w:t>M</w:t>
      </w:r>
      <w:r w:rsidR="00285A02">
        <w:t xml:space="preserve">esmo diante das </w:t>
      </w:r>
      <w:r w:rsidR="00D75D88">
        <w:t>instabilidade</w:t>
      </w:r>
      <w:r w:rsidR="00285A02">
        <w:t xml:space="preserve">s </w:t>
      </w:r>
      <w:r w:rsidR="00D45D9B">
        <w:t xml:space="preserve">geradas </w:t>
      </w:r>
      <w:r w:rsidR="00285A02">
        <w:t>durante a pandemia global</w:t>
      </w:r>
      <w:r>
        <w:t xml:space="preserve">, </w:t>
      </w:r>
      <w:r w:rsidR="008F6CFD">
        <w:t xml:space="preserve">as famílias não incorreram em </w:t>
      </w:r>
      <w:r>
        <w:t xml:space="preserve">inadimplência </w:t>
      </w:r>
      <w:r w:rsidR="00D45D9B">
        <w:t xml:space="preserve">nos </w:t>
      </w:r>
      <w:r w:rsidR="008F6CFD">
        <w:t>financiamentos imobiliários</w:t>
      </w:r>
      <w:r w:rsidR="00285A02">
        <w:t xml:space="preserve">. </w:t>
      </w:r>
      <w:r w:rsidR="00536DFA">
        <w:t xml:space="preserve">Por outro lado, as </w:t>
      </w:r>
      <w:r w:rsidR="00D45D9B">
        <w:t xml:space="preserve">empresas </w:t>
      </w:r>
      <w:r w:rsidR="0038585D">
        <w:t>foram fortemente afetadas</w:t>
      </w:r>
      <w:r w:rsidR="00075F70">
        <w:t xml:space="preserve">, chegando a atingir </w:t>
      </w:r>
      <w:r w:rsidR="00EB0FB6">
        <w:t xml:space="preserve">uma taxa de inadimplência de 14,1% </w:t>
      </w:r>
      <w:r w:rsidR="0038585D">
        <w:t>em 2021</w:t>
      </w:r>
      <w:r w:rsidR="0022062B">
        <w:t>.</w:t>
      </w:r>
      <w:r w:rsidR="00854B6C">
        <w:t xml:space="preserve"> </w:t>
      </w:r>
      <w:r w:rsidR="005A6CF9">
        <w:t xml:space="preserve">Houve </w:t>
      </w:r>
      <w:r w:rsidR="00854B6C">
        <w:t xml:space="preserve">uma </w:t>
      </w:r>
      <w:r w:rsidR="007578B4">
        <w:t xml:space="preserve">recente </w:t>
      </w:r>
      <w:r w:rsidR="00D45D9B">
        <w:t xml:space="preserve">queda </w:t>
      </w:r>
      <w:r w:rsidR="00A45DD7">
        <w:t>no indicador do custo de crédito para financiamentos imobiliários</w:t>
      </w:r>
      <w:r w:rsidR="007578B4">
        <w:t xml:space="preserve">, </w:t>
      </w:r>
      <w:r w:rsidR="005A6CF9">
        <w:t xml:space="preserve">e maior recorrência à portabilidade de </w:t>
      </w:r>
      <w:r w:rsidR="00302D26">
        <w:t>crédito. Aparentemente as empresas recorreram ao mecanismo de portabilidade como forma de administrar suas dívidas</w:t>
      </w:r>
      <w:r w:rsidR="008C6058">
        <w:t xml:space="preserve">, já que em 2022 a </w:t>
      </w:r>
      <w:r w:rsidR="00965603">
        <w:t xml:space="preserve">taxa de inadimplência </w:t>
      </w:r>
      <w:r w:rsidR="007578B4">
        <w:t xml:space="preserve">das empresas </w:t>
      </w:r>
      <w:r w:rsidR="008C6058">
        <w:t xml:space="preserve">volta </w:t>
      </w:r>
      <w:r w:rsidR="00965603">
        <w:t xml:space="preserve">para os </w:t>
      </w:r>
      <w:r w:rsidR="007578B4">
        <w:t xml:space="preserve">mesmos </w:t>
      </w:r>
      <w:r w:rsidR="00965603">
        <w:t xml:space="preserve">níveis </w:t>
      </w:r>
      <w:r w:rsidR="007578B4">
        <w:t xml:space="preserve">antes da </w:t>
      </w:r>
      <w:r w:rsidR="00965603">
        <w:t>pandemia</w:t>
      </w:r>
      <w:r w:rsidR="00A45DD7">
        <w:t xml:space="preserve">. </w:t>
      </w:r>
      <w:r w:rsidR="007578B4">
        <w:t xml:space="preserve">Os resultados indicam que </w:t>
      </w:r>
      <w:r w:rsidR="00795D71">
        <w:t xml:space="preserve">os efeitos da pandemia no </w:t>
      </w:r>
      <w:r w:rsidR="00512DEF">
        <w:t>crédito</w:t>
      </w:r>
      <w:r w:rsidR="00795D71">
        <w:t xml:space="preserve"> imobiliário parecem superados, havendo espaço para o desenho de </w:t>
      </w:r>
      <w:r w:rsidR="00242D90">
        <w:t>políticas</w:t>
      </w:r>
      <w:r w:rsidR="00795D71">
        <w:t xml:space="preserve"> visando suprir a demanda </w:t>
      </w:r>
      <w:r w:rsidR="00512DEF">
        <w:t>habitacional.</w:t>
      </w:r>
    </w:p>
    <w:p w14:paraId="1A85E93E" w14:textId="1E51B210" w:rsidR="00CE5976" w:rsidRDefault="00CE5976" w:rsidP="00155AB6"/>
    <w:p w14:paraId="4BF80E14" w14:textId="4929F565" w:rsidR="008C621C" w:rsidRDefault="008C621C" w:rsidP="00155AB6">
      <w:r w:rsidRPr="002D01F4">
        <w:rPr>
          <w:b/>
          <w:bCs/>
        </w:rPr>
        <w:t>Palavras-chave</w:t>
      </w:r>
      <w:r w:rsidRPr="008C621C">
        <w:t xml:space="preserve">: </w:t>
      </w:r>
      <w:r w:rsidR="002D01F4">
        <w:t>Financiamento imobiliário</w:t>
      </w:r>
      <w:r w:rsidRPr="008C621C">
        <w:t xml:space="preserve">; </w:t>
      </w:r>
      <w:r w:rsidR="002D01F4">
        <w:t>efeitos da pandemia</w:t>
      </w:r>
      <w:r w:rsidRPr="008C621C">
        <w:t xml:space="preserve">; </w:t>
      </w:r>
      <w:r w:rsidR="002D01F4">
        <w:t>h</w:t>
      </w:r>
      <w:r w:rsidRPr="008C621C">
        <w:t>abitação</w:t>
      </w:r>
      <w:r w:rsidR="002D01F4">
        <w:t>.</w:t>
      </w:r>
    </w:p>
    <w:p w14:paraId="6FF551D8" w14:textId="77777777" w:rsidR="008C621C" w:rsidRDefault="008C621C" w:rsidP="00155AB6"/>
    <w:p w14:paraId="4096BC13" w14:textId="1C494602" w:rsidR="009F2935" w:rsidRPr="00C40610" w:rsidRDefault="009F2935" w:rsidP="00155AB6">
      <w:pPr>
        <w:rPr>
          <w:b/>
          <w:bCs/>
        </w:rPr>
      </w:pPr>
      <w:r w:rsidRPr="00C40610">
        <w:rPr>
          <w:b/>
          <w:bCs/>
        </w:rPr>
        <w:t xml:space="preserve">Introdução </w:t>
      </w:r>
    </w:p>
    <w:p w14:paraId="30EB5087" w14:textId="085B8CC6" w:rsidR="00155AB6" w:rsidRDefault="003C545D" w:rsidP="00751195">
      <w:pPr>
        <w:ind w:firstLine="708"/>
        <w:jc w:val="both"/>
      </w:pPr>
      <w:r>
        <w:t xml:space="preserve">As políticas de financiamento de longo prazo para aquisição de imóveis remontam há mais de um século de história no Brasil, </w:t>
      </w:r>
      <w:r w:rsidR="00435646">
        <w:t xml:space="preserve">desde </w:t>
      </w:r>
      <w:r>
        <w:t xml:space="preserve">os Institutos de Aposentadoria e Pensões (IAP) até o Programa Minha Casa Minha Vida (PMCMV). </w:t>
      </w:r>
      <w:bookmarkStart w:id="0" w:name="_Hlk127350934"/>
      <w:r w:rsidR="00CC34EF">
        <w:t xml:space="preserve">Mesmo com os investimentos </w:t>
      </w:r>
      <w:r w:rsidR="00CA3FDB">
        <w:t xml:space="preserve">habitacionais </w:t>
      </w:r>
      <w:r w:rsidR="00CC34EF">
        <w:t xml:space="preserve">realizados nos últimos dez anos, </w:t>
      </w:r>
      <w:r w:rsidR="0097646E">
        <w:t xml:space="preserve">o </w:t>
      </w:r>
      <w:r w:rsidR="00CC34EF">
        <w:t>crescimento populacional</w:t>
      </w:r>
      <w:r w:rsidR="0097646E">
        <w:t xml:space="preserve">, as recentes mudanças na estrutura familiar, </w:t>
      </w:r>
      <w:r w:rsidR="00CA3FDB">
        <w:t xml:space="preserve">o </w:t>
      </w:r>
      <w:r w:rsidR="0097646E">
        <w:t>êxodo rural</w:t>
      </w:r>
      <w:r w:rsidR="00CA3FDB">
        <w:t xml:space="preserve">, </w:t>
      </w:r>
      <w:r w:rsidR="0097646E">
        <w:t xml:space="preserve">e o </w:t>
      </w:r>
      <w:r w:rsidR="00CC34EF">
        <w:t xml:space="preserve">aumento do preço dos aluguéis </w:t>
      </w:r>
      <w:r w:rsidR="005E3320">
        <w:t xml:space="preserve">pressionam a </w:t>
      </w:r>
      <w:r w:rsidR="00CC34EF">
        <w:t xml:space="preserve">demanda habitacional no Brasil. </w:t>
      </w:r>
      <w:r w:rsidR="005E3320">
        <w:t xml:space="preserve">Conforme </w:t>
      </w:r>
      <w:r w:rsidR="00DB41FA">
        <w:t xml:space="preserve">levantamento </w:t>
      </w:r>
      <w:r w:rsidR="005E3320">
        <w:t>da</w:t>
      </w:r>
      <w:r w:rsidR="00DB41FA">
        <w:t xml:space="preserve"> </w:t>
      </w:r>
      <w:r w:rsidR="00DB41FA" w:rsidRPr="00155AB6">
        <w:t>ABRAINC</w:t>
      </w:r>
      <w:r w:rsidR="00DB41FA">
        <w:t xml:space="preserve"> (</w:t>
      </w:r>
      <w:r w:rsidR="00DB41FA" w:rsidRPr="00DB41FA">
        <w:t>Associação Brasileira de Incorporadoras Imobiliárias</w:t>
      </w:r>
      <w:r w:rsidR="00DB41FA">
        <w:t>), até 2030 ainda haverá a demanda por mais de 30 milhões de novas residências</w:t>
      </w:r>
      <w:r w:rsidR="006B2BEC">
        <w:t xml:space="preserve"> </w:t>
      </w:r>
      <w:r w:rsidR="006B2BEC" w:rsidRPr="006B2BEC">
        <w:t>(</w:t>
      </w:r>
      <w:proofErr w:type="spellStart"/>
      <w:r w:rsidR="006B2BEC" w:rsidRPr="006B2BEC">
        <w:t>Abrainc</w:t>
      </w:r>
      <w:proofErr w:type="spellEnd"/>
      <w:r w:rsidR="006B2BEC">
        <w:t>, 2020</w:t>
      </w:r>
      <w:r w:rsidR="006B2BEC" w:rsidRPr="006B2BEC">
        <w:t>)</w:t>
      </w:r>
      <w:r w:rsidR="00DB41FA">
        <w:t xml:space="preserve">. </w:t>
      </w:r>
      <w:bookmarkEnd w:id="0"/>
      <w:r w:rsidR="00DB41FA">
        <w:t xml:space="preserve">Quase metade da demanda habitacional das próximas décadas estará concentrada </w:t>
      </w:r>
      <w:r w:rsidR="00DB41FA" w:rsidRPr="00DB41FA">
        <w:t>na população com renda média, entre três e dez salários-mínimos.</w:t>
      </w:r>
      <w:r w:rsidR="00DB41FA">
        <w:t xml:space="preserve"> </w:t>
      </w:r>
    </w:p>
    <w:p w14:paraId="1473EFF5" w14:textId="1ADD8640" w:rsidR="00EC4637" w:rsidRDefault="00EC4637" w:rsidP="00512DEF">
      <w:pPr>
        <w:ind w:firstLine="708"/>
        <w:jc w:val="both"/>
      </w:pPr>
      <w:r>
        <w:t xml:space="preserve">O financiamento imobiliário </w:t>
      </w:r>
      <w:r w:rsidR="000577B7">
        <w:t xml:space="preserve">é parte do processo de desenvolvimento econômico </w:t>
      </w:r>
      <w:r w:rsidR="004F4383">
        <w:t xml:space="preserve">de uma nação, especialmente </w:t>
      </w:r>
      <w:r w:rsidR="00EC11CC">
        <w:t xml:space="preserve">em fases de </w:t>
      </w:r>
      <w:r>
        <w:t>crescimento</w:t>
      </w:r>
      <w:r w:rsidR="00EC11CC">
        <w:t xml:space="preserve"> </w:t>
      </w:r>
      <w:r>
        <w:t>sustentado</w:t>
      </w:r>
      <w:r w:rsidR="00EC11CC">
        <w:t>.</w:t>
      </w:r>
      <w:r w:rsidR="00647454">
        <w:t xml:space="preserve"> Desta forma, o acompanhamento de indicadores de </w:t>
      </w:r>
      <w:r>
        <w:t>crédito imobiliário é</w:t>
      </w:r>
      <w:r w:rsidR="00AB4A6A">
        <w:t xml:space="preserve"> uma </w:t>
      </w:r>
      <w:r>
        <w:t xml:space="preserve">tarefa </w:t>
      </w:r>
      <w:r w:rsidR="00AB4A6A">
        <w:t>indispensável</w:t>
      </w:r>
      <w:r>
        <w:t xml:space="preserve"> para o fomento das</w:t>
      </w:r>
      <w:r w:rsidR="00E43031">
        <w:t xml:space="preserve"> </w:t>
      </w:r>
      <w:r>
        <w:t>operações de financiamento de longo prazo e, por conseguinte, das condições necessárias ao</w:t>
      </w:r>
      <w:r w:rsidR="00E43031">
        <w:t xml:space="preserve"> </w:t>
      </w:r>
      <w:r>
        <w:t>desenvolvimento econômico e social.</w:t>
      </w:r>
    </w:p>
    <w:p w14:paraId="7215729C" w14:textId="69B7F48A" w:rsidR="00E43031" w:rsidRDefault="00E43031" w:rsidP="00E43031"/>
    <w:p w14:paraId="512D370F" w14:textId="4EA62DFD" w:rsidR="002D01F4" w:rsidRDefault="002D01F4" w:rsidP="00E43031"/>
    <w:p w14:paraId="583F2032" w14:textId="08C2FD7A" w:rsidR="002D01F4" w:rsidRDefault="002D01F4" w:rsidP="00E43031"/>
    <w:p w14:paraId="0BB2A9D2" w14:textId="6B1634BD" w:rsidR="00EC4637" w:rsidRPr="00637B6B" w:rsidRDefault="00097558" w:rsidP="00097558">
      <w:pPr>
        <w:rPr>
          <w:b/>
          <w:bCs/>
        </w:rPr>
      </w:pPr>
      <w:r w:rsidRPr="00637B6B">
        <w:rPr>
          <w:b/>
          <w:bCs/>
        </w:rPr>
        <w:lastRenderedPageBreak/>
        <w:t xml:space="preserve">Evolução do Crédito Imobiliário nos Últimos 10 Anos </w:t>
      </w:r>
    </w:p>
    <w:p w14:paraId="65F618F8" w14:textId="1D0D1F41" w:rsidR="00E14DEF" w:rsidRDefault="003D09EB" w:rsidP="006E4E79">
      <w:pPr>
        <w:ind w:firstLine="708"/>
        <w:jc w:val="both"/>
      </w:pPr>
      <w:r>
        <w:t>L</w:t>
      </w:r>
      <w:r w:rsidR="001B4A8A">
        <w:t xml:space="preserve">evantamento da </w:t>
      </w:r>
      <w:r w:rsidR="00022447" w:rsidRPr="00022447">
        <w:t>Associação Brasileira das Entidades de Crédito Imobiliário e Poupança (</w:t>
      </w:r>
      <w:proofErr w:type="spellStart"/>
      <w:r w:rsidR="00022447" w:rsidRPr="00022447">
        <w:t>Abecip</w:t>
      </w:r>
      <w:proofErr w:type="spellEnd"/>
      <w:r w:rsidR="00022447" w:rsidRPr="00022447">
        <w:t>)</w:t>
      </w:r>
      <w:r>
        <w:t xml:space="preserve"> divulgado em 2022</w:t>
      </w:r>
      <w:r w:rsidR="00011540" w:rsidRPr="00011540">
        <w:t>,</w:t>
      </w:r>
      <w:r>
        <w:t xml:space="preserve"> mostra que a </w:t>
      </w:r>
      <w:r w:rsidR="00E14DEF">
        <w:t xml:space="preserve">Caixa Econômica Federal </w:t>
      </w:r>
      <w:r w:rsidR="007B5D53">
        <w:t>origina mais da metade do crédito imobiliário pelo SBPE</w:t>
      </w:r>
      <w:r w:rsidR="00242D90">
        <w:t xml:space="preserve"> (</w:t>
      </w:r>
      <w:r w:rsidR="00242D90" w:rsidRPr="00242D90">
        <w:t>Araujo, 2022</w:t>
      </w:r>
      <w:r w:rsidR="00242D90">
        <w:t>)</w:t>
      </w:r>
      <w:r w:rsidR="007B5D53">
        <w:t xml:space="preserve">. </w:t>
      </w:r>
      <w:r w:rsidR="00637B6B">
        <w:t>O</w:t>
      </w:r>
      <w:r w:rsidR="007B5D53">
        <w:t xml:space="preserve"> Itaú </w:t>
      </w:r>
      <w:r w:rsidR="00637B6B">
        <w:t xml:space="preserve">possui </w:t>
      </w:r>
      <w:r w:rsidR="007B5D53">
        <w:t>22%</w:t>
      </w:r>
      <w:r w:rsidR="00637B6B">
        <w:t xml:space="preserve"> de participação</w:t>
      </w:r>
      <w:r w:rsidR="007B5D53">
        <w:t xml:space="preserve">, Bradesco </w:t>
      </w:r>
      <w:r w:rsidR="005E68ED">
        <w:t xml:space="preserve">possui </w:t>
      </w:r>
      <w:r w:rsidR="007B5D53">
        <w:t xml:space="preserve">12%, Santander </w:t>
      </w:r>
      <w:r w:rsidR="005E68ED">
        <w:t xml:space="preserve">possui </w:t>
      </w:r>
      <w:r w:rsidR="007B5D53">
        <w:t xml:space="preserve">5% e Banco do Brasil </w:t>
      </w:r>
      <w:r w:rsidR="005E68ED">
        <w:t xml:space="preserve">possui </w:t>
      </w:r>
      <w:r w:rsidR="007B5D53">
        <w:t>3%</w:t>
      </w:r>
      <w:r w:rsidR="00482F74">
        <w:t xml:space="preserve"> (Gráfico 1)</w:t>
      </w:r>
      <w:r w:rsidR="007B5D53">
        <w:t xml:space="preserve">. </w:t>
      </w:r>
      <w:r w:rsidR="005E68ED">
        <w:t xml:space="preserve">Portanto, a Caixa Econômica Federal e o principal ator no desenho das políticas de crédito, determinando em grande medida o comportamento e a estratégia dos demais bancos. </w:t>
      </w:r>
    </w:p>
    <w:p w14:paraId="6ADCBA80" w14:textId="379FDADF" w:rsidR="007B5D53" w:rsidRDefault="007B5D53" w:rsidP="007B5D53"/>
    <w:p w14:paraId="0A9C5F7A" w14:textId="7392E6EC" w:rsidR="00AF2A37" w:rsidRPr="00637B6B" w:rsidRDefault="00637B6B" w:rsidP="00637B6B">
      <w:pPr>
        <w:jc w:val="center"/>
        <w:rPr>
          <w:b/>
          <w:bCs/>
          <w:sz w:val="20"/>
          <w:szCs w:val="20"/>
        </w:rPr>
      </w:pPr>
      <w:r w:rsidRPr="00637B6B">
        <w:rPr>
          <w:b/>
          <w:bCs/>
          <w:sz w:val="20"/>
          <w:szCs w:val="20"/>
        </w:rPr>
        <w:t>Gráfico</w:t>
      </w:r>
      <w:r w:rsidR="00AF2A37" w:rsidRPr="00637B6B">
        <w:rPr>
          <w:b/>
          <w:bCs/>
          <w:sz w:val="20"/>
          <w:szCs w:val="20"/>
        </w:rPr>
        <w:t xml:space="preserve"> 1</w:t>
      </w:r>
      <w:r w:rsidRPr="00637B6B">
        <w:rPr>
          <w:b/>
          <w:bCs/>
          <w:sz w:val="20"/>
          <w:szCs w:val="20"/>
        </w:rPr>
        <w:t>: Participação dos Bancos nos Financiamentos imobiliário do SBPE.</w:t>
      </w:r>
    </w:p>
    <w:p w14:paraId="185B0906" w14:textId="7C2CD8AE" w:rsidR="005F05C3" w:rsidRDefault="00AF2A37" w:rsidP="00637B6B">
      <w:pPr>
        <w:jc w:val="center"/>
      </w:pPr>
      <w:r w:rsidRPr="00AF2A37">
        <w:rPr>
          <w:noProof/>
        </w:rPr>
        <w:drawing>
          <wp:inline distT="0" distB="0" distL="0" distR="0" wp14:anchorId="5F817D07" wp14:editId="7C2C4958">
            <wp:extent cx="3647449" cy="3232695"/>
            <wp:effectExtent l="0" t="0" r="0" b="6350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1923" cy="32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953F" w14:textId="6BEA3D7C" w:rsidR="005F05C3" w:rsidRDefault="005F05C3" w:rsidP="007B5D53"/>
    <w:p w14:paraId="1445AFDE" w14:textId="20398493" w:rsidR="001B34B6" w:rsidRDefault="00A753F6" w:rsidP="00E02A18">
      <w:pPr>
        <w:ind w:firstLine="708"/>
        <w:jc w:val="both"/>
      </w:pPr>
      <w:r>
        <w:t xml:space="preserve">Considerando as famílias (PF), vemos que </w:t>
      </w:r>
      <w:r w:rsidR="001B34B6">
        <w:t xml:space="preserve">saldo em carteira de crédito imobiliário, com recursos </w:t>
      </w:r>
      <w:r>
        <w:t xml:space="preserve">direcionados vem crescendo consistentemente, </w:t>
      </w:r>
      <w:r w:rsidR="00E02A18">
        <w:t xml:space="preserve">ressaltando o </w:t>
      </w:r>
      <w:r>
        <w:t xml:space="preserve">resultado do aperfeiçoamento de diversas </w:t>
      </w:r>
      <w:r w:rsidR="00E02A18">
        <w:t>políticas</w:t>
      </w:r>
      <w:r>
        <w:t xml:space="preserve"> </w:t>
      </w:r>
      <w:r w:rsidR="00E02A18">
        <w:t>habitacionais</w:t>
      </w:r>
      <w:r>
        <w:t xml:space="preserve"> </w:t>
      </w:r>
      <w:r w:rsidR="00E02A18">
        <w:t>que foram institucionalizadas na última década.</w:t>
      </w:r>
      <w:r w:rsidR="006A4764">
        <w:t xml:space="preserve"> Não observamos nenhuma perturbação atípica na evolução da carteira de crédito imobiliária </w:t>
      </w:r>
      <w:r w:rsidR="00DA04CE">
        <w:t xml:space="preserve">de pessoas físicas, considerando a </w:t>
      </w:r>
      <w:r w:rsidR="006A4764">
        <w:t>pandemia global experimentada nos últimos dois anos</w:t>
      </w:r>
      <w:r w:rsidR="00482F74">
        <w:t xml:space="preserve"> (Gráfico 2)</w:t>
      </w:r>
      <w:r w:rsidR="006A4764">
        <w:t xml:space="preserve">. </w:t>
      </w:r>
      <w:r w:rsidR="00AF514B">
        <w:t>Entretanto, a evolução da carteira de crédito imobiliária de pessoas jurídicas apresenta uma leve queda durante o período</w:t>
      </w:r>
      <w:r w:rsidR="0056258F">
        <w:t>. Veremos que essa queda é justificada pelo aumento excepcional da taxa de inadimplência de pessoas jurídicas no período após a pandemia.</w:t>
      </w:r>
    </w:p>
    <w:p w14:paraId="72A0F0F9" w14:textId="77777777" w:rsidR="0056258F" w:rsidRDefault="0056258F" w:rsidP="0056258F">
      <w:pPr>
        <w:jc w:val="center"/>
        <w:rPr>
          <w:b/>
          <w:bCs/>
          <w:sz w:val="20"/>
          <w:szCs w:val="20"/>
        </w:rPr>
      </w:pPr>
    </w:p>
    <w:p w14:paraId="0A87B34C" w14:textId="4DB7864A" w:rsidR="000F1727" w:rsidRDefault="000F1727" w:rsidP="0056258F">
      <w:pPr>
        <w:jc w:val="center"/>
        <w:rPr>
          <w:b/>
          <w:bCs/>
          <w:sz w:val="20"/>
          <w:szCs w:val="20"/>
        </w:rPr>
      </w:pPr>
    </w:p>
    <w:p w14:paraId="14A7A29F" w14:textId="7E166A27" w:rsidR="002D01F4" w:rsidRDefault="002D01F4" w:rsidP="0056258F">
      <w:pPr>
        <w:jc w:val="center"/>
        <w:rPr>
          <w:b/>
          <w:bCs/>
          <w:sz w:val="20"/>
          <w:szCs w:val="20"/>
        </w:rPr>
      </w:pPr>
    </w:p>
    <w:p w14:paraId="3CF34371" w14:textId="5B6F27D5" w:rsidR="002D01F4" w:rsidRDefault="002D01F4" w:rsidP="0056258F">
      <w:pPr>
        <w:jc w:val="center"/>
        <w:rPr>
          <w:b/>
          <w:bCs/>
          <w:sz w:val="20"/>
          <w:szCs w:val="20"/>
        </w:rPr>
      </w:pPr>
    </w:p>
    <w:p w14:paraId="5257F1CA" w14:textId="12E3C34E" w:rsidR="002D01F4" w:rsidRDefault="002D01F4" w:rsidP="0056258F">
      <w:pPr>
        <w:jc w:val="center"/>
        <w:rPr>
          <w:b/>
          <w:bCs/>
          <w:sz w:val="20"/>
          <w:szCs w:val="20"/>
        </w:rPr>
      </w:pPr>
    </w:p>
    <w:p w14:paraId="1805F83E" w14:textId="1B64AB22" w:rsidR="0056258F" w:rsidRDefault="0056258F" w:rsidP="0056258F">
      <w:pPr>
        <w:jc w:val="center"/>
        <w:rPr>
          <w:b/>
          <w:bCs/>
          <w:sz w:val="18"/>
          <w:szCs w:val="18"/>
        </w:rPr>
      </w:pPr>
      <w:r w:rsidRPr="006B47C9">
        <w:rPr>
          <w:b/>
          <w:bCs/>
          <w:sz w:val="18"/>
          <w:szCs w:val="18"/>
        </w:rPr>
        <w:lastRenderedPageBreak/>
        <w:t xml:space="preserve">Gráfico 2: </w:t>
      </w:r>
      <w:r w:rsidR="00816BEB" w:rsidRPr="006B47C9">
        <w:rPr>
          <w:b/>
          <w:bCs/>
          <w:sz w:val="18"/>
          <w:szCs w:val="18"/>
        </w:rPr>
        <w:t xml:space="preserve">Saldo da carteira de crédito com recursos direcionados </w:t>
      </w:r>
      <w:r w:rsidR="005D655B" w:rsidRPr="006B47C9">
        <w:rPr>
          <w:b/>
          <w:bCs/>
          <w:sz w:val="18"/>
          <w:szCs w:val="18"/>
        </w:rPr>
        <w:t xml:space="preserve">para </w:t>
      </w:r>
      <w:r w:rsidR="00816BEB" w:rsidRPr="006B47C9">
        <w:rPr>
          <w:b/>
          <w:bCs/>
          <w:sz w:val="18"/>
          <w:szCs w:val="18"/>
        </w:rPr>
        <w:t>Financiamento Imobiliário (R$ milhões)</w:t>
      </w:r>
      <w:r w:rsidRPr="006B47C9">
        <w:rPr>
          <w:b/>
          <w:bCs/>
          <w:sz w:val="18"/>
          <w:szCs w:val="18"/>
        </w:rPr>
        <w:t>.</w:t>
      </w:r>
    </w:p>
    <w:p w14:paraId="0006001C" w14:textId="4BA9D75A" w:rsidR="002D01F4" w:rsidRPr="006B47C9" w:rsidRDefault="002D01F4" w:rsidP="0056258F">
      <w:pPr>
        <w:jc w:val="center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drawing>
          <wp:inline distT="0" distB="0" distL="0" distR="0" wp14:anchorId="6721EA46" wp14:editId="13C355CF">
            <wp:extent cx="4026090" cy="2451973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16" cy="2470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A59DDE" w14:textId="6C3B3625" w:rsidR="008D3198" w:rsidRDefault="008D3198" w:rsidP="00A40B9A">
      <w:pPr>
        <w:jc w:val="center"/>
      </w:pPr>
    </w:p>
    <w:p w14:paraId="392879DD" w14:textId="57BC5782" w:rsidR="00DB0300" w:rsidRDefault="0067684B" w:rsidP="00482F74">
      <w:pPr>
        <w:ind w:firstLine="708"/>
        <w:jc w:val="both"/>
      </w:pPr>
      <w:r>
        <w:t xml:space="preserve">Desde </w:t>
      </w:r>
      <w:r w:rsidR="00BB3ED2">
        <w:t>2016, observamos uma tendência de diminuição da taxa de juros para crédito imobiliário, que parece ter sido interrompida em</w:t>
      </w:r>
      <w:r w:rsidR="003957EF">
        <w:t xml:space="preserve"> abril de 2021. Apesar da </w:t>
      </w:r>
      <w:r w:rsidR="00784B7D">
        <w:t>inadimplência</w:t>
      </w:r>
      <w:r w:rsidR="003957EF">
        <w:t xml:space="preserve"> das empresas </w:t>
      </w:r>
      <w:r w:rsidR="00784B7D">
        <w:t xml:space="preserve">ter sido elevada no período após a pandemia, a inadimplência das famílias </w:t>
      </w:r>
      <w:r w:rsidR="009F138E">
        <w:t>manteve-se estável em torno de 1,5%</w:t>
      </w:r>
      <w:r w:rsidR="00482F74">
        <w:t xml:space="preserve"> (Gráfico 3)</w:t>
      </w:r>
      <w:r w:rsidR="009F138E">
        <w:t xml:space="preserve">. </w:t>
      </w:r>
      <w:r w:rsidR="00AA5243">
        <w:t xml:space="preserve">Entendemos que a alta da </w:t>
      </w:r>
      <w:r w:rsidR="009F138E">
        <w:t>taxa de juros</w:t>
      </w:r>
      <w:r w:rsidR="00AA5243">
        <w:t xml:space="preserve"> de financiamentos imobiliário</w:t>
      </w:r>
      <w:r w:rsidR="009F138E">
        <w:t xml:space="preserve">, </w:t>
      </w:r>
      <w:r w:rsidR="00AA5243">
        <w:t xml:space="preserve">observada </w:t>
      </w:r>
      <w:r w:rsidR="009F138E">
        <w:t xml:space="preserve">para pessoas físicas e jurídicas, </w:t>
      </w:r>
      <w:r w:rsidR="00AA5243">
        <w:t xml:space="preserve">deveu-se principalmente a elevação da taxa Selic, e </w:t>
      </w:r>
      <w:r w:rsidR="00482F74">
        <w:t>não em decorrência da inadimplência no período.</w:t>
      </w:r>
    </w:p>
    <w:p w14:paraId="6F760318" w14:textId="77777777" w:rsidR="00482F74" w:rsidRDefault="00482F74" w:rsidP="00482F74">
      <w:pPr>
        <w:jc w:val="both"/>
      </w:pPr>
    </w:p>
    <w:p w14:paraId="60D7E6C1" w14:textId="5C7EDE08" w:rsidR="00DB0300" w:rsidRPr="006B47C9" w:rsidRDefault="00DB0300" w:rsidP="00DB0300">
      <w:pPr>
        <w:jc w:val="center"/>
        <w:rPr>
          <w:b/>
          <w:bCs/>
          <w:sz w:val="18"/>
          <w:szCs w:val="18"/>
        </w:rPr>
      </w:pPr>
      <w:r w:rsidRPr="006B47C9">
        <w:rPr>
          <w:b/>
          <w:bCs/>
          <w:sz w:val="18"/>
          <w:szCs w:val="18"/>
        </w:rPr>
        <w:t xml:space="preserve">Gráfico 3: </w:t>
      </w:r>
      <w:r w:rsidR="004F7435" w:rsidRPr="006B47C9">
        <w:rPr>
          <w:b/>
          <w:bCs/>
          <w:sz w:val="18"/>
          <w:szCs w:val="18"/>
        </w:rPr>
        <w:t xml:space="preserve">Taxa média de juros das operações de crédito </w:t>
      </w:r>
      <w:r w:rsidR="00BB3ED2">
        <w:rPr>
          <w:b/>
          <w:bCs/>
          <w:sz w:val="18"/>
          <w:szCs w:val="18"/>
        </w:rPr>
        <w:t xml:space="preserve">imobiliário </w:t>
      </w:r>
      <w:r w:rsidR="004F7435" w:rsidRPr="006B47C9">
        <w:rPr>
          <w:b/>
          <w:bCs/>
          <w:sz w:val="18"/>
          <w:szCs w:val="18"/>
        </w:rPr>
        <w:t>com recursos direcionados (% a.a.)</w:t>
      </w:r>
      <w:r w:rsidRPr="006B47C9">
        <w:rPr>
          <w:b/>
          <w:bCs/>
          <w:sz w:val="18"/>
          <w:szCs w:val="18"/>
        </w:rPr>
        <w:t>.</w:t>
      </w:r>
    </w:p>
    <w:p w14:paraId="36ED324B" w14:textId="4CA11C3D" w:rsidR="00DB0300" w:rsidRDefault="006B47C9" w:rsidP="006B47C9">
      <w:pPr>
        <w:jc w:val="center"/>
      </w:pPr>
      <w:r>
        <w:rPr>
          <w:noProof/>
        </w:rPr>
        <w:drawing>
          <wp:inline distT="0" distB="0" distL="0" distR="0" wp14:anchorId="1A1FD833" wp14:editId="5BAA4D79">
            <wp:extent cx="4318408" cy="2814965"/>
            <wp:effectExtent l="0" t="0" r="635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426" cy="282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D4376" w14:textId="77777777" w:rsidR="00DB0300" w:rsidRDefault="00DB0300" w:rsidP="008D3198"/>
    <w:p w14:paraId="61D8C53F" w14:textId="338B6D19" w:rsidR="00077E44" w:rsidRDefault="00D878FE" w:rsidP="00F679E1">
      <w:pPr>
        <w:ind w:firstLine="708"/>
        <w:jc w:val="both"/>
      </w:pPr>
      <w:r>
        <w:t xml:space="preserve">A inadimplência </w:t>
      </w:r>
      <w:r w:rsidR="006F4DA2">
        <w:t xml:space="preserve">(INAD) </w:t>
      </w:r>
      <w:r>
        <w:t xml:space="preserve">das famílias </w:t>
      </w:r>
      <w:r w:rsidR="00C031A0">
        <w:t xml:space="preserve">apresentou comportamento bastante estável no período, não tendo sido perturbada durante a </w:t>
      </w:r>
      <w:r w:rsidR="00077E44">
        <w:t xml:space="preserve">pandemia global. Em </w:t>
      </w:r>
      <w:r w:rsidR="004B790A">
        <w:t>abril de 2020 encontramos uma pequena elevação, onde a inadimplência das famílias chega 2,38%</w:t>
      </w:r>
      <w:r w:rsidR="000600E1">
        <w:t>. Entretan</w:t>
      </w:r>
      <w:r w:rsidR="00BB3A3F">
        <w:t>to em agosto de 2020 já havia retornado para o patamar de 1,1%</w:t>
      </w:r>
      <w:r w:rsidR="006F4DA2">
        <w:t xml:space="preserve">, próximo da inadimplência média em 10 </w:t>
      </w:r>
      <w:r w:rsidR="006F4DA2">
        <w:lastRenderedPageBreak/>
        <w:t xml:space="preserve">anos. Por outro lado, observamos uma elevada perturbação na inadimplência (INAD) das empresas. </w:t>
      </w:r>
      <w:r w:rsidR="007D1834">
        <w:t>Interessante ressaltar que a inadimplência (INAD) das empresas já apresentava uma tendencia de crescimento desde 2016</w:t>
      </w:r>
      <w:r w:rsidR="00C556A3">
        <w:t xml:space="preserve">, experimentando um salto para </w:t>
      </w:r>
      <w:r w:rsidR="001D2C18">
        <w:t xml:space="preserve">10,58% </w:t>
      </w:r>
      <w:r w:rsidR="00C556A3">
        <w:t xml:space="preserve">já em </w:t>
      </w:r>
      <w:r w:rsidR="001D2C18">
        <w:t xml:space="preserve">abril de </w:t>
      </w:r>
      <w:r w:rsidR="00C556A3">
        <w:t>2018</w:t>
      </w:r>
      <w:r w:rsidR="001D2C18">
        <w:t>. Especificamente</w:t>
      </w:r>
      <w:r w:rsidR="00D60200">
        <w:t xml:space="preserve">, no momento mais incerto da pandemia, </w:t>
      </w:r>
      <w:r w:rsidR="00945B4E">
        <w:t xml:space="preserve">entre </w:t>
      </w:r>
      <w:r w:rsidR="00C13216">
        <w:t xml:space="preserve">março </w:t>
      </w:r>
      <w:r w:rsidR="00945B4E">
        <w:t xml:space="preserve">de </w:t>
      </w:r>
      <w:r w:rsidR="00C40CD1">
        <w:t>2020</w:t>
      </w:r>
      <w:r w:rsidR="008E31F7">
        <w:t xml:space="preserve"> </w:t>
      </w:r>
      <w:r w:rsidR="0069280F">
        <w:t xml:space="preserve">e </w:t>
      </w:r>
      <w:r w:rsidR="00C13216">
        <w:t xml:space="preserve">março </w:t>
      </w:r>
      <w:r w:rsidR="0069280F">
        <w:t xml:space="preserve">de </w:t>
      </w:r>
      <w:r w:rsidR="00160FA2">
        <w:t>2021</w:t>
      </w:r>
      <w:r w:rsidR="0069280F">
        <w:t xml:space="preserve"> há </w:t>
      </w:r>
      <w:r w:rsidR="00160FA2">
        <w:t xml:space="preserve">uma </w:t>
      </w:r>
      <w:r w:rsidR="008E31F7">
        <w:t>consistente</w:t>
      </w:r>
      <w:r w:rsidR="00160FA2">
        <w:t xml:space="preserve"> queda d</w:t>
      </w:r>
      <w:r w:rsidR="00AA4152">
        <w:t xml:space="preserve">a </w:t>
      </w:r>
      <w:r w:rsidR="001D2C18">
        <w:t>inadimplência (INAD)</w:t>
      </w:r>
      <w:r w:rsidR="008E31F7">
        <w:t>, que passa de 6,87</w:t>
      </w:r>
      <w:r w:rsidR="00C13216">
        <w:t>%</w:t>
      </w:r>
      <w:r w:rsidR="001D2C18">
        <w:t xml:space="preserve"> </w:t>
      </w:r>
      <w:r w:rsidR="008E31F7">
        <w:t>para</w:t>
      </w:r>
      <w:r w:rsidR="00AA4152">
        <w:t xml:space="preserve"> </w:t>
      </w:r>
      <w:r w:rsidR="00C13216" w:rsidRPr="00C13216">
        <w:t>2,66</w:t>
      </w:r>
      <w:r w:rsidR="00C13216">
        <w:t xml:space="preserve">%. </w:t>
      </w:r>
      <w:r w:rsidR="003A5FDA">
        <w:t xml:space="preserve">Aparentemente </w:t>
      </w:r>
      <w:r w:rsidR="00784CCA">
        <w:t>houve uma defasagem n</w:t>
      </w:r>
      <w:r w:rsidR="00BC6515">
        <w:t xml:space="preserve">os efeitos da pandemia </w:t>
      </w:r>
      <w:r w:rsidR="00784CCA">
        <w:t xml:space="preserve">sobre a </w:t>
      </w:r>
      <w:r w:rsidR="001A27B3">
        <w:t>inadimplência das empresas</w:t>
      </w:r>
      <w:r w:rsidR="00784CCA">
        <w:t>.</w:t>
      </w:r>
    </w:p>
    <w:p w14:paraId="5B1A9DFD" w14:textId="77777777" w:rsidR="001A27B3" w:rsidRDefault="001A27B3" w:rsidP="001A27B3">
      <w:pPr>
        <w:jc w:val="both"/>
      </w:pPr>
    </w:p>
    <w:p w14:paraId="7698318D" w14:textId="463E101F" w:rsidR="00A22CB5" w:rsidRDefault="00A22CB5" w:rsidP="005F6C93">
      <w:pPr>
        <w:jc w:val="center"/>
      </w:pPr>
      <w:r w:rsidRPr="006B47C9">
        <w:rPr>
          <w:b/>
          <w:bCs/>
          <w:sz w:val="18"/>
          <w:szCs w:val="18"/>
        </w:rPr>
        <w:t xml:space="preserve">Gráfico </w:t>
      </w:r>
      <w:r w:rsidR="005F6C93">
        <w:rPr>
          <w:b/>
          <w:bCs/>
          <w:sz w:val="18"/>
          <w:szCs w:val="18"/>
        </w:rPr>
        <w:t>4</w:t>
      </w:r>
      <w:r w:rsidRPr="006B47C9">
        <w:rPr>
          <w:b/>
          <w:bCs/>
          <w:sz w:val="18"/>
          <w:szCs w:val="18"/>
        </w:rPr>
        <w:t xml:space="preserve">: </w:t>
      </w:r>
      <w:r w:rsidR="005F6C93" w:rsidRPr="005F6C93">
        <w:rPr>
          <w:b/>
          <w:bCs/>
          <w:sz w:val="18"/>
          <w:szCs w:val="18"/>
        </w:rPr>
        <w:t>Inadimplência</w:t>
      </w:r>
      <w:r w:rsidR="005F6C93">
        <w:rPr>
          <w:b/>
          <w:bCs/>
          <w:sz w:val="18"/>
          <w:szCs w:val="18"/>
        </w:rPr>
        <w:t xml:space="preserve"> (INAD)</w:t>
      </w:r>
      <w:r w:rsidR="005F6C93" w:rsidRPr="005F6C93">
        <w:rPr>
          <w:b/>
          <w:bCs/>
          <w:sz w:val="18"/>
          <w:szCs w:val="18"/>
        </w:rPr>
        <w:t xml:space="preserve"> da carteira de crédito com recursos direcionados </w:t>
      </w:r>
      <w:r w:rsidR="005F6C93">
        <w:rPr>
          <w:b/>
          <w:bCs/>
          <w:sz w:val="18"/>
          <w:szCs w:val="18"/>
        </w:rPr>
        <w:t>-</w:t>
      </w:r>
      <w:r w:rsidR="005F6C93" w:rsidRPr="005F6C93">
        <w:rPr>
          <w:b/>
          <w:bCs/>
          <w:sz w:val="18"/>
          <w:szCs w:val="18"/>
        </w:rPr>
        <w:t xml:space="preserve"> Financiamento imobiliário </w:t>
      </w:r>
      <w:r w:rsidR="005F6C93">
        <w:rPr>
          <w:b/>
          <w:bCs/>
          <w:sz w:val="18"/>
          <w:szCs w:val="18"/>
        </w:rPr>
        <w:t>(</w:t>
      </w:r>
      <w:r w:rsidR="005F6C93" w:rsidRPr="005F6C93">
        <w:rPr>
          <w:b/>
          <w:bCs/>
          <w:sz w:val="18"/>
          <w:szCs w:val="18"/>
        </w:rPr>
        <w:t>%</w:t>
      </w:r>
      <w:r w:rsidR="005F6C93">
        <w:rPr>
          <w:b/>
          <w:bCs/>
          <w:sz w:val="18"/>
          <w:szCs w:val="18"/>
        </w:rPr>
        <w:t>)</w:t>
      </w:r>
    </w:p>
    <w:p w14:paraId="13174C90" w14:textId="43A53A34" w:rsidR="00DB41FA" w:rsidRDefault="00D878FE" w:rsidP="005F6C93">
      <w:pPr>
        <w:jc w:val="center"/>
      </w:pPr>
      <w:r>
        <w:rPr>
          <w:noProof/>
        </w:rPr>
        <w:drawing>
          <wp:inline distT="0" distB="0" distL="0" distR="0" wp14:anchorId="157E41B1" wp14:editId="09ECC138">
            <wp:extent cx="3841675" cy="2819953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95" cy="282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300D6" w14:textId="77777777" w:rsidR="00A71F2E" w:rsidRDefault="00A71F2E" w:rsidP="00E0061C">
      <w:pPr>
        <w:ind w:firstLine="708"/>
        <w:jc w:val="both"/>
      </w:pPr>
    </w:p>
    <w:p w14:paraId="035FD76B" w14:textId="6F4D4FC8" w:rsidR="00A71F2E" w:rsidRDefault="00A71F2E" w:rsidP="002901AF">
      <w:pPr>
        <w:ind w:firstLine="708"/>
        <w:jc w:val="both"/>
      </w:pPr>
      <w:r>
        <w:t>O indicador de custo de crédito (ICC) tem a finalidade de estimar o custo médio que onera as famílias e as empresas. O cálculo do ICC leva em consideração a composição da carteira de cada modalidade de crédito, conforme as datas de contratação e suas respectivas taxas de juros (Bacen,</w:t>
      </w:r>
      <w:r w:rsidR="002901AF">
        <w:t xml:space="preserve"> 2018</w:t>
      </w:r>
      <w:r>
        <w:t xml:space="preserve">). </w:t>
      </w:r>
    </w:p>
    <w:p w14:paraId="6D30AB34" w14:textId="4E2A1858" w:rsidR="00D878FE" w:rsidRDefault="00BC1D13" w:rsidP="00A71F2E">
      <w:pPr>
        <w:ind w:firstLine="708"/>
        <w:jc w:val="both"/>
      </w:pPr>
      <w:r>
        <w:t xml:space="preserve">Nos </w:t>
      </w:r>
      <w:r w:rsidR="00B73327">
        <w:t xml:space="preserve">últimos 10 anos </w:t>
      </w:r>
      <w:r>
        <w:t xml:space="preserve">observamos uma queda no custo de </w:t>
      </w:r>
      <w:r w:rsidR="00EB5423">
        <w:t>crédito</w:t>
      </w:r>
      <w:r>
        <w:t xml:space="preserve">. </w:t>
      </w:r>
      <w:r w:rsidR="00EB5423">
        <w:t xml:space="preserve">Entre os fatores </w:t>
      </w:r>
      <w:r w:rsidR="001471AB">
        <w:t xml:space="preserve">que explicam a queda do custo de </w:t>
      </w:r>
      <w:r w:rsidR="00634C59">
        <w:t>crédito</w:t>
      </w:r>
      <w:r w:rsidR="001471AB">
        <w:t xml:space="preserve">, pode-se citar algumas inovações </w:t>
      </w:r>
      <w:r w:rsidR="005A7D84">
        <w:t xml:space="preserve">tecnológicas </w:t>
      </w:r>
      <w:r w:rsidR="001471AB">
        <w:t>experimentadas pelo setor bancário</w:t>
      </w:r>
      <w:r w:rsidR="00E0061C">
        <w:t xml:space="preserve"> (Gráfico 5)</w:t>
      </w:r>
      <w:r w:rsidR="00985CFD">
        <w:t xml:space="preserve">. Por exemplo, </w:t>
      </w:r>
      <w:r w:rsidR="00BF5156">
        <w:t xml:space="preserve">a implementação do </w:t>
      </w:r>
      <w:r w:rsidR="00634C59" w:rsidRPr="00634C59">
        <w:t>Cadastro Positivo</w:t>
      </w:r>
      <w:r w:rsidR="00985CFD">
        <w:t xml:space="preserve"> </w:t>
      </w:r>
      <w:r w:rsidR="00BF5156">
        <w:t xml:space="preserve">e do Open Banking </w:t>
      </w:r>
      <w:r w:rsidR="00985CFD">
        <w:t>que permitiu melhorar a avalição de risco de crédito</w:t>
      </w:r>
      <w:r w:rsidR="00634C59" w:rsidRPr="00634C59">
        <w:t xml:space="preserve">, </w:t>
      </w:r>
      <w:r w:rsidR="00304275">
        <w:t xml:space="preserve">melhorando a atribuição de juros e a alocação de recursos. </w:t>
      </w:r>
      <w:r w:rsidR="00AC71EF">
        <w:t xml:space="preserve">Outras inovações foram o aumento da concorrência no setor bancário, com a entrada de instituição baseadas em plataformas on-line, a </w:t>
      </w:r>
      <w:r w:rsidR="00634C59" w:rsidRPr="00634C59">
        <w:t>implementação da duplicata eletrônica</w:t>
      </w:r>
      <w:r w:rsidR="00E0061C">
        <w:t xml:space="preserve"> e </w:t>
      </w:r>
      <w:r w:rsidR="00634C59" w:rsidRPr="00634C59">
        <w:t>a autonomia do Banco Central</w:t>
      </w:r>
      <w:r w:rsidR="00AC71EF">
        <w:t xml:space="preserve">. Todas essas </w:t>
      </w:r>
      <w:r w:rsidR="00E0061C">
        <w:t xml:space="preserve">inovações financeiras </w:t>
      </w:r>
      <w:r w:rsidR="00941930">
        <w:t xml:space="preserve">somaram-se ao </w:t>
      </w:r>
      <w:r w:rsidR="00E0061C">
        <w:t xml:space="preserve">próprio </w:t>
      </w:r>
      <w:r w:rsidR="00634C59" w:rsidRPr="00634C59">
        <w:t xml:space="preserve">desenvolvimento </w:t>
      </w:r>
      <w:r w:rsidR="00941930">
        <w:t xml:space="preserve">tecnológico </w:t>
      </w:r>
      <w:r w:rsidR="00634C59" w:rsidRPr="00634C59">
        <w:t xml:space="preserve">do </w:t>
      </w:r>
      <w:r w:rsidR="00E0061C">
        <w:t>setor financeiro</w:t>
      </w:r>
      <w:r w:rsidR="00634C59" w:rsidRPr="00634C59">
        <w:t xml:space="preserve">, </w:t>
      </w:r>
      <w:r w:rsidR="00791E9E">
        <w:t xml:space="preserve">possibilitando a diminuição do custo do </w:t>
      </w:r>
      <w:r w:rsidR="00E0061C">
        <w:t>crédito</w:t>
      </w:r>
      <w:r w:rsidR="00634C59" w:rsidRPr="00634C59">
        <w:t>.</w:t>
      </w:r>
    </w:p>
    <w:p w14:paraId="2948C590" w14:textId="6036056C" w:rsidR="007741EC" w:rsidRDefault="007741EC" w:rsidP="00A71F2E">
      <w:pPr>
        <w:ind w:firstLine="708"/>
        <w:jc w:val="both"/>
      </w:pPr>
    </w:p>
    <w:p w14:paraId="137AFC3E" w14:textId="77777777" w:rsidR="00DE3A74" w:rsidRDefault="00DE3A74" w:rsidP="00A71F2E">
      <w:pPr>
        <w:ind w:firstLine="708"/>
        <w:jc w:val="both"/>
      </w:pPr>
    </w:p>
    <w:p w14:paraId="33C12D75" w14:textId="04D27A73" w:rsidR="00B72A55" w:rsidRDefault="00B72A55" w:rsidP="00B72A55">
      <w:pPr>
        <w:jc w:val="center"/>
      </w:pPr>
      <w:bookmarkStart w:id="1" w:name="_Hlk127364359"/>
      <w:r w:rsidRPr="006B47C9">
        <w:rPr>
          <w:b/>
          <w:bCs/>
          <w:sz w:val="18"/>
          <w:szCs w:val="18"/>
        </w:rPr>
        <w:t xml:space="preserve">Gráfico </w:t>
      </w:r>
      <w:r>
        <w:rPr>
          <w:b/>
          <w:bCs/>
          <w:sz w:val="18"/>
          <w:szCs w:val="18"/>
        </w:rPr>
        <w:t>5</w:t>
      </w:r>
      <w:bookmarkEnd w:id="1"/>
      <w:r w:rsidRPr="006B47C9">
        <w:rPr>
          <w:b/>
          <w:bCs/>
          <w:sz w:val="18"/>
          <w:szCs w:val="18"/>
        </w:rPr>
        <w:t xml:space="preserve">: </w:t>
      </w:r>
      <w:r w:rsidR="00E25429" w:rsidRPr="00E25429">
        <w:rPr>
          <w:b/>
          <w:bCs/>
          <w:sz w:val="18"/>
          <w:szCs w:val="18"/>
        </w:rPr>
        <w:t xml:space="preserve"> Indicador de Custo do Crédito </w:t>
      </w:r>
      <w:r w:rsidR="00E25429">
        <w:rPr>
          <w:b/>
          <w:bCs/>
          <w:sz w:val="18"/>
          <w:szCs w:val="18"/>
        </w:rPr>
        <w:t>(</w:t>
      </w:r>
      <w:r w:rsidR="00E25429" w:rsidRPr="00E25429">
        <w:rPr>
          <w:b/>
          <w:bCs/>
          <w:sz w:val="18"/>
          <w:szCs w:val="18"/>
        </w:rPr>
        <w:t>ICC</w:t>
      </w:r>
      <w:r w:rsidR="00E25429">
        <w:rPr>
          <w:b/>
          <w:bCs/>
          <w:sz w:val="18"/>
          <w:szCs w:val="18"/>
        </w:rPr>
        <w:t xml:space="preserve">) com </w:t>
      </w:r>
      <w:r w:rsidR="00E25429" w:rsidRPr="00E25429">
        <w:rPr>
          <w:b/>
          <w:bCs/>
          <w:sz w:val="18"/>
          <w:szCs w:val="18"/>
        </w:rPr>
        <w:t xml:space="preserve">Recursos Direcionados </w:t>
      </w:r>
      <w:r w:rsidR="00E25429">
        <w:rPr>
          <w:b/>
          <w:bCs/>
          <w:sz w:val="18"/>
          <w:szCs w:val="18"/>
        </w:rPr>
        <w:t xml:space="preserve">- </w:t>
      </w:r>
      <w:r w:rsidR="00E25429" w:rsidRPr="00E25429">
        <w:rPr>
          <w:b/>
          <w:bCs/>
          <w:sz w:val="18"/>
          <w:szCs w:val="18"/>
        </w:rPr>
        <w:t xml:space="preserve">Financiamento </w:t>
      </w:r>
      <w:r w:rsidR="00E25429">
        <w:rPr>
          <w:b/>
          <w:bCs/>
          <w:sz w:val="18"/>
          <w:szCs w:val="18"/>
        </w:rPr>
        <w:t>I</w:t>
      </w:r>
      <w:r w:rsidR="00E25429" w:rsidRPr="00E25429">
        <w:rPr>
          <w:b/>
          <w:bCs/>
          <w:sz w:val="18"/>
          <w:szCs w:val="18"/>
        </w:rPr>
        <w:t xml:space="preserve">mobiliário </w:t>
      </w:r>
      <w:r w:rsidR="00E25429">
        <w:rPr>
          <w:b/>
          <w:bCs/>
          <w:sz w:val="18"/>
          <w:szCs w:val="18"/>
        </w:rPr>
        <w:t>(</w:t>
      </w:r>
      <w:r w:rsidR="00E25429" w:rsidRPr="00E25429">
        <w:rPr>
          <w:b/>
          <w:bCs/>
          <w:sz w:val="18"/>
          <w:szCs w:val="18"/>
        </w:rPr>
        <w:t>% a.a.</w:t>
      </w:r>
      <w:r w:rsidR="00E25429">
        <w:rPr>
          <w:b/>
          <w:bCs/>
          <w:sz w:val="18"/>
          <w:szCs w:val="18"/>
        </w:rPr>
        <w:t>)</w:t>
      </w:r>
    </w:p>
    <w:p w14:paraId="7608593A" w14:textId="6E8C2FA5" w:rsidR="00784CCA" w:rsidRDefault="005C229C" w:rsidP="00DE4CAE">
      <w:pPr>
        <w:jc w:val="center"/>
      </w:pPr>
      <w:r>
        <w:rPr>
          <w:noProof/>
        </w:rPr>
        <w:lastRenderedPageBreak/>
        <w:drawing>
          <wp:inline distT="0" distB="0" distL="0" distR="0" wp14:anchorId="23B8AA8B" wp14:editId="6B422A39">
            <wp:extent cx="4040003" cy="238835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057" cy="2397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91ADD" w14:textId="77777777" w:rsidR="00692035" w:rsidRDefault="00692035" w:rsidP="00DB41FA"/>
    <w:p w14:paraId="2E56CD48" w14:textId="0183FEEC" w:rsidR="00692035" w:rsidRDefault="00433AE4" w:rsidP="007C133D">
      <w:pPr>
        <w:jc w:val="center"/>
      </w:pPr>
      <w:r w:rsidRPr="006B47C9">
        <w:rPr>
          <w:b/>
          <w:bCs/>
          <w:sz w:val="18"/>
          <w:szCs w:val="18"/>
        </w:rPr>
        <w:t xml:space="preserve">Gráfico </w:t>
      </w:r>
      <w:r>
        <w:rPr>
          <w:b/>
          <w:bCs/>
          <w:sz w:val="18"/>
          <w:szCs w:val="18"/>
        </w:rPr>
        <w:t>6</w:t>
      </w:r>
      <w:r w:rsidRPr="006B47C9">
        <w:rPr>
          <w:b/>
          <w:bCs/>
          <w:sz w:val="18"/>
          <w:szCs w:val="18"/>
        </w:rPr>
        <w:t xml:space="preserve">: </w:t>
      </w:r>
      <w:r w:rsidRPr="00E25429">
        <w:rPr>
          <w:b/>
          <w:bCs/>
          <w:sz w:val="18"/>
          <w:szCs w:val="18"/>
        </w:rPr>
        <w:t xml:space="preserve"> </w:t>
      </w:r>
      <w:r w:rsidR="007C133D" w:rsidRPr="007C133D">
        <w:rPr>
          <w:b/>
          <w:bCs/>
          <w:sz w:val="18"/>
          <w:szCs w:val="18"/>
        </w:rPr>
        <w:t xml:space="preserve">Prazo médio das concessões de crédito com recursos direcionados - Financiamento imobiliário </w:t>
      </w:r>
      <w:r w:rsidR="007C133D">
        <w:rPr>
          <w:b/>
          <w:bCs/>
          <w:sz w:val="18"/>
          <w:szCs w:val="18"/>
        </w:rPr>
        <w:t>(</w:t>
      </w:r>
      <w:r w:rsidR="007C133D" w:rsidRPr="007C133D">
        <w:rPr>
          <w:b/>
          <w:bCs/>
          <w:sz w:val="18"/>
          <w:szCs w:val="18"/>
        </w:rPr>
        <w:t>Meses</w:t>
      </w:r>
      <w:r w:rsidR="007C133D">
        <w:rPr>
          <w:b/>
          <w:bCs/>
          <w:sz w:val="18"/>
          <w:szCs w:val="18"/>
        </w:rPr>
        <w:t>)</w:t>
      </w:r>
    </w:p>
    <w:p w14:paraId="27F0AA57" w14:textId="74FF0B76" w:rsidR="007741EC" w:rsidRDefault="00433AE4" w:rsidP="007C133D">
      <w:pPr>
        <w:jc w:val="center"/>
      </w:pPr>
      <w:r>
        <w:rPr>
          <w:noProof/>
        </w:rPr>
        <w:drawing>
          <wp:inline distT="0" distB="0" distL="0" distR="0" wp14:anchorId="428C93D4" wp14:editId="51F9F46F">
            <wp:extent cx="4164047" cy="2981344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79" cy="298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C643B6" w14:textId="77777777" w:rsidR="007C133D" w:rsidRDefault="007C133D" w:rsidP="00DB41FA"/>
    <w:p w14:paraId="533AB3FA" w14:textId="29383055" w:rsidR="005427C6" w:rsidRDefault="007A4745" w:rsidP="00E468C1">
      <w:pPr>
        <w:jc w:val="both"/>
      </w:pPr>
      <w:r>
        <w:t xml:space="preserve">Os financiamentos imobiliários para as empresas apresentam prazos historicamente menores que os financiamentos imobiliários para as famílias. </w:t>
      </w:r>
      <w:r w:rsidR="000B7BC2">
        <w:t xml:space="preserve">O prazo médio das famílias é em torno de 335 meses, mas </w:t>
      </w:r>
      <w:r w:rsidR="00AC7FBF">
        <w:t>observamos uma leve tendencia de aumentos dos prazos</w:t>
      </w:r>
      <w:r w:rsidR="000B7BC2">
        <w:t>. As empresas</w:t>
      </w:r>
      <w:r w:rsidR="002D1B59">
        <w:t xml:space="preserve"> apresentam uma média histórica de 46 meses, </w:t>
      </w:r>
      <w:r w:rsidR="00AC7FBF">
        <w:t>oscila</w:t>
      </w:r>
      <w:r w:rsidR="00AA34E4">
        <w:t xml:space="preserve">ndo </w:t>
      </w:r>
      <w:r w:rsidR="003F4026">
        <w:t xml:space="preserve">entre 36 e 90 meses. </w:t>
      </w:r>
      <w:r w:rsidR="00AA34E4">
        <w:t xml:space="preserve">Não identificados </w:t>
      </w:r>
      <w:r w:rsidR="00E468C1">
        <w:t>efeitos aparentes da pandemia global nos prazos de financiamento</w:t>
      </w:r>
      <w:r w:rsidR="005427C6">
        <w:t xml:space="preserve">. </w:t>
      </w:r>
    </w:p>
    <w:p w14:paraId="179BE8B2" w14:textId="244F2E21" w:rsidR="005427C6" w:rsidRDefault="005427C6" w:rsidP="00DB41FA"/>
    <w:p w14:paraId="0CA97B3D" w14:textId="5CE97F11" w:rsidR="00E1718E" w:rsidRDefault="00E1718E" w:rsidP="00DB41FA"/>
    <w:p w14:paraId="04BC99F4" w14:textId="526AD2E6" w:rsidR="00E1718E" w:rsidRDefault="00E1718E" w:rsidP="00DB41FA"/>
    <w:p w14:paraId="6729904D" w14:textId="4091D681" w:rsidR="00E1718E" w:rsidRDefault="00E1718E" w:rsidP="00DB41FA"/>
    <w:p w14:paraId="35DEE85B" w14:textId="1DD814F4" w:rsidR="00E1718E" w:rsidRDefault="00E1718E" w:rsidP="00932516">
      <w:pPr>
        <w:ind w:firstLine="708"/>
        <w:jc w:val="both"/>
      </w:pPr>
      <w:r>
        <w:lastRenderedPageBreak/>
        <w:t xml:space="preserve">A </w:t>
      </w:r>
      <w:r w:rsidRPr="00E1718E">
        <w:t xml:space="preserve">portabilidade de crédito é </w:t>
      </w:r>
      <w:r w:rsidR="002059A7">
        <w:t>a transferência d</w:t>
      </w:r>
      <w:r w:rsidRPr="00E1718E">
        <w:t>a dívida para outro banco</w:t>
      </w:r>
      <w:r w:rsidR="002059A7">
        <w:t xml:space="preserve">, visando geralmente melhores condições de </w:t>
      </w:r>
      <w:r w:rsidRPr="00E1718E">
        <w:t>juros</w:t>
      </w:r>
      <w:r w:rsidR="002059A7">
        <w:t xml:space="preserve"> e prazo</w:t>
      </w:r>
      <w:r w:rsidR="00AE2A20">
        <w:t>, sendo caracterizada como um instrumento de aumento da competitividade no mercado bancário</w:t>
      </w:r>
      <w:r w:rsidRPr="00E1718E">
        <w:t xml:space="preserve">. </w:t>
      </w:r>
      <w:r w:rsidR="00224D35">
        <w:t xml:space="preserve">A promoção da portabilidade pode também servir como estratégia de fidelização de clientes praticadas por alguns bancos. </w:t>
      </w:r>
    </w:p>
    <w:p w14:paraId="45F4608C" w14:textId="77777777" w:rsidR="00922FEE" w:rsidRDefault="00922FEE" w:rsidP="00922FEE">
      <w:pPr>
        <w:jc w:val="center"/>
        <w:rPr>
          <w:b/>
          <w:bCs/>
          <w:sz w:val="18"/>
          <w:szCs w:val="18"/>
        </w:rPr>
      </w:pPr>
    </w:p>
    <w:p w14:paraId="5ACC1C9E" w14:textId="5215268D" w:rsidR="00922FEE" w:rsidRDefault="00922FEE" w:rsidP="00922FEE">
      <w:pPr>
        <w:jc w:val="center"/>
      </w:pPr>
      <w:r w:rsidRPr="006B47C9">
        <w:rPr>
          <w:b/>
          <w:bCs/>
          <w:sz w:val="18"/>
          <w:szCs w:val="18"/>
        </w:rPr>
        <w:t xml:space="preserve">Gráfico </w:t>
      </w:r>
      <w:r>
        <w:rPr>
          <w:b/>
          <w:bCs/>
          <w:sz w:val="18"/>
          <w:szCs w:val="18"/>
        </w:rPr>
        <w:t>7</w:t>
      </w:r>
      <w:r w:rsidRPr="006B47C9">
        <w:rPr>
          <w:b/>
          <w:bCs/>
          <w:sz w:val="18"/>
          <w:szCs w:val="18"/>
        </w:rPr>
        <w:t xml:space="preserve">: </w:t>
      </w:r>
      <w:r w:rsidRPr="00E25429">
        <w:rPr>
          <w:b/>
          <w:bCs/>
          <w:sz w:val="18"/>
          <w:szCs w:val="18"/>
        </w:rPr>
        <w:t xml:space="preserve"> </w:t>
      </w:r>
      <w:r w:rsidR="00932516" w:rsidRPr="00932516">
        <w:rPr>
          <w:b/>
          <w:bCs/>
          <w:sz w:val="18"/>
          <w:szCs w:val="18"/>
        </w:rPr>
        <w:t xml:space="preserve">Portabilidade de crédito </w:t>
      </w:r>
      <w:r w:rsidR="00932516">
        <w:rPr>
          <w:b/>
          <w:bCs/>
          <w:sz w:val="18"/>
          <w:szCs w:val="18"/>
        </w:rPr>
        <w:t>i</w:t>
      </w:r>
      <w:r w:rsidR="00932516" w:rsidRPr="00932516">
        <w:rPr>
          <w:b/>
          <w:bCs/>
          <w:sz w:val="18"/>
          <w:szCs w:val="18"/>
        </w:rPr>
        <w:t xml:space="preserve">mobiliário </w:t>
      </w:r>
      <w:r w:rsidR="00932516">
        <w:rPr>
          <w:b/>
          <w:bCs/>
          <w:sz w:val="18"/>
          <w:szCs w:val="18"/>
        </w:rPr>
        <w:t>–</w:t>
      </w:r>
      <w:r w:rsidR="00932516" w:rsidRPr="00932516">
        <w:rPr>
          <w:b/>
          <w:bCs/>
          <w:sz w:val="18"/>
          <w:szCs w:val="18"/>
        </w:rPr>
        <w:t xml:space="preserve"> </w:t>
      </w:r>
      <w:r w:rsidR="00932516">
        <w:rPr>
          <w:b/>
          <w:bCs/>
          <w:sz w:val="18"/>
          <w:szCs w:val="18"/>
        </w:rPr>
        <w:t xml:space="preserve">Financiamento </w:t>
      </w:r>
      <w:r w:rsidR="00932516" w:rsidRPr="00932516">
        <w:rPr>
          <w:b/>
          <w:bCs/>
          <w:sz w:val="18"/>
          <w:szCs w:val="18"/>
        </w:rPr>
        <w:t xml:space="preserve">Habitacional SFH - Total de pedidos </w:t>
      </w:r>
      <w:proofErr w:type="gramStart"/>
      <w:r w:rsidR="00932516">
        <w:rPr>
          <w:b/>
          <w:bCs/>
          <w:sz w:val="18"/>
          <w:szCs w:val="18"/>
        </w:rPr>
        <w:t xml:space="preserve">( </w:t>
      </w:r>
      <w:r w:rsidR="00932516" w:rsidRPr="00932516">
        <w:rPr>
          <w:b/>
          <w:bCs/>
          <w:sz w:val="18"/>
          <w:szCs w:val="18"/>
        </w:rPr>
        <w:t>Unidades</w:t>
      </w:r>
      <w:proofErr w:type="gramEnd"/>
      <w:r>
        <w:rPr>
          <w:b/>
          <w:bCs/>
          <w:sz w:val="18"/>
          <w:szCs w:val="18"/>
        </w:rPr>
        <w:t>)</w:t>
      </w:r>
    </w:p>
    <w:p w14:paraId="1C9F2E40" w14:textId="5C04E043" w:rsidR="00E1718E" w:rsidRDefault="00FB0D84" w:rsidP="00932516">
      <w:pPr>
        <w:jc w:val="center"/>
      </w:pPr>
      <w:r>
        <w:rPr>
          <w:noProof/>
        </w:rPr>
        <w:drawing>
          <wp:inline distT="0" distB="0" distL="0" distR="0" wp14:anchorId="5012CB82" wp14:editId="284DE375">
            <wp:extent cx="3784527" cy="2395182"/>
            <wp:effectExtent l="0" t="0" r="6985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07" cy="2397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ADCDE" w14:textId="1074E29E" w:rsidR="00E1718E" w:rsidRDefault="00E1718E" w:rsidP="00DB41FA"/>
    <w:p w14:paraId="6F267062" w14:textId="3A5653C4" w:rsidR="00932516" w:rsidRDefault="00FF37C2" w:rsidP="00DD7668">
      <w:pPr>
        <w:ind w:firstLine="708"/>
        <w:jc w:val="both"/>
      </w:pPr>
      <w:r>
        <w:t xml:space="preserve">No </w:t>
      </w:r>
      <w:r w:rsidR="00932516">
        <w:t xml:space="preserve">período recente </w:t>
      </w:r>
      <w:r>
        <w:t xml:space="preserve">observamos um aumento da portabilidade de </w:t>
      </w:r>
      <w:r w:rsidR="006755F4">
        <w:t>crédito</w:t>
      </w:r>
      <w:r>
        <w:t>, principalmente por parte das empresas</w:t>
      </w:r>
      <w:r w:rsidR="00DD7668">
        <w:t xml:space="preserve"> (</w:t>
      </w:r>
      <w:r w:rsidR="00DD7668" w:rsidRPr="00967337">
        <w:t xml:space="preserve">Gráfico </w:t>
      </w:r>
      <w:r w:rsidR="00DD7668">
        <w:t>7)</w:t>
      </w:r>
      <w:r>
        <w:t>.</w:t>
      </w:r>
      <w:r w:rsidR="006755F4">
        <w:t xml:space="preserve"> </w:t>
      </w:r>
      <w:r w:rsidR="00F60F08">
        <w:t xml:space="preserve">As firmas recorreram fortemente a este instrumento, como forma de gerir sua inadimplência no período de pandemia. </w:t>
      </w:r>
      <w:r w:rsidR="006755F4">
        <w:t xml:space="preserve">Em </w:t>
      </w:r>
      <w:r w:rsidR="006250A4">
        <w:t>2020</w:t>
      </w:r>
      <w:r w:rsidR="006755F4">
        <w:t xml:space="preserve">, </w:t>
      </w:r>
      <w:r w:rsidR="006250A4">
        <w:t>as empresas realizaram em médi</w:t>
      </w:r>
      <w:r w:rsidR="0088238B">
        <w:t>a</w:t>
      </w:r>
      <w:r w:rsidR="006250A4">
        <w:t xml:space="preserve"> </w:t>
      </w:r>
      <w:r w:rsidR="00E23A35">
        <w:t>4</w:t>
      </w:r>
      <w:r w:rsidR="0088238B">
        <w:t xml:space="preserve">.649 </w:t>
      </w:r>
      <w:r w:rsidR="006755F4">
        <w:t>portabilidade</w:t>
      </w:r>
      <w:r w:rsidR="0088238B">
        <w:t>s de crédito imobiliário, representando um aumento de 421</w:t>
      </w:r>
      <w:r w:rsidR="00FD5768">
        <w:t>,8</w:t>
      </w:r>
      <w:r w:rsidR="0088238B">
        <w:t xml:space="preserve">% em relação a 2019. Por sua vez, as famílias realizaram em média </w:t>
      </w:r>
      <w:r w:rsidR="00334FB8">
        <w:t xml:space="preserve">975 </w:t>
      </w:r>
      <w:r w:rsidR="0088238B">
        <w:t xml:space="preserve">portabilidades de crédito imobiliário, representando um aumento de </w:t>
      </w:r>
      <w:r w:rsidR="00334FB8">
        <w:t>1</w:t>
      </w:r>
      <w:r w:rsidR="00FD5768">
        <w:t>97,5</w:t>
      </w:r>
      <w:r w:rsidR="0088238B">
        <w:t>% em relação a 2019</w:t>
      </w:r>
      <w:r w:rsidR="00FD5768">
        <w:t>.</w:t>
      </w:r>
      <w:r w:rsidR="00F60F08">
        <w:t xml:space="preserve"> </w:t>
      </w:r>
    </w:p>
    <w:p w14:paraId="3704BB14" w14:textId="7547E88B" w:rsidR="006755F4" w:rsidRDefault="006755F4" w:rsidP="00DB41FA"/>
    <w:p w14:paraId="62B1167A" w14:textId="4F1DA965" w:rsidR="00D31E58" w:rsidRDefault="00D31E58" w:rsidP="00843FED">
      <w:pPr>
        <w:jc w:val="center"/>
      </w:pPr>
      <w:r w:rsidRPr="006B47C9">
        <w:rPr>
          <w:b/>
          <w:bCs/>
          <w:sz w:val="18"/>
          <w:szCs w:val="18"/>
        </w:rPr>
        <w:t xml:space="preserve">Gráfico </w:t>
      </w:r>
      <w:r>
        <w:rPr>
          <w:b/>
          <w:bCs/>
          <w:sz w:val="18"/>
          <w:szCs w:val="18"/>
        </w:rPr>
        <w:t>8</w:t>
      </w:r>
      <w:r w:rsidRPr="006B47C9">
        <w:rPr>
          <w:b/>
          <w:bCs/>
          <w:sz w:val="18"/>
          <w:szCs w:val="18"/>
        </w:rPr>
        <w:t xml:space="preserve">: </w:t>
      </w:r>
      <w:r w:rsidRPr="00E25429">
        <w:rPr>
          <w:b/>
          <w:bCs/>
          <w:sz w:val="18"/>
          <w:szCs w:val="18"/>
        </w:rPr>
        <w:t xml:space="preserve"> </w:t>
      </w:r>
      <w:r w:rsidR="00843FED" w:rsidRPr="00843FED">
        <w:rPr>
          <w:b/>
          <w:bCs/>
          <w:sz w:val="18"/>
          <w:szCs w:val="18"/>
        </w:rPr>
        <w:t xml:space="preserve">Concessões de crédito com recursos direcionados - Financiamento imobiliário </w:t>
      </w:r>
      <w:proofErr w:type="gramStart"/>
      <w:r w:rsidR="00843FED">
        <w:rPr>
          <w:b/>
          <w:bCs/>
          <w:sz w:val="18"/>
          <w:szCs w:val="18"/>
        </w:rPr>
        <w:t xml:space="preserve">( </w:t>
      </w:r>
      <w:r w:rsidR="00843FED" w:rsidRPr="00843FED">
        <w:rPr>
          <w:b/>
          <w:bCs/>
          <w:sz w:val="18"/>
          <w:szCs w:val="18"/>
        </w:rPr>
        <w:t>R</w:t>
      </w:r>
      <w:proofErr w:type="gramEnd"/>
      <w:r w:rsidR="00843FED" w:rsidRPr="00843FED">
        <w:rPr>
          <w:b/>
          <w:bCs/>
          <w:sz w:val="18"/>
          <w:szCs w:val="18"/>
        </w:rPr>
        <w:t>$</w:t>
      </w:r>
      <w:r w:rsidR="00843FED">
        <w:rPr>
          <w:b/>
          <w:bCs/>
          <w:sz w:val="18"/>
          <w:szCs w:val="18"/>
        </w:rPr>
        <w:t xml:space="preserve"> </w:t>
      </w:r>
      <w:r w:rsidR="00843FED" w:rsidRPr="00843FED">
        <w:rPr>
          <w:b/>
          <w:bCs/>
          <w:sz w:val="18"/>
          <w:szCs w:val="18"/>
        </w:rPr>
        <w:t>milhões)</w:t>
      </w:r>
    </w:p>
    <w:p w14:paraId="185DC7E7" w14:textId="58C33812" w:rsidR="00D31E58" w:rsidRDefault="00CF515F" w:rsidP="00CF515F">
      <w:pPr>
        <w:jc w:val="center"/>
      </w:pPr>
      <w:r>
        <w:rPr>
          <w:noProof/>
        </w:rPr>
        <w:drawing>
          <wp:inline distT="0" distB="0" distL="0" distR="0" wp14:anchorId="014BE112" wp14:editId="33527FA3">
            <wp:extent cx="3923822" cy="2394647"/>
            <wp:effectExtent l="0" t="0" r="63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472" cy="2399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295E7" w14:textId="77777777" w:rsidR="00CF515F" w:rsidRDefault="00CF515F" w:rsidP="00DB41FA">
      <w:pPr>
        <w:rPr>
          <w:b/>
          <w:bCs/>
        </w:rPr>
      </w:pPr>
    </w:p>
    <w:p w14:paraId="4FDCBBB4" w14:textId="77777777" w:rsidR="00CF515F" w:rsidRDefault="00CF515F" w:rsidP="00DB41FA">
      <w:pPr>
        <w:rPr>
          <w:b/>
          <w:bCs/>
        </w:rPr>
      </w:pPr>
    </w:p>
    <w:p w14:paraId="126255EB" w14:textId="71C41FC7" w:rsidR="00CF515F" w:rsidRDefault="008F0B38" w:rsidP="00967337">
      <w:pPr>
        <w:ind w:firstLine="708"/>
        <w:jc w:val="both"/>
      </w:pPr>
      <w:r w:rsidRPr="008F0B38">
        <w:lastRenderedPageBreak/>
        <w:t xml:space="preserve">No período após a pandemia global observamos um aumento da demanda </w:t>
      </w:r>
      <w:r>
        <w:t>por financiamento habitacional</w:t>
      </w:r>
      <w:r w:rsidR="003F70AB">
        <w:t>, particularmente para as famílias</w:t>
      </w:r>
      <w:r>
        <w:t>.</w:t>
      </w:r>
      <w:r w:rsidR="003F70AB">
        <w:t xml:space="preserve"> O aumento da demanda por parte das família</w:t>
      </w:r>
      <w:r w:rsidR="004742B5">
        <w:t>s</w:t>
      </w:r>
      <w:r w:rsidR="003F70AB">
        <w:t xml:space="preserve"> </w:t>
      </w:r>
      <w:r w:rsidR="004742B5">
        <w:t>pode estar relacionado as novas formas de configuração de trabalho</w:t>
      </w:r>
      <w:r w:rsidR="00C87E55">
        <w:t xml:space="preserve"> e educação. O </w:t>
      </w:r>
      <w:r w:rsidR="004742B5">
        <w:t xml:space="preserve">estabelecimento </w:t>
      </w:r>
      <w:r w:rsidR="00C87E55">
        <w:t xml:space="preserve">definitivo </w:t>
      </w:r>
      <w:r w:rsidR="004742B5">
        <w:t>do home-office</w:t>
      </w:r>
      <w:r w:rsidR="00C87E55">
        <w:t xml:space="preserve"> por muitas empresas, e a</w:t>
      </w:r>
      <w:r w:rsidR="00110DBA">
        <w:t xml:space="preserve"> educação a distância trouxe </w:t>
      </w:r>
      <w:r w:rsidR="00C87E55">
        <w:t xml:space="preserve">a necessidade de espaços </w:t>
      </w:r>
      <w:r w:rsidR="00C723EC">
        <w:t xml:space="preserve">que se adaptassem as demandas das famílias. Por outro lado, muitas empresas passaram a necessitar de menos espaço para acomodação de mão-de-obra, </w:t>
      </w:r>
      <w:r w:rsidR="00967337">
        <w:t xml:space="preserve">comportamento que </w:t>
      </w:r>
      <w:r w:rsidR="00C723EC">
        <w:t xml:space="preserve">se reflete </w:t>
      </w:r>
      <w:r w:rsidR="00967337">
        <w:t>na evolução da seria pra pessoas jurídicas (</w:t>
      </w:r>
      <w:r w:rsidR="00967337" w:rsidRPr="00967337">
        <w:t>Gráfico 8</w:t>
      </w:r>
      <w:r w:rsidR="00967337">
        <w:t>)</w:t>
      </w:r>
      <w:r w:rsidR="00C87E55">
        <w:t xml:space="preserve">. </w:t>
      </w:r>
    </w:p>
    <w:p w14:paraId="3370C4E6" w14:textId="77777777" w:rsidR="004742B5" w:rsidRPr="008F0B38" w:rsidRDefault="004742B5" w:rsidP="00DB41FA"/>
    <w:p w14:paraId="05B69B3B" w14:textId="6219C9DF" w:rsidR="00DB41FA" w:rsidRDefault="008C621C" w:rsidP="00DB41FA">
      <w:pPr>
        <w:rPr>
          <w:b/>
          <w:bCs/>
        </w:rPr>
      </w:pPr>
      <w:r w:rsidRPr="00FD5768">
        <w:rPr>
          <w:b/>
          <w:bCs/>
        </w:rPr>
        <w:t xml:space="preserve">Conclusão </w:t>
      </w:r>
    </w:p>
    <w:p w14:paraId="7934BB76" w14:textId="4CB7C535" w:rsidR="008C6058" w:rsidRDefault="00D445E3" w:rsidP="00CF0928">
      <w:pPr>
        <w:ind w:firstLine="708"/>
        <w:jc w:val="both"/>
      </w:pPr>
      <w:r>
        <w:t xml:space="preserve">A recente </w:t>
      </w:r>
      <w:r w:rsidRPr="00D445E3">
        <w:t>pandemia global</w:t>
      </w:r>
      <w:r>
        <w:t xml:space="preserve"> representou desafios únicos enfrentados pelas famílias e empresas, impactando a demanda e a taxa de inadimplência d</w:t>
      </w:r>
      <w:r w:rsidR="00776EF6">
        <w:t>os financiamentos imobiliários</w:t>
      </w:r>
      <w:r>
        <w:t xml:space="preserve">. </w:t>
      </w:r>
      <w:r w:rsidR="00776EF6">
        <w:t xml:space="preserve">Apesar dos desafios </w:t>
      </w:r>
      <w:r w:rsidRPr="00D445E3">
        <w:t xml:space="preserve">as famílias não incorreram em inadimplência </w:t>
      </w:r>
      <w:r w:rsidR="00776EF6">
        <w:t>durante esse período</w:t>
      </w:r>
      <w:r w:rsidRPr="00D445E3">
        <w:t>.</w:t>
      </w:r>
      <w:r w:rsidR="00776EF6">
        <w:t xml:space="preserve"> Por outro lado, as </w:t>
      </w:r>
      <w:r w:rsidRPr="00D445E3">
        <w:t xml:space="preserve">empresas </w:t>
      </w:r>
      <w:r w:rsidR="00776EF6">
        <w:t xml:space="preserve">parecem ter sido </w:t>
      </w:r>
      <w:r w:rsidRPr="00D445E3">
        <w:t xml:space="preserve">mais fortemente afetadas, chegando a atingir uma taxa de inadimplência de 14,1% em 2021. </w:t>
      </w:r>
      <w:r w:rsidR="00EC5E35">
        <w:t xml:space="preserve">Como reação, as empresas parecem ter recorrido ao instrumento financeiro de portabilidade de </w:t>
      </w:r>
      <w:r w:rsidR="005B4BDF">
        <w:t xml:space="preserve">operações de crédito. </w:t>
      </w:r>
      <w:r w:rsidR="00CF0928">
        <w:t xml:space="preserve">Já em </w:t>
      </w:r>
      <w:r w:rsidR="008C6058">
        <w:t>2022 a taxa de inadimplência das empresas volta para os mesmos níveis antes da pandemia. Os resultados indicam que os efeitos da pandemia no crédito imobiliário parecem superados, havendo espaço para o desenho de políticas visando suprir a demanda habitacional.</w:t>
      </w:r>
    </w:p>
    <w:p w14:paraId="1E713CC3" w14:textId="770887AA" w:rsidR="008C6058" w:rsidRDefault="008C6058" w:rsidP="00DB41FA">
      <w:pPr>
        <w:rPr>
          <w:b/>
          <w:bCs/>
        </w:rPr>
      </w:pPr>
    </w:p>
    <w:p w14:paraId="1D4970E2" w14:textId="77777777" w:rsidR="008C6058" w:rsidRDefault="008C6058" w:rsidP="00DB41FA">
      <w:pPr>
        <w:rPr>
          <w:b/>
          <w:bCs/>
        </w:rPr>
      </w:pPr>
    </w:p>
    <w:p w14:paraId="50915AA3" w14:textId="58D32111" w:rsidR="00D445E3" w:rsidRPr="00FD5768" w:rsidRDefault="005B4BDF" w:rsidP="00DB41FA">
      <w:pPr>
        <w:rPr>
          <w:b/>
          <w:bCs/>
        </w:rPr>
      </w:pPr>
      <w:r>
        <w:rPr>
          <w:b/>
          <w:bCs/>
        </w:rPr>
        <w:t>Bibliografia</w:t>
      </w:r>
    </w:p>
    <w:p w14:paraId="70E4218E" w14:textId="22260FA2" w:rsidR="00DB41FA" w:rsidRDefault="008E0266" w:rsidP="006B2BEC">
      <w:proofErr w:type="spellStart"/>
      <w:r w:rsidRPr="008E0266">
        <w:t>Abrainc</w:t>
      </w:r>
      <w:proofErr w:type="spellEnd"/>
      <w:r w:rsidRPr="008E0266">
        <w:t>: Brasil terá demanda por mais 30,7 milhões de novas residências até 2030</w:t>
      </w:r>
      <w:r w:rsidR="006B2BEC">
        <w:t xml:space="preserve">, 2020. Disponível em: </w:t>
      </w:r>
      <w:r w:rsidR="003C545D">
        <w:rPr>
          <w:vertAlign w:val="superscript"/>
        </w:rPr>
        <w:t xml:space="preserve"> </w:t>
      </w:r>
      <w:r w:rsidR="00DB77E9" w:rsidRPr="006B2BEC">
        <w:t>https://www.abrainc.org.br/abrainc/2020/09/29/abrainc-brasil-tera-demanda-por-mais-307-milhoes-de-novas-residencias-ate-2030/</w:t>
      </w:r>
    </w:p>
    <w:p w14:paraId="5C1452D6" w14:textId="797F04A1" w:rsidR="00DB77E9" w:rsidRPr="001B366A" w:rsidRDefault="001D7141" w:rsidP="006B2BEC">
      <w:pPr>
        <w:rPr>
          <w:sz w:val="20"/>
          <w:szCs w:val="20"/>
        </w:rPr>
      </w:pPr>
      <w:r>
        <w:t>Araujo, F.</w:t>
      </w:r>
      <w:r w:rsidR="001B366A">
        <w:t xml:space="preserve"> </w:t>
      </w:r>
      <w:r w:rsidR="001B366A" w:rsidRPr="001B366A">
        <w:t xml:space="preserve">Financiamento para construção e compra de imóveis em </w:t>
      </w:r>
      <w:proofErr w:type="gramStart"/>
      <w:r w:rsidR="001B366A" w:rsidRPr="001B366A">
        <w:t>Abril</w:t>
      </w:r>
      <w:proofErr w:type="gramEnd"/>
      <w:r w:rsidR="001B366A">
        <w:t>, 2022. Disponível em:</w:t>
      </w:r>
      <w:r w:rsidRPr="001B366A">
        <w:rPr>
          <w:sz w:val="20"/>
          <w:szCs w:val="20"/>
        </w:rPr>
        <w:t>https://homehub.com.br/blog/financiamento-para-construcao-e-compra-de-imoveis-em-abril/</w:t>
      </w:r>
    </w:p>
    <w:p w14:paraId="248670BF" w14:textId="6F1917B5" w:rsidR="00DB77E9" w:rsidRDefault="00DB77E9" w:rsidP="00DB77E9">
      <w:proofErr w:type="spellStart"/>
      <w:r w:rsidRPr="00DB77E9">
        <w:rPr>
          <w:lang w:val="en-US"/>
        </w:rPr>
        <w:t>Annibal</w:t>
      </w:r>
      <w:proofErr w:type="spellEnd"/>
      <w:r w:rsidRPr="00DB77E9">
        <w:rPr>
          <w:lang w:val="en-US"/>
        </w:rPr>
        <w:t xml:space="preserve">, C. A. </w:t>
      </w:r>
      <w:r w:rsidRPr="00DB77E9">
        <w:rPr>
          <w:i/>
          <w:iCs/>
          <w:lang w:val="en-US"/>
        </w:rPr>
        <w:t>et al</w:t>
      </w:r>
      <w:r w:rsidRPr="00DB77E9">
        <w:rPr>
          <w:lang w:val="en-US"/>
        </w:rPr>
        <w:t xml:space="preserve">. </w:t>
      </w:r>
      <w:r>
        <w:t>Nota Técnica do Banco Central do Brasil nº 45, Indicador de Custo do Crédito. Nota Metodológica, 2018.</w:t>
      </w:r>
    </w:p>
    <w:sectPr w:rsidR="00DB7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84F91" w14:textId="77777777" w:rsidR="00951423" w:rsidRDefault="00951423" w:rsidP="007B506A">
      <w:pPr>
        <w:spacing w:after="0" w:line="240" w:lineRule="auto"/>
      </w:pPr>
      <w:r>
        <w:separator/>
      </w:r>
    </w:p>
  </w:endnote>
  <w:endnote w:type="continuationSeparator" w:id="0">
    <w:p w14:paraId="254A190B" w14:textId="77777777" w:rsidR="00951423" w:rsidRDefault="00951423" w:rsidP="007B5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CCA45" w14:textId="77777777" w:rsidR="00951423" w:rsidRDefault="00951423" w:rsidP="007B506A">
      <w:pPr>
        <w:spacing w:after="0" w:line="240" w:lineRule="auto"/>
      </w:pPr>
      <w:r>
        <w:separator/>
      </w:r>
    </w:p>
  </w:footnote>
  <w:footnote w:type="continuationSeparator" w:id="0">
    <w:p w14:paraId="254010E6" w14:textId="77777777" w:rsidR="00951423" w:rsidRDefault="00951423" w:rsidP="007B5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B6"/>
    <w:rsid w:val="00011540"/>
    <w:rsid w:val="00022447"/>
    <w:rsid w:val="000577B7"/>
    <w:rsid w:val="000600E1"/>
    <w:rsid w:val="0006383A"/>
    <w:rsid w:val="00075F70"/>
    <w:rsid w:val="00077C0A"/>
    <w:rsid w:val="00077E44"/>
    <w:rsid w:val="00097558"/>
    <w:rsid w:val="000B7BC2"/>
    <w:rsid w:val="000D7FDE"/>
    <w:rsid w:val="000F1727"/>
    <w:rsid w:val="00110DBA"/>
    <w:rsid w:val="001471AB"/>
    <w:rsid w:val="00155AB6"/>
    <w:rsid w:val="00160FA2"/>
    <w:rsid w:val="00163DA0"/>
    <w:rsid w:val="001A27B3"/>
    <w:rsid w:val="001B34B6"/>
    <w:rsid w:val="001B366A"/>
    <w:rsid w:val="001B4A8A"/>
    <w:rsid w:val="001B687A"/>
    <w:rsid w:val="001D2C18"/>
    <w:rsid w:val="001D7141"/>
    <w:rsid w:val="002059A7"/>
    <w:rsid w:val="0022062B"/>
    <w:rsid w:val="00224D35"/>
    <w:rsid w:val="00242D90"/>
    <w:rsid w:val="00285A02"/>
    <w:rsid w:val="002901AF"/>
    <w:rsid w:val="002A45DD"/>
    <w:rsid w:val="002D01F4"/>
    <w:rsid w:val="002D1B59"/>
    <w:rsid w:val="00302D26"/>
    <w:rsid w:val="00304275"/>
    <w:rsid w:val="00312CFB"/>
    <w:rsid w:val="00334FB8"/>
    <w:rsid w:val="0036645E"/>
    <w:rsid w:val="0038585D"/>
    <w:rsid w:val="003957EF"/>
    <w:rsid w:val="003A5FDA"/>
    <w:rsid w:val="003C06F5"/>
    <w:rsid w:val="003C545D"/>
    <w:rsid w:val="003D09EB"/>
    <w:rsid w:val="003F4026"/>
    <w:rsid w:val="003F70AB"/>
    <w:rsid w:val="00433AE4"/>
    <w:rsid w:val="00435646"/>
    <w:rsid w:val="00441E7A"/>
    <w:rsid w:val="004527C9"/>
    <w:rsid w:val="004742B5"/>
    <w:rsid w:val="00482F74"/>
    <w:rsid w:val="004949D6"/>
    <w:rsid w:val="004B790A"/>
    <w:rsid w:val="004C294A"/>
    <w:rsid w:val="004F4383"/>
    <w:rsid w:val="004F7435"/>
    <w:rsid w:val="00512DEF"/>
    <w:rsid w:val="00536DFA"/>
    <w:rsid w:val="005416F1"/>
    <w:rsid w:val="005427C6"/>
    <w:rsid w:val="0056258F"/>
    <w:rsid w:val="005A6CF9"/>
    <w:rsid w:val="005A7D84"/>
    <w:rsid w:val="005B4BDF"/>
    <w:rsid w:val="005C229C"/>
    <w:rsid w:val="005D655B"/>
    <w:rsid w:val="005E3320"/>
    <w:rsid w:val="005E68ED"/>
    <w:rsid w:val="005F05C3"/>
    <w:rsid w:val="005F345F"/>
    <w:rsid w:val="005F6C93"/>
    <w:rsid w:val="006250A4"/>
    <w:rsid w:val="00634C59"/>
    <w:rsid w:val="00637B6B"/>
    <w:rsid w:val="00647454"/>
    <w:rsid w:val="006755F4"/>
    <w:rsid w:val="0067684B"/>
    <w:rsid w:val="00692035"/>
    <w:rsid w:val="0069280F"/>
    <w:rsid w:val="006A4764"/>
    <w:rsid w:val="006B2BEC"/>
    <w:rsid w:val="006B47C9"/>
    <w:rsid w:val="006E4E79"/>
    <w:rsid w:val="006F4DA2"/>
    <w:rsid w:val="00751195"/>
    <w:rsid w:val="007578B4"/>
    <w:rsid w:val="007741EC"/>
    <w:rsid w:val="00776EF6"/>
    <w:rsid w:val="00784B7D"/>
    <w:rsid w:val="00784CCA"/>
    <w:rsid w:val="00791E9E"/>
    <w:rsid w:val="00795D71"/>
    <w:rsid w:val="007A4745"/>
    <w:rsid w:val="007B506A"/>
    <w:rsid w:val="007B5D53"/>
    <w:rsid w:val="007C133D"/>
    <w:rsid w:val="007D1834"/>
    <w:rsid w:val="00816BEB"/>
    <w:rsid w:val="00843FED"/>
    <w:rsid w:val="00854B6C"/>
    <w:rsid w:val="0088083B"/>
    <w:rsid w:val="0088148E"/>
    <w:rsid w:val="0088238B"/>
    <w:rsid w:val="008C6058"/>
    <w:rsid w:val="008C621C"/>
    <w:rsid w:val="008D3198"/>
    <w:rsid w:val="008E0266"/>
    <w:rsid w:val="008E31F7"/>
    <w:rsid w:val="008F0B38"/>
    <w:rsid w:val="008F6CFD"/>
    <w:rsid w:val="00906B66"/>
    <w:rsid w:val="00922FEE"/>
    <w:rsid w:val="00932516"/>
    <w:rsid w:val="00941930"/>
    <w:rsid w:val="00945B4E"/>
    <w:rsid w:val="00951423"/>
    <w:rsid w:val="00965603"/>
    <w:rsid w:val="00967337"/>
    <w:rsid w:val="0097646E"/>
    <w:rsid w:val="00985CFD"/>
    <w:rsid w:val="009F138E"/>
    <w:rsid w:val="009F2935"/>
    <w:rsid w:val="00A22CB5"/>
    <w:rsid w:val="00A40B9A"/>
    <w:rsid w:val="00A45DD7"/>
    <w:rsid w:val="00A60964"/>
    <w:rsid w:val="00A71F2E"/>
    <w:rsid w:val="00A753F6"/>
    <w:rsid w:val="00AA34E4"/>
    <w:rsid w:val="00AA4152"/>
    <w:rsid w:val="00AA5243"/>
    <w:rsid w:val="00AB4A6A"/>
    <w:rsid w:val="00AC71EF"/>
    <w:rsid w:val="00AC7FBF"/>
    <w:rsid w:val="00AE2A20"/>
    <w:rsid w:val="00AF2A37"/>
    <w:rsid w:val="00AF514B"/>
    <w:rsid w:val="00B640AC"/>
    <w:rsid w:val="00B72A55"/>
    <w:rsid w:val="00B73327"/>
    <w:rsid w:val="00BB327E"/>
    <w:rsid w:val="00BB3A3F"/>
    <w:rsid w:val="00BB3ED2"/>
    <w:rsid w:val="00BC1D13"/>
    <w:rsid w:val="00BC6515"/>
    <w:rsid w:val="00BF5156"/>
    <w:rsid w:val="00C031A0"/>
    <w:rsid w:val="00C13216"/>
    <w:rsid w:val="00C3087B"/>
    <w:rsid w:val="00C40610"/>
    <w:rsid w:val="00C40CD1"/>
    <w:rsid w:val="00C556A3"/>
    <w:rsid w:val="00C62770"/>
    <w:rsid w:val="00C723EC"/>
    <w:rsid w:val="00C87E55"/>
    <w:rsid w:val="00C91313"/>
    <w:rsid w:val="00CA3FDB"/>
    <w:rsid w:val="00CA7366"/>
    <w:rsid w:val="00CC34EF"/>
    <w:rsid w:val="00CE5976"/>
    <w:rsid w:val="00CF0928"/>
    <w:rsid w:val="00CF515F"/>
    <w:rsid w:val="00D2598E"/>
    <w:rsid w:val="00D31E58"/>
    <w:rsid w:val="00D445E3"/>
    <w:rsid w:val="00D45D9B"/>
    <w:rsid w:val="00D60200"/>
    <w:rsid w:val="00D75D88"/>
    <w:rsid w:val="00D878FE"/>
    <w:rsid w:val="00DA04CE"/>
    <w:rsid w:val="00DB0300"/>
    <w:rsid w:val="00DB41FA"/>
    <w:rsid w:val="00DB77E9"/>
    <w:rsid w:val="00DD7668"/>
    <w:rsid w:val="00DE3A74"/>
    <w:rsid w:val="00DE4CAE"/>
    <w:rsid w:val="00E0061C"/>
    <w:rsid w:val="00E02A18"/>
    <w:rsid w:val="00E0672B"/>
    <w:rsid w:val="00E14DEF"/>
    <w:rsid w:val="00E155F5"/>
    <w:rsid w:val="00E1718E"/>
    <w:rsid w:val="00E23A35"/>
    <w:rsid w:val="00E25429"/>
    <w:rsid w:val="00E43031"/>
    <w:rsid w:val="00E468C1"/>
    <w:rsid w:val="00E47F18"/>
    <w:rsid w:val="00EB0FB6"/>
    <w:rsid w:val="00EB5423"/>
    <w:rsid w:val="00EC11CC"/>
    <w:rsid w:val="00EC4637"/>
    <w:rsid w:val="00EC5E35"/>
    <w:rsid w:val="00ED2E7F"/>
    <w:rsid w:val="00ED32E8"/>
    <w:rsid w:val="00F117A6"/>
    <w:rsid w:val="00F60F08"/>
    <w:rsid w:val="00F679E1"/>
    <w:rsid w:val="00FB0D84"/>
    <w:rsid w:val="00FD5768"/>
    <w:rsid w:val="00FF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7B368C"/>
  <w15:chartTrackingRefBased/>
  <w15:docId w15:val="{D3CA87F1-E386-4C5F-B9A9-0E6361B6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77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7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4</cp:revision>
  <dcterms:created xsi:type="dcterms:W3CDTF">2023-02-15T20:05:00Z</dcterms:created>
  <dcterms:modified xsi:type="dcterms:W3CDTF">2023-02-15T20:05:00Z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2023-02-15T03:11:46Z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b4674538-d5e1-4ca6-a6bc-8b275d11605a</vt:lpwstr>
  </property>
  <property fmtid="{D5CDD505-2E9C-101B-9397-08002B2CF9AE}" pid="8" name="MSIP_Label_6459b2e0-2ec4-47e6-afc1-6e3f8b684f6a_ContentBits">
    <vt:lpwstr>0</vt:lpwstr>
  </property>
</Properties>
</file>