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57AE4" w14:textId="42B1255C" w:rsidR="00EA7A1C" w:rsidRDefault="00EA7A1C" w:rsidP="00EA7A1C">
      <w:pPr>
        <w:pStyle w:val="Ttulo"/>
        <w:rPr>
          <w:sz w:val="24"/>
          <w:szCs w:val="24"/>
          <w:lang w:val="en-US"/>
        </w:rPr>
      </w:pPr>
      <w:r w:rsidRPr="00EA7A1C">
        <w:rPr>
          <w:sz w:val="24"/>
          <w:szCs w:val="24"/>
          <w:lang w:val="en-US"/>
        </w:rPr>
        <w:t xml:space="preserve">Product 2 - Technical document containing evaluations and analysis of BNDES interest rates </w:t>
      </w:r>
    </w:p>
    <w:p w14:paraId="0525A112" w14:textId="77777777" w:rsidR="0010724E" w:rsidRPr="0010724E" w:rsidRDefault="0010724E" w:rsidP="0010724E">
      <w:pPr>
        <w:rPr>
          <w:lang w:val="en-US"/>
        </w:rPr>
      </w:pPr>
    </w:p>
    <w:p w14:paraId="782F079B" w14:textId="5CF0650E" w:rsidR="00AB3ED2" w:rsidRDefault="005E2710" w:rsidP="00B87FFD">
      <w:pPr>
        <w:pStyle w:val="Ttulo"/>
        <w:jc w:val="center"/>
        <w:rPr>
          <w:sz w:val="24"/>
          <w:szCs w:val="24"/>
        </w:rPr>
      </w:pPr>
      <w:r>
        <w:rPr>
          <w:sz w:val="24"/>
          <w:szCs w:val="24"/>
        </w:rPr>
        <w:t>Evolução da Taxa de Juros do</w:t>
      </w:r>
      <w:r w:rsidR="00B87FFD">
        <w:rPr>
          <w:sz w:val="24"/>
          <w:szCs w:val="24"/>
        </w:rPr>
        <w:t xml:space="preserve"> BNDES </w:t>
      </w:r>
      <w:r>
        <w:rPr>
          <w:sz w:val="24"/>
          <w:szCs w:val="24"/>
        </w:rPr>
        <w:t>nos últimos anos</w:t>
      </w:r>
    </w:p>
    <w:p w14:paraId="342E95A4" w14:textId="11797C7A" w:rsidR="000B12DC" w:rsidRPr="00744C3B" w:rsidRDefault="000B12DC" w:rsidP="00B87FFD">
      <w:pPr>
        <w:pStyle w:val="Ttulo"/>
        <w:jc w:val="center"/>
        <w:rPr>
          <w:sz w:val="24"/>
          <w:szCs w:val="24"/>
        </w:rPr>
      </w:pPr>
    </w:p>
    <w:p w14:paraId="7A2F84F9" w14:textId="77777777" w:rsidR="00D44E21" w:rsidRDefault="00744C3B" w:rsidP="00744C3B">
      <w:pPr>
        <w:jc w:val="right"/>
      </w:pPr>
      <w:r>
        <w:t>Patrick Alves</w:t>
      </w:r>
    </w:p>
    <w:p w14:paraId="737D3FA9" w14:textId="77777777" w:rsidR="00D44E21" w:rsidRDefault="00911967" w:rsidP="005A0592">
      <w:r w:rsidRPr="00F173E9">
        <w:rPr>
          <w:b/>
          <w:sz w:val="24"/>
          <w:szCs w:val="24"/>
        </w:rPr>
        <w:t>Resumo</w:t>
      </w:r>
      <w:r w:rsidR="00D44E21">
        <w:t>:</w:t>
      </w:r>
    </w:p>
    <w:p w14:paraId="7EDB77A9" w14:textId="6EC061A3" w:rsidR="004D33E8" w:rsidRPr="003A5166" w:rsidRDefault="00EA7A1C" w:rsidP="00E064FB">
      <w:pPr>
        <w:ind w:firstLine="360"/>
        <w:jc w:val="both"/>
        <w:rPr>
          <w:sz w:val="24"/>
          <w:szCs w:val="24"/>
        </w:rPr>
      </w:pPr>
      <w:r>
        <w:rPr>
          <w:sz w:val="24"/>
          <w:szCs w:val="24"/>
        </w:rPr>
        <w:t>A</w:t>
      </w:r>
      <w:r w:rsidR="005B6AF6">
        <w:rPr>
          <w:sz w:val="24"/>
          <w:szCs w:val="24"/>
        </w:rPr>
        <w:t xml:space="preserve">valiamos as </w:t>
      </w:r>
      <w:r w:rsidR="00CA512C">
        <w:rPr>
          <w:sz w:val="24"/>
          <w:szCs w:val="24"/>
        </w:rPr>
        <w:t xml:space="preserve">taxas de juros praticadas </w:t>
      </w:r>
      <w:r w:rsidR="005B6AF6">
        <w:rPr>
          <w:sz w:val="24"/>
          <w:szCs w:val="24"/>
        </w:rPr>
        <w:t xml:space="preserve">nas linhas de financiamento do </w:t>
      </w:r>
      <w:r w:rsidR="00AB3ED2" w:rsidRPr="003A5166">
        <w:rPr>
          <w:sz w:val="24"/>
          <w:szCs w:val="24"/>
        </w:rPr>
        <w:t>Banco Nacional de Desenvolvimento Econômico e Social</w:t>
      </w:r>
      <w:r w:rsidR="004D33E8" w:rsidRPr="003A5166">
        <w:rPr>
          <w:sz w:val="24"/>
          <w:szCs w:val="24"/>
        </w:rPr>
        <w:t xml:space="preserve"> (BNDES)</w:t>
      </w:r>
      <w:r>
        <w:rPr>
          <w:sz w:val="24"/>
          <w:szCs w:val="24"/>
        </w:rPr>
        <w:t xml:space="preserve"> nos últimos anos</w:t>
      </w:r>
      <w:r w:rsidR="00E064FB">
        <w:rPr>
          <w:sz w:val="24"/>
          <w:szCs w:val="24"/>
        </w:rPr>
        <w:t xml:space="preserve">, comparando as </w:t>
      </w:r>
      <w:r w:rsidR="005B6AF6">
        <w:rPr>
          <w:sz w:val="24"/>
          <w:szCs w:val="24"/>
        </w:rPr>
        <w:t>operações voltadas para inovação tecnológic</w:t>
      </w:r>
      <w:r w:rsidR="00EB05F6">
        <w:rPr>
          <w:sz w:val="24"/>
          <w:szCs w:val="24"/>
        </w:rPr>
        <w:t xml:space="preserve">a com </w:t>
      </w:r>
      <w:r w:rsidR="00E064FB">
        <w:rPr>
          <w:sz w:val="24"/>
          <w:szCs w:val="24"/>
        </w:rPr>
        <w:t>o total de operações</w:t>
      </w:r>
      <w:r w:rsidR="00EB05F6">
        <w:rPr>
          <w:sz w:val="24"/>
          <w:szCs w:val="24"/>
        </w:rPr>
        <w:t xml:space="preserve">, </w:t>
      </w:r>
      <w:r w:rsidR="00E064FB">
        <w:rPr>
          <w:sz w:val="24"/>
          <w:szCs w:val="24"/>
        </w:rPr>
        <w:t>n</w:t>
      </w:r>
      <w:r w:rsidR="00EB05F6">
        <w:rPr>
          <w:sz w:val="24"/>
          <w:szCs w:val="24"/>
        </w:rPr>
        <w:t>as modalidades automáticas e não-automáticas</w:t>
      </w:r>
      <w:r w:rsidR="005B6AF6">
        <w:rPr>
          <w:sz w:val="24"/>
          <w:szCs w:val="24"/>
        </w:rPr>
        <w:t xml:space="preserve">. </w:t>
      </w:r>
      <w:r w:rsidR="00E064FB">
        <w:rPr>
          <w:sz w:val="24"/>
          <w:szCs w:val="24"/>
        </w:rPr>
        <w:t xml:space="preserve">A comparação do </w:t>
      </w:r>
      <w:r w:rsidR="00EB05F6">
        <w:rPr>
          <w:sz w:val="24"/>
          <w:szCs w:val="24"/>
        </w:rPr>
        <w:t xml:space="preserve">saldo de crédito </w:t>
      </w:r>
      <w:r w:rsidR="00E064FB">
        <w:rPr>
          <w:sz w:val="24"/>
          <w:szCs w:val="24"/>
        </w:rPr>
        <w:t xml:space="preserve">das operações livres e direcionadas, conforme dados do </w:t>
      </w:r>
      <w:r w:rsidR="00EB05F6">
        <w:rPr>
          <w:sz w:val="24"/>
          <w:szCs w:val="24"/>
        </w:rPr>
        <w:t>Banco Central</w:t>
      </w:r>
      <w:r w:rsidR="00E064FB">
        <w:rPr>
          <w:sz w:val="24"/>
          <w:szCs w:val="24"/>
        </w:rPr>
        <w:t xml:space="preserve">, mostra que </w:t>
      </w:r>
      <w:r w:rsidR="005B6AF6">
        <w:rPr>
          <w:sz w:val="24"/>
          <w:szCs w:val="24"/>
        </w:rPr>
        <w:t>recente expansão de crédito na economia deu-se principalmente pelo crédito livre</w:t>
      </w:r>
      <w:r w:rsidR="00E064FB">
        <w:rPr>
          <w:sz w:val="24"/>
          <w:szCs w:val="24"/>
        </w:rPr>
        <w:t xml:space="preserve">. Isto pode ser </w:t>
      </w:r>
      <w:r w:rsidR="005B6AF6">
        <w:rPr>
          <w:sz w:val="24"/>
          <w:szCs w:val="24"/>
        </w:rPr>
        <w:t>resultado da substituição da Taxa de Juros de Longo Prazo (TJLP) pela Taxa de Longo Prazo (TLP)</w:t>
      </w:r>
      <w:r w:rsidR="00E064FB">
        <w:rPr>
          <w:sz w:val="24"/>
          <w:szCs w:val="24"/>
        </w:rPr>
        <w:t xml:space="preserve"> como principal balizador das operações do BNDES</w:t>
      </w:r>
      <w:r w:rsidR="005B6AF6">
        <w:rPr>
          <w:sz w:val="24"/>
          <w:szCs w:val="24"/>
        </w:rPr>
        <w:t xml:space="preserve">. </w:t>
      </w:r>
      <w:r w:rsidR="00E064FB">
        <w:rPr>
          <w:sz w:val="24"/>
          <w:szCs w:val="24"/>
        </w:rPr>
        <w:t xml:space="preserve">A recente elevação do saldo de crédito na economia não impactou </w:t>
      </w:r>
      <w:r w:rsidR="00EB05F6">
        <w:rPr>
          <w:sz w:val="24"/>
          <w:szCs w:val="24"/>
        </w:rPr>
        <w:t xml:space="preserve">a quantidade de operações voltadas para inovação. </w:t>
      </w:r>
      <w:r w:rsidR="00E064FB">
        <w:rPr>
          <w:sz w:val="24"/>
          <w:szCs w:val="24"/>
        </w:rPr>
        <w:t xml:space="preserve">Ainda são relativamente poucas as </w:t>
      </w:r>
      <w:r w:rsidR="00B04902">
        <w:rPr>
          <w:sz w:val="24"/>
          <w:szCs w:val="24"/>
        </w:rPr>
        <w:t xml:space="preserve">operações </w:t>
      </w:r>
      <w:r w:rsidR="00E064FB">
        <w:rPr>
          <w:sz w:val="24"/>
          <w:szCs w:val="24"/>
        </w:rPr>
        <w:t>de crédito classificadas pelo BNDES como “I</w:t>
      </w:r>
      <w:r w:rsidR="00B04902">
        <w:rPr>
          <w:sz w:val="24"/>
          <w:szCs w:val="24"/>
        </w:rPr>
        <w:t>novação</w:t>
      </w:r>
      <w:r w:rsidR="00E064FB">
        <w:rPr>
          <w:sz w:val="24"/>
          <w:szCs w:val="24"/>
        </w:rPr>
        <w:t xml:space="preserve">”. Isto </w:t>
      </w:r>
      <w:r w:rsidR="00EB05F6">
        <w:rPr>
          <w:sz w:val="24"/>
          <w:szCs w:val="24"/>
        </w:rPr>
        <w:t xml:space="preserve">pode refletir </w:t>
      </w:r>
      <w:r w:rsidR="005B6AF6">
        <w:rPr>
          <w:sz w:val="24"/>
          <w:szCs w:val="24"/>
        </w:rPr>
        <w:t xml:space="preserve">a </w:t>
      </w:r>
      <w:r w:rsidR="00E064FB">
        <w:rPr>
          <w:sz w:val="24"/>
          <w:szCs w:val="24"/>
        </w:rPr>
        <w:t xml:space="preserve">relativa </w:t>
      </w:r>
      <w:r w:rsidR="005B6AF6">
        <w:rPr>
          <w:sz w:val="24"/>
          <w:szCs w:val="24"/>
        </w:rPr>
        <w:t>baixa demanda por tais linhas de crédito</w:t>
      </w:r>
      <w:r w:rsidR="00EB05F6">
        <w:rPr>
          <w:sz w:val="24"/>
          <w:szCs w:val="24"/>
        </w:rPr>
        <w:t xml:space="preserve"> ou </w:t>
      </w:r>
      <w:r w:rsidR="00E064FB">
        <w:rPr>
          <w:sz w:val="24"/>
          <w:szCs w:val="24"/>
        </w:rPr>
        <w:t xml:space="preserve">também ausência de </w:t>
      </w:r>
      <w:r w:rsidR="00EB05F6">
        <w:rPr>
          <w:sz w:val="24"/>
          <w:szCs w:val="24"/>
        </w:rPr>
        <w:t xml:space="preserve">priorização </w:t>
      </w:r>
      <w:r w:rsidR="00E064FB">
        <w:rPr>
          <w:sz w:val="24"/>
          <w:szCs w:val="24"/>
        </w:rPr>
        <w:t xml:space="preserve">nas políticas de financiamento em </w:t>
      </w:r>
      <w:r w:rsidR="00EB05F6">
        <w:rPr>
          <w:sz w:val="24"/>
          <w:szCs w:val="24"/>
        </w:rPr>
        <w:t>alguns momentos</w:t>
      </w:r>
      <w:r w:rsidR="00B04902">
        <w:rPr>
          <w:sz w:val="24"/>
          <w:szCs w:val="24"/>
        </w:rPr>
        <w:t>.</w:t>
      </w:r>
      <w:r w:rsidR="00716B2E">
        <w:rPr>
          <w:sz w:val="24"/>
          <w:szCs w:val="24"/>
        </w:rPr>
        <w:t xml:space="preserve"> </w:t>
      </w:r>
      <w:r w:rsidR="00EB05F6">
        <w:rPr>
          <w:sz w:val="24"/>
          <w:szCs w:val="24"/>
        </w:rPr>
        <w:t xml:space="preserve">A </w:t>
      </w:r>
      <w:r w:rsidR="00E064FB">
        <w:rPr>
          <w:sz w:val="24"/>
          <w:szCs w:val="24"/>
        </w:rPr>
        <w:t xml:space="preserve">presente </w:t>
      </w:r>
      <w:r w:rsidR="00EB05F6">
        <w:rPr>
          <w:sz w:val="24"/>
          <w:szCs w:val="24"/>
        </w:rPr>
        <w:t xml:space="preserve">análise é parte de um esforço de </w:t>
      </w:r>
      <w:r w:rsidR="00716B2E">
        <w:rPr>
          <w:sz w:val="24"/>
          <w:szCs w:val="24"/>
        </w:rPr>
        <w:t xml:space="preserve">entendimento </w:t>
      </w:r>
      <w:r w:rsidR="00EB05F6">
        <w:rPr>
          <w:sz w:val="24"/>
          <w:szCs w:val="24"/>
        </w:rPr>
        <w:t>do</w:t>
      </w:r>
      <w:r w:rsidR="00E064FB">
        <w:rPr>
          <w:sz w:val="24"/>
          <w:szCs w:val="24"/>
        </w:rPr>
        <w:t xml:space="preserve"> banco de dados </w:t>
      </w:r>
      <w:r w:rsidR="00EB05F6">
        <w:rPr>
          <w:sz w:val="24"/>
          <w:szCs w:val="24"/>
        </w:rPr>
        <w:t>abertos do BNDES</w:t>
      </w:r>
      <w:r w:rsidR="00E064FB">
        <w:rPr>
          <w:sz w:val="24"/>
          <w:szCs w:val="24"/>
        </w:rPr>
        <w:t xml:space="preserve">, contendo todas as operações de crédito nos últimos anos. Esta análise </w:t>
      </w:r>
      <w:r w:rsidR="00EB05F6">
        <w:rPr>
          <w:sz w:val="24"/>
          <w:szCs w:val="24"/>
        </w:rPr>
        <w:t xml:space="preserve">irá apoiar </w:t>
      </w:r>
      <w:r w:rsidR="00E064FB">
        <w:rPr>
          <w:sz w:val="24"/>
          <w:szCs w:val="24"/>
        </w:rPr>
        <w:t xml:space="preserve">posteriormente </w:t>
      </w:r>
      <w:r w:rsidR="00EB05F6">
        <w:rPr>
          <w:sz w:val="24"/>
          <w:szCs w:val="24"/>
        </w:rPr>
        <w:t>a interpretação de dados d</w:t>
      </w:r>
      <w:r w:rsidR="00716B2E">
        <w:rPr>
          <w:sz w:val="24"/>
          <w:szCs w:val="24"/>
        </w:rPr>
        <w:t xml:space="preserve">os relatórios </w:t>
      </w:r>
      <w:r w:rsidR="00E064FB">
        <w:rPr>
          <w:sz w:val="24"/>
          <w:szCs w:val="24"/>
        </w:rPr>
        <w:t xml:space="preserve">que pretendem explorar os diversos </w:t>
      </w:r>
      <w:r w:rsidR="00716B2E">
        <w:rPr>
          <w:sz w:val="24"/>
          <w:szCs w:val="24"/>
        </w:rPr>
        <w:t>utilizar métodos de aprendizado de máquina</w:t>
      </w:r>
      <w:r w:rsidR="00E064FB">
        <w:rPr>
          <w:sz w:val="24"/>
          <w:szCs w:val="24"/>
        </w:rPr>
        <w:t>, aplicando esses métodos à estimação da inadimplência</w:t>
      </w:r>
      <w:r w:rsidR="00716B2E">
        <w:rPr>
          <w:sz w:val="24"/>
          <w:szCs w:val="24"/>
        </w:rPr>
        <w:t>.</w:t>
      </w:r>
    </w:p>
    <w:p w14:paraId="4B2AA0B6" w14:textId="77777777" w:rsidR="003E597F" w:rsidRDefault="003E597F" w:rsidP="00A16203">
      <w:pPr>
        <w:ind w:firstLine="360"/>
        <w:jc w:val="both"/>
      </w:pPr>
    </w:p>
    <w:p w14:paraId="05ACA7D6" w14:textId="19450AC2" w:rsidR="00AB7336" w:rsidRPr="005B6AF6" w:rsidRDefault="0026142C" w:rsidP="005B6AF6">
      <w:pPr>
        <w:pStyle w:val="PargrafodaLista"/>
        <w:numPr>
          <w:ilvl w:val="0"/>
          <w:numId w:val="11"/>
        </w:numPr>
        <w:jc w:val="both"/>
        <w:rPr>
          <w:b/>
          <w:sz w:val="24"/>
          <w:szCs w:val="24"/>
        </w:rPr>
      </w:pPr>
      <w:r w:rsidRPr="005B6AF6">
        <w:rPr>
          <w:b/>
          <w:sz w:val="24"/>
          <w:szCs w:val="24"/>
        </w:rPr>
        <w:t>Introdução</w:t>
      </w:r>
    </w:p>
    <w:p w14:paraId="37B7D717" w14:textId="28612B85" w:rsidR="009B61E7" w:rsidRDefault="00B04902" w:rsidP="009B281B">
      <w:pPr>
        <w:ind w:firstLine="708"/>
        <w:jc w:val="both"/>
        <w:rPr>
          <w:sz w:val="24"/>
          <w:szCs w:val="24"/>
        </w:rPr>
      </w:pPr>
      <w:r>
        <w:rPr>
          <w:bCs/>
          <w:sz w:val="24"/>
          <w:szCs w:val="24"/>
        </w:rPr>
        <w:t xml:space="preserve">A atuação dos </w:t>
      </w:r>
      <w:r w:rsidR="00AB7336" w:rsidRPr="00AB7336">
        <w:rPr>
          <w:bCs/>
          <w:sz w:val="24"/>
          <w:szCs w:val="24"/>
        </w:rPr>
        <w:t xml:space="preserve">bancos de desenvolvimento </w:t>
      </w:r>
      <w:r>
        <w:rPr>
          <w:bCs/>
          <w:sz w:val="24"/>
          <w:szCs w:val="24"/>
        </w:rPr>
        <w:t xml:space="preserve">é tipicamente voltada </w:t>
      </w:r>
      <w:r w:rsidR="00AB7336">
        <w:rPr>
          <w:bCs/>
          <w:sz w:val="24"/>
          <w:szCs w:val="24"/>
        </w:rPr>
        <w:t xml:space="preserve">para </w:t>
      </w:r>
      <w:r w:rsidR="00AB7336" w:rsidRPr="00AB7336">
        <w:rPr>
          <w:bCs/>
          <w:sz w:val="24"/>
          <w:szCs w:val="24"/>
        </w:rPr>
        <w:t>o fornecimento de capital de longo prazo</w:t>
      </w:r>
      <w:r>
        <w:rPr>
          <w:bCs/>
          <w:sz w:val="24"/>
          <w:szCs w:val="24"/>
        </w:rPr>
        <w:t xml:space="preserve">, visando desenvolvimento </w:t>
      </w:r>
      <w:r w:rsidR="009B61E7">
        <w:rPr>
          <w:bCs/>
          <w:sz w:val="24"/>
          <w:szCs w:val="24"/>
        </w:rPr>
        <w:t>de</w:t>
      </w:r>
      <w:r>
        <w:rPr>
          <w:bCs/>
          <w:sz w:val="24"/>
          <w:szCs w:val="24"/>
        </w:rPr>
        <w:t xml:space="preserve"> áreas estratégicas para economia</w:t>
      </w:r>
      <w:r w:rsidR="004C0EA9">
        <w:rPr>
          <w:bCs/>
          <w:sz w:val="24"/>
          <w:szCs w:val="24"/>
        </w:rPr>
        <w:t>, conforme as diretrizes de políticas públicas</w:t>
      </w:r>
      <w:r w:rsidR="00AB7336" w:rsidRPr="00AB7336">
        <w:rPr>
          <w:bCs/>
          <w:sz w:val="24"/>
          <w:szCs w:val="24"/>
        </w:rPr>
        <w:t xml:space="preserve">. </w:t>
      </w:r>
      <w:r w:rsidR="009B61E7">
        <w:rPr>
          <w:bCs/>
          <w:sz w:val="24"/>
          <w:szCs w:val="24"/>
        </w:rPr>
        <w:t>A</w:t>
      </w:r>
      <w:r w:rsidR="004C0EA9">
        <w:rPr>
          <w:bCs/>
          <w:sz w:val="24"/>
          <w:szCs w:val="24"/>
        </w:rPr>
        <w:t xml:space="preserve">ssim a </w:t>
      </w:r>
      <w:r>
        <w:rPr>
          <w:bCs/>
          <w:sz w:val="24"/>
          <w:szCs w:val="24"/>
        </w:rPr>
        <w:t xml:space="preserve">atuação </w:t>
      </w:r>
      <w:r w:rsidR="004C0EA9">
        <w:rPr>
          <w:bCs/>
          <w:sz w:val="24"/>
          <w:szCs w:val="24"/>
        </w:rPr>
        <w:t xml:space="preserve">dos </w:t>
      </w:r>
      <w:r>
        <w:rPr>
          <w:bCs/>
          <w:sz w:val="24"/>
          <w:szCs w:val="24"/>
        </w:rPr>
        <w:t xml:space="preserve">bancos de desenvolvimento deve </w:t>
      </w:r>
      <w:r w:rsidRPr="00B04902">
        <w:rPr>
          <w:bCs/>
          <w:sz w:val="24"/>
          <w:szCs w:val="24"/>
        </w:rPr>
        <w:t>diferencia</w:t>
      </w:r>
      <w:r>
        <w:rPr>
          <w:bCs/>
          <w:sz w:val="24"/>
          <w:szCs w:val="24"/>
        </w:rPr>
        <w:t xml:space="preserve">r-se </w:t>
      </w:r>
      <w:r w:rsidR="009B61E7">
        <w:rPr>
          <w:bCs/>
          <w:sz w:val="24"/>
          <w:szCs w:val="24"/>
        </w:rPr>
        <w:t xml:space="preserve">da atividade bancária </w:t>
      </w:r>
      <w:r w:rsidR="004C0EA9">
        <w:rPr>
          <w:bCs/>
          <w:sz w:val="24"/>
          <w:szCs w:val="24"/>
        </w:rPr>
        <w:t xml:space="preserve">típica </w:t>
      </w:r>
      <w:r w:rsidR="009B61E7">
        <w:rPr>
          <w:bCs/>
          <w:sz w:val="24"/>
          <w:szCs w:val="24"/>
        </w:rPr>
        <w:t xml:space="preserve">do </w:t>
      </w:r>
      <w:r w:rsidRPr="00B04902">
        <w:rPr>
          <w:bCs/>
          <w:sz w:val="24"/>
          <w:szCs w:val="24"/>
        </w:rPr>
        <w:t>setor privado</w:t>
      </w:r>
      <w:r>
        <w:rPr>
          <w:bCs/>
          <w:sz w:val="24"/>
          <w:szCs w:val="24"/>
        </w:rPr>
        <w:t xml:space="preserve">, </w:t>
      </w:r>
      <w:r w:rsidR="004C0EA9">
        <w:rPr>
          <w:bCs/>
          <w:sz w:val="24"/>
          <w:szCs w:val="24"/>
        </w:rPr>
        <w:t xml:space="preserve">priorizando </w:t>
      </w:r>
      <w:r w:rsidRPr="00B04902">
        <w:rPr>
          <w:bCs/>
          <w:sz w:val="24"/>
          <w:szCs w:val="24"/>
        </w:rPr>
        <w:t>resultados socia</w:t>
      </w:r>
      <w:r>
        <w:rPr>
          <w:bCs/>
          <w:sz w:val="24"/>
          <w:szCs w:val="24"/>
        </w:rPr>
        <w:t>is</w:t>
      </w:r>
      <w:r w:rsidR="009B61E7">
        <w:rPr>
          <w:bCs/>
          <w:sz w:val="24"/>
          <w:szCs w:val="24"/>
        </w:rPr>
        <w:t xml:space="preserve"> e </w:t>
      </w:r>
      <w:r w:rsidR="004C0EA9">
        <w:rPr>
          <w:bCs/>
          <w:sz w:val="24"/>
          <w:szCs w:val="24"/>
        </w:rPr>
        <w:t xml:space="preserve">execução das </w:t>
      </w:r>
      <w:r w:rsidR="009B61E7">
        <w:rPr>
          <w:bCs/>
          <w:sz w:val="24"/>
          <w:szCs w:val="24"/>
        </w:rPr>
        <w:t>metas governamentais</w:t>
      </w:r>
      <w:r w:rsidRPr="00B04902">
        <w:rPr>
          <w:bCs/>
          <w:sz w:val="24"/>
          <w:szCs w:val="24"/>
        </w:rPr>
        <w:t>.</w:t>
      </w:r>
      <w:r>
        <w:rPr>
          <w:bCs/>
          <w:sz w:val="24"/>
          <w:szCs w:val="24"/>
        </w:rPr>
        <w:t xml:space="preserve"> </w:t>
      </w:r>
      <w:r w:rsidR="004C0EA9">
        <w:rPr>
          <w:sz w:val="24"/>
          <w:szCs w:val="24"/>
        </w:rPr>
        <w:t>E</w:t>
      </w:r>
      <w:r w:rsidR="009B61E7">
        <w:rPr>
          <w:sz w:val="24"/>
          <w:szCs w:val="24"/>
        </w:rPr>
        <w:t xml:space="preserve">ntende-se </w:t>
      </w:r>
      <w:r w:rsidR="004C0EA9">
        <w:rPr>
          <w:sz w:val="24"/>
          <w:szCs w:val="24"/>
        </w:rPr>
        <w:t xml:space="preserve">assim </w:t>
      </w:r>
      <w:r w:rsidR="009B61E7">
        <w:rPr>
          <w:sz w:val="24"/>
          <w:szCs w:val="24"/>
        </w:rPr>
        <w:t xml:space="preserve">que as </w:t>
      </w:r>
      <w:r w:rsidR="00934B1A" w:rsidRPr="00934B1A">
        <w:rPr>
          <w:sz w:val="24"/>
          <w:szCs w:val="24"/>
        </w:rPr>
        <w:t>taxa</w:t>
      </w:r>
      <w:r>
        <w:rPr>
          <w:sz w:val="24"/>
          <w:szCs w:val="24"/>
        </w:rPr>
        <w:t>s</w:t>
      </w:r>
      <w:r w:rsidR="00934B1A" w:rsidRPr="00934B1A">
        <w:rPr>
          <w:sz w:val="24"/>
          <w:szCs w:val="24"/>
        </w:rPr>
        <w:t xml:space="preserve"> de juros </w:t>
      </w:r>
      <w:r>
        <w:rPr>
          <w:sz w:val="24"/>
          <w:szCs w:val="24"/>
        </w:rPr>
        <w:t xml:space="preserve">ofertadas pelo </w:t>
      </w:r>
      <w:r w:rsidR="009B61E7">
        <w:rPr>
          <w:sz w:val="24"/>
          <w:szCs w:val="24"/>
        </w:rPr>
        <w:t>BNDES</w:t>
      </w:r>
      <w:r w:rsidR="004C0EA9">
        <w:rPr>
          <w:sz w:val="24"/>
          <w:szCs w:val="24"/>
        </w:rPr>
        <w:t xml:space="preserve"> possuem </w:t>
      </w:r>
      <w:r>
        <w:rPr>
          <w:sz w:val="24"/>
          <w:szCs w:val="24"/>
        </w:rPr>
        <w:t xml:space="preserve">papel </w:t>
      </w:r>
      <w:r w:rsidR="004C0EA9">
        <w:rPr>
          <w:sz w:val="24"/>
          <w:szCs w:val="24"/>
        </w:rPr>
        <w:t>estratégico</w:t>
      </w:r>
      <w:r>
        <w:rPr>
          <w:sz w:val="24"/>
          <w:szCs w:val="24"/>
        </w:rPr>
        <w:t>, sendo importante e</w:t>
      </w:r>
      <w:r w:rsidR="00934B1A">
        <w:rPr>
          <w:sz w:val="24"/>
          <w:szCs w:val="24"/>
        </w:rPr>
        <w:t xml:space="preserve">ntender os mecanismos subjacentes </w:t>
      </w:r>
      <w:r w:rsidR="009B61E7">
        <w:rPr>
          <w:sz w:val="24"/>
          <w:szCs w:val="24"/>
        </w:rPr>
        <w:t xml:space="preserve">às </w:t>
      </w:r>
      <w:r w:rsidR="00934B1A">
        <w:rPr>
          <w:sz w:val="24"/>
          <w:szCs w:val="24"/>
        </w:rPr>
        <w:t>variações na t</w:t>
      </w:r>
      <w:r w:rsidR="00934B1A" w:rsidRPr="00934B1A">
        <w:rPr>
          <w:sz w:val="24"/>
          <w:szCs w:val="24"/>
        </w:rPr>
        <w:t>axa de juros</w:t>
      </w:r>
      <w:r w:rsidR="004C0EA9">
        <w:rPr>
          <w:sz w:val="24"/>
          <w:szCs w:val="24"/>
        </w:rPr>
        <w:t xml:space="preserve">, e como esses mecanismos afetam as </w:t>
      </w:r>
      <w:r w:rsidR="00934B1A">
        <w:rPr>
          <w:sz w:val="24"/>
          <w:szCs w:val="24"/>
        </w:rPr>
        <w:t xml:space="preserve">decisões </w:t>
      </w:r>
      <w:r w:rsidR="004C0EA9">
        <w:rPr>
          <w:sz w:val="24"/>
          <w:szCs w:val="24"/>
        </w:rPr>
        <w:t xml:space="preserve">de </w:t>
      </w:r>
      <w:r w:rsidR="00934B1A">
        <w:rPr>
          <w:sz w:val="24"/>
          <w:szCs w:val="24"/>
        </w:rPr>
        <w:t xml:space="preserve">investimentos </w:t>
      </w:r>
      <w:r w:rsidR="004C0EA9">
        <w:rPr>
          <w:sz w:val="24"/>
          <w:szCs w:val="24"/>
        </w:rPr>
        <w:t xml:space="preserve">das empresas, seus impactos na </w:t>
      </w:r>
      <w:r w:rsidR="00934B1A" w:rsidRPr="00934B1A">
        <w:rPr>
          <w:sz w:val="24"/>
          <w:szCs w:val="24"/>
        </w:rPr>
        <w:t>gestão de riscos de</w:t>
      </w:r>
      <w:r w:rsidR="00934B1A">
        <w:rPr>
          <w:sz w:val="24"/>
          <w:szCs w:val="24"/>
        </w:rPr>
        <w:t xml:space="preserve"> </w:t>
      </w:r>
      <w:r w:rsidR="00934B1A" w:rsidRPr="00934B1A">
        <w:rPr>
          <w:sz w:val="24"/>
          <w:szCs w:val="24"/>
        </w:rPr>
        <w:t>mercado</w:t>
      </w:r>
      <w:r w:rsidR="004C0EA9">
        <w:rPr>
          <w:sz w:val="24"/>
          <w:szCs w:val="24"/>
        </w:rPr>
        <w:t xml:space="preserve"> e na estabilidade do sistema financeiro</w:t>
      </w:r>
      <w:r w:rsidR="00934B1A" w:rsidRPr="00934B1A">
        <w:rPr>
          <w:sz w:val="24"/>
          <w:szCs w:val="24"/>
        </w:rPr>
        <w:t>.</w:t>
      </w:r>
      <w:r w:rsidR="009B281B">
        <w:rPr>
          <w:sz w:val="24"/>
          <w:szCs w:val="24"/>
        </w:rPr>
        <w:t xml:space="preserve"> </w:t>
      </w:r>
    </w:p>
    <w:p w14:paraId="4E61FE5E" w14:textId="44468A2D" w:rsidR="00934B1A" w:rsidRDefault="009B61E7" w:rsidP="009B61E7">
      <w:pPr>
        <w:ind w:firstLine="708"/>
        <w:jc w:val="both"/>
        <w:rPr>
          <w:sz w:val="24"/>
          <w:szCs w:val="24"/>
        </w:rPr>
      </w:pPr>
      <w:r>
        <w:rPr>
          <w:sz w:val="24"/>
          <w:szCs w:val="24"/>
        </w:rPr>
        <w:lastRenderedPageBreak/>
        <w:t xml:space="preserve">O </w:t>
      </w:r>
      <w:r w:rsidR="009B281B" w:rsidRPr="009B281B">
        <w:rPr>
          <w:sz w:val="24"/>
          <w:szCs w:val="24"/>
        </w:rPr>
        <w:t xml:space="preserve">BNDES oferece </w:t>
      </w:r>
      <w:r w:rsidR="004C0EA9">
        <w:rPr>
          <w:sz w:val="24"/>
          <w:szCs w:val="24"/>
        </w:rPr>
        <w:t xml:space="preserve">diversas </w:t>
      </w:r>
      <w:r w:rsidR="009B281B" w:rsidRPr="009B281B">
        <w:rPr>
          <w:sz w:val="24"/>
          <w:szCs w:val="24"/>
        </w:rPr>
        <w:t xml:space="preserve">linhas de financiamento, cujas condições de </w:t>
      </w:r>
      <w:r>
        <w:rPr>
          <w:sz w:val="24"/>
          <w:szCs w:val="24"/>
        </w:rPr>
        <w:t xml:space="preserve">crédito </w:t>
      </w:r>
      <w:r w:rsidR="009B281B" w:rsidRPr="009B281B">
        <w:rPr>
          <w:sz w:val="24"/>
          <w:szCs w:val="24"/>
        </w:rPr>
        <w:t xml:space="preserve">refletem as </w:t>
      </w:r>
      <w:r w:rsidR="004C0EA9">
        <w:rPr>
          <w:sz w:val="24"/>
          <w:szCs w:val="24"/>
        </w:rPr>
        <w:t xml:space="preserve">diferentes </w:t>
      </w:r>
      <w:r w:rsidR="009B281B" w:rsidRPr="009B281B">
        <w:rPr>
          <w:sz w:val="24"/>
          <w:szCs w:val="24"/>
        </w:rPr>
        <w:t>política</w:t>
      </w:r>
      <w:r w:rsidR="009B281B">
        <w:rPr>
          <w:sz w:val="24"/>
          <w:szCs w:val="24"/>
        </w:rPr>
        <w:t>s</w:t>
      </w:r>
      <w:r w:rsidR="009B281B" w:rsidRPr="009B281B">
        <w:rPr>
          <w:sz w:val="24"/>
          <w:szCs w:val="24"/>
        </w:rPr>
        <w:t xml:space="preserve"> de desenvolvimento do Governo Federal</w:t>
      </w:r>
      <w:r w:rsidR="004C0EA9">
        <w:rPr>
          <w:sz w:val="24"/>
          <w:szCs w:val="24"/>
        </w:rPr>
        <w:t xml:space="preserve"> ao longo dos anos</w:t>
      </w:r>
      <w:r w:rsidR="009B281B">
        <w:rPr>
          <w:sz w:val="24"/>
          <w:szCs w:val="24"/>
        </w:rPr>
        <w:t>. As condições ofertadas de prazo, taxas de juros</w:t>
      </w:r>
      <w:r w:rsidR="004C0EA9">
        <w:rPr>
          <w:sz w:val="24"/>
          <w:szCs w:val="24"/>
        </w:rPr>
        <w:t xml:space="preserve">, requisição de garantias </w:t>
      </w:r>
      <w:r w:rsidR="009B281B">
        <w:rPr>
          <w:sz w:val="24"/>
          <w:szCs w:val="24"/>
        </w:rPr>
        <w:t xml:space="preserve">e período de amortização costumam ser mais vantajosas que as condições </w:t>
      </w:r>
      <w:r w:rsidR="004C0EA9">
        <w:rPr>
          <w:sz w:val="24"/>
          <w:szCs w:val="24"/>
        </w:rPr>
        <w:t xml:space="preserve">encontradas no </w:t>
      </w:r>
      <w:r w:rsidR="009B281B">
        <w:rPr>
          <w:sz w:val="24"/>
          <w:szCs w:val="24"/>
        </w:rPr>
        <w:t>mercado</w:t>
      </w:r>
      <w:r w:rsidR="004C0EA9">
        <w:rPr>
          <w:sz w:val="24"/>
          <w:szCs w:val="24"/>
        </w:rPr>
        <w:t xml:space="preserve"> bancário</w:t>
      </w:r>
      <w:r w:rsidR="009B281B" w:rsidRPr="009B281B">
        <w:rPr>
          <w:sz w:val="24"/>
          <w:szCs w:val="24"/>
        </w:rPr>
        <w:t xml:space="preserve">. O BNDES também utiliza </w:t>
      </w:r>
      <w:r w:rsidR="004C0EA9">
        <w:rPr>
          <w:sz w:val="24"/>
          <w:szCs w:val="24"/>
        </w:rPr>
        <w:t xml:space="preserve">diversos </w:t>
      </w:r>
      <w:r w:rsidR="009B281B" w:rsidRPr="009B281B">
        <w:rPr>
          <w:sz w:val="24"/>
          <w:szCs w:val="24"/>
        </w:rPr>
        <w:t xml:space="preserve">Fundos </w:t>
      </w:r>
      <w:r w:rsidR="004C0EA9">
        <w:rPr>
          <w:sz w:val="24"/>
          <w:szCs w:val="24"/>
        </w:rPr>
        <w:t xml:space="preserve">(Fat, entre outros) </w:t>
      </w:r>
      <w:r w:rsidR="009B281B" w:rsidRPr="009B281B">
        <w:rPr>
          <w:sz w:val="24"/>
          <w:szCs w:val="24"/>
        </w:rPr>
        <w:t xml:space="preserve">para complementar suas fontes de recursos, </w:t>
      </w:r>
      <w:r w:rsidR="004C0EA9">
        <w:rPr>
          <w:sz w:val="24"/>
          <w:szCs w:val="24"/>
        </w:rPr>
        <w:t xml:space="preserve">visando </w:t>
      </w:r>
      <w:r w:rsidR="009B281B" w:rsidRPr="009B281B">
        <w:rPr>
          <w:sz w:val="24"/>
          <w:szCs w:val="24"/>
        </w:rPr>
        <w:t xml:space="preserve">oferecer </w:t>
      </w:r>
      <w:r w:rsidR="004C0EA9">
        <w:rPr>
          <w:sz w:val="24"/>
          <w:szCs w:val="24"/>
        </w:rPr>
        <w:t xml:space="preserve">delinear formas de </w:t>
      </w:r>
      <w:r w:rsidR="009B281B" w:rsidRPr="009B281B">
        <w:rPr>
          <w:sz w:val="24"/>
          <w:szCs w:val="24"/>
        </w:rPr>
        <w:t xml:space="preserve">apoio financeiro </w:t>
      </w:r>
      <w:r w:rsidR="004C0EA9">
        <w:rPr>
          <w:sz w:val="24"/>
          <w:szCs w:val="24"/>
        </w:rPr>
        <w:t xml:space="preserve">que atendam as necessidades de </w:t>
      </w:r>
      <w:r w:rsidR="009B281B" w:rsidRPr="009B281B">
        <w:rPr>
          <w:sz w:val="24"/>
          <w:szCs w:val="24"/>
        </w:rPr>
        <w:t>seus clientes. Os Fundos podem ter naturezas estatutárias ou legais</w:t>
      </w:r>
      <w:r w:rsidR="004C0EA9">
        <w:rPr>
          <w:sz w:val="24"/>
          <w:szCs w:val="24"/>
        </w:rPr>
        <w:t xml:space="preserve">, </w:t>
      </w:r>
      <w:r w:rsidR="009B281B" w:rsidRPr="009B281B">
        <w:rPr>
          <w:sz w:val="24"/>
          <w:szCs w:val="24"/>
        </w:rPr>
        <w:t>e são regidos por normas próprias, que definem suas condições específicas.</w:t>
      </w:r>
    </w:p>
    <w:p w14:paraId="5C89B8AA" w14:textId="2A7E28FA" w:rsidR="009B281B" w:rsidRDefault="009B281B" w:rsidP="00934B1A">
      <w:pPr>
        <w:rPr>
          <w:sz w:val="24"/>
          <w:szCs w:val="24"/>
        </w:rPr>
      </w:pPr>
    </w:p>
    <w:p w14:paraId="2F5EEE19" w14:textId="46F17C1A" w:rsidR="00934B1A" w:rsidRPr="00B04902" w:rsidRDefault="005B6AF6" w:rsidP="00934B1A">
      <w:pPr>
        <w:rPr>
          <w:b/>
          <w:bCs/>
          <w:sz w:val="24"/>
          <w:szCs w:val="24"/>
        </w:rPr>
      </w:pPr>
      <w:r>
        <w:rPr>
          <w:b/>
          <w:bCs/>
          <w:sz w:val="24"/>
          <w:szCs w:val="24"/>
        </w:rPr>
        <w:t xml:space="preserve">1.1 </w:t>
      </w:r>
      <w:r w:rsidR="00934B1A" w:rsidRPr="00B04902">
        <w:rPr>
          <w:b/>
          <w:bCs/>
          <w:sz w:val="24"/>
          <w:szCs w:val="24"/>
        </w:rPr>
        <w:t>Definição da Taxa de Juros</w:t>
      </w:r>
    </w:p>
    <w:p w14:paraId="3F9E5CFF" w14:textId="77777777" w:rsidR="00FF62BD" w:rsidRPr="00B65C62" w:rsidRDefault="00934B1A" w:rsidP="00FF62BD">
      <w:pPr>
        <w:ind w:firstLine="708"/>
        <w:jc w:val="both"/>
        <w:rPr>
          <w:sz w:val="24"/>
          <w:szCs w:val="24"/>
        </w:rPr>
      </w:pPr>
      <w:r w:rsidRPr="00B65C62">
        <w:rPr>
          <w:sz w:val="24"/>
          <w:szCs w:val="24"/>
        </w:rPr>
        <w:t>Define-se juro</w:t>
      </w:r>
      <w:r w:rsidR="00B04902" w:rsidRPr="00B65C62">
        <w:rPr>
          <w:sz w:val="24"/>
          <w:szCs w:val="24"/>
        </w:rPr>
        <w:t>s</w:t>
      </w:r>
      <w:r w:rsidRPr="00B65C62">
        <w:rPr>
          <w:sz w:val="24"/>
          <w:szCs w:val="24"/>
        </w:rPr>
        <w:t xml:space="preserve"> como </w:t>
      </w:r>
      <w:r w:rsidR="00B04902" w:rsidRPr="00B65C62">
        <w:rPr>
          <w:sz w:val="24"/>
          <w:szCs w:val="24"/>
        </w:rPr>
        <w:t xml:space="preserve">sendo </w:t>
      </w:r>
      <w:r w:rsidRPr="00B65C62">
        <w:rPr>
          <w:sz w:val="24"/>
          <w:szCs w:val="24"/>
        </w:rPr>
        <w:t>preço do capital</w:t>
      </w:r>
      <w:r w:rsidR="00B04902" w:rsidRPr="00B65C62">
        <w:rPr>
          <w:sz w:val="24"/>
          <w:szCs w:val="24"/>
        </w:rPr>
        <w:t xml:space="preserve">. Sendo o capital </w:t>
      </w:r>
      <w:r w:rsidRPr="00B65C62">
        <w:rPr>
          <w:sz w:val="24"/>
          <w:szCs w:val="24"/>
        </w:rPr>
        <w:t>um recurso escasso</w:t>
      </w:r>
      <w:r w:rsidR="00B04902" w:rsidRPr="00B65C62">
        <w:rPr>
          <w:sz w:val="24"/>
          <w:szCs w:val="24"/>
        </w:rPr>
        <w:t xml:space="preserve"> e limitado, é necessária definir adequadamente </w:t>
      </w:r>
      <w:r w:rsidRPr="00B65C62">
        <w:rPr>
          <w:sz w:val="24"/>
          <w:szCs w:val="24"/>
        </w:rPr>
        <w:t xml:space="preserve">o valor que o tomador de um empréstimo deve pagar ao proprietário do capital emprestado, </w:t>
      </w:r>
      <w:r w:rsidR="00FF62BD" w:rsidRPr="00B65C62">
        <w:rPr>
          <w:sz w:val="24"/>
          <w:szCs w:val="24"/>
        </w:rPr>
        <w:t>com base no perfil de risco do tomado, conjuntura macroeconômica, e demanda por crédito no mercado.</w:t>
      </w:r>
    </w:p>
    <w:p w14:paraId="5B2809B0" w14:textId="612FAB6D" w:rsidR="00934B1A" w:rsidRPr="00B65C62" w:rsidRDefault="00934B1A" w:rsidP="00B65C62">
      <w:pPr>
        <w:ind w:firstLine="708"/>
        <w:jc w:val="both"/>
        <w:rPr>
          <w:sz w:val="24"/>
          <w:szCs w:val="24"/>
        </w:rPr>
      </w:pPr>
      <w:r w:rsidRPr="00B65C62">
        <w:rPr>
          <w:sz w:val="24"/>
          <w:szCs w:val="24"/>
        </w:rPr>
        <w:t xml:space="preserve">A taxa de juros </w:t>
      </w:r>
      <w:r w:rsidR="00FF62BD" w:rsidRPr="00B65C62">
        <w:rPr>
          <w:sz w:val="24"/>
          <w:szCs w:val="24"/>
        </w:rPr>
        <w:t>é</w:t>
      </w:r>
      <w:r w:rsidR="000C53DA">
        <w:rPr>
          <w:sz w:val="24"/>
          <w:szCs w:val="24"/>
        </w:rPr>
        <w:t xml:space="preserve"> </w:t>
      </w:r>
      <w:r w:rsidR="00FF62BD" w:rsidRPr="00B65C62">
        <w:rPr>
          <w:sz w:val="24"/>
          <w:szCs w:val="24"/>
        </w:rPr>
        <w:t xml:space="preserve">um </w:t>
      </w:r>
      <w:r w:rsidRPr="00B65C62">
        <w:rPr>
          <w:sz w:val="24"/>
          <w:szCs w:val="24"/>
        </w:rPr>
        <w:t xml:space="preserve">importante instrumento de política monetária </w:t>
      </w:r>
      <w:r w:rsidR="000C53DA">
        <w:rPr>
          <w:sz w:val="24"/>
          <w:szCs w:val="24"/>
        </w:rPr>
        <w:t xml:space="preserve">utilizada pelo </w:t>
      </w:r>
      <w:r w:rsidRPr="00B65C62">
        <w:rPr>
          <w:sz w:val="24"/>
          <w:szCs w:val="24"/>
        </w:rPr>
        <w:t>Banco Central</w:t>
      </w:r>
      <w:r w:rsidR="000C53DA">
        <w:rPr>
          <w:sz w:val="24"/>
          <w:szCs w:val="24"/>
        </w:rPr>
        <w:t xml:space="preserve"> para assegurar a estabilidade financeira</w:t>
      </w:r>
      <w:r w:rsidRPr="00B65C62">
        <w:rPr>
          <w:sz w:val="24"/>
          <w:szCs w:val="24"/>
        </w:rPr>
        <w:t xml:space="preserve">. Através dela, a autoridade monetária </w:t>
      </w:r>
      <w:r w:rsidR="000C53DA">
        <w:rPr>
          <w:sz w:val="24"/>
          <w:szCs w:val="24"/>
        </w:rPr>
        <w:t>influencia</w:t>
      </w:r>
      <w:r w:rsidRPr="00B65C62">
        <w:rPr>
          <w:sz w:val="24"/>
          <w:szCs w:val="24"/>
        </w:rPr>
        <w:t xml:space="preserve"> o nível de atividade econômica</w:t>
      </w:r>
      <w:r w:rsidR="000C53DA">
        <w:rPr>
          <w:sz w:val="24"/>
          <w:szCs w:val="24"/>
        </w:rPr>
        <w:t xml:space="preserve"> </w:t>
      </w:r>
      <w:r w:rsidRPr="00B65C62">
        <w:rPr>
          <w:sz w:val="24"/>
          <w:szCs w:val="24"/>
        </w:rPr>
        <w:t xml:space="preserve">e </w:t>
      </w:r>
      <w:r w:rsidR="00FF62BD" w:rsidRPr="00B65C62">
        <w:rPr>
          <w:sz w:val="24"/>
          <w:szCs w:val="24"/>
        </w:rPr>
        <w:t xml:space="preserve">o nível </w:t>
      </w:r>
      <w:r w:rsidRPr="00B65C62">
        <w:rPr>
          <w:sz w:val="24"/>
          <w:szCs w:val="24"/>
        </w:rPr>
        <w:t xml:space="preserve">de preços. A simples </w:t>
      </w:r>
      <w:r w:rsidR="00FF62BD" w:rsidRPr="00B65C62">
        <w:rPr>
          <w:sz w:val="24"/>
          <w:szCs w:val="24"/>
        </w:rPr>
        <w:t xml:space="preserve">mudança na </w:t>
      </w:r>
      <w:r w:rsidRPr="00B65C62">
        <w:rPr>
          <w:sz w:val="24"/>
          <w:szCs w:val="24"/>
        </w:rPr>
        <w:t xml:space="preserve">expectativa </w:t>
      </w:r>
      <w:r w:rsidR="00FF62BD" w:rsidRPr="00B65C62">
        <w:rPr>
          <w:sz w:val="24"/>
          <w:szCs w:val="24"/>
        </w:rPr>
        <w:t xml:space="preserve">em relação à taxa de juros </w:t>
      </w:r>
      <w:r w:rsidRPr="00B65C62">
        <w:rPr>
          <w:sz w:val="24"/>
          <w:szCs w:val="24"/>
        </w:rPr>
        <w:t xml:space="preserve">já </w:t>
      </w:r>
      <w:r w:rsidR="00FF62BD" w:rsidRPr="00B65C62">
        <w:rPr>
          <w:sz w:val="24"/>
          <w:szCs w:val="24"/>
        </w:rPr>
        <w:t>possui efeitos nas decisões de financiamento e oferta de crédito</w:t>
      </w:r>
      <w:r w:rsidRPr="00B65C62">
        <w:rPr>
          <w:sz w:val="24"/>
          <w:szCs w:val="24"/>
        </w:rPr>
        <w:t xml:space="preserve">. </w:t>
      </w:r>
      <w:r w:rsidR="00FF62BD" w:rsidRPr="00B65C62">
        <w:rPr>
          <w:sz w:val="24"/>
          <w:szCs w:val="24"/>
        </w:rPr>
        <w:t>Nos últimos anos a oferta de crédito direcionado ocorreu através do Tesouro Nacional, com custo financeiro através da taxa Selic e fortemente influenciada pelas decisões do Banco Central. As decisões do Banco Central influenciam mesmo a oferta de crédito oriunda do Fundo de Amparo ao Trabalhador (FAT), o qual é indexada pela taxa de juros de longo prazo (TJLP).</w:t>
      </w:r>
      <w:bookmarkStart w:id="0" w:name="_Ref129964323"/>
      <w:r w:rsidR="00B65C62" w:rsidRPr="00B65C62">
        <w:rPr>
          <w:sz w:val="24"/>
          <w:szCs w:val="24"/>
        </w:rPr>
        <w:t xml:space="preserve"> </w:t>
      </w:r>
      <w:r w:rsidR="00D864B5" w:rsidRPr="00B65C62">
        <w:rPr>
          <w:sz w:val="24"/>
          <w:szCs w:val="24"/>
        </w:rPr>
        <w:t xml:space="preserve">A composição do custo financeiro reflete os custos de captação de recursos do BNDES e pode incluir um ou mais dos seguintes índices, conforme a tabela abaixo. </w:t>
      </w:r>
    </w:p>
    <w:p w14:paraId="0D246591" w14:textId="77777777" w:rsidR="00B65C62" w:rsidRDefault="00B65C62" w:rsidP="00B65C62">
      <w:pPr>
        <w:ind w:firstLine="708"/>
        <w:jc w:val="both"/>
      </w:pPr>
    </w:p>
    <w:p w14:paraId="318D583D" w14:textId="7AADF072" w:rsidR="00552A84" w:rsidRPr="000E0DDD" w:rsidRDefault="00CE5B5E" w:rsidP="00D864B5">
      <w:pPr>
        <w:rPr>
          <w:b/>
          <w:bCs/>
        </w:rPr>
      </w:pPr>
      <w:r w:rsidRPr="000E0DDD">
        <w:rPr>
          <w:b/>
          <w:bCs/>
        </w:rPr>
        <w:t xml:space="preserve">Tabela </w:t>
      </w:r>
      <w:r w:rsidRPr="000E0DDD">
        <w:rPr>
          <w:b/>
          <w:bCs/>
        </w:rPr>
        <w:fldChar w:fldCharType="begin"/>
      </w:r>
      <w:r w:rsidRPr="000E0DDD">
        <w:rPr>
          <w:b/>
          <w:bCs/>
        </w:rPr>
        <w:instrText xml:space="preserve"> SEQ Tabela \* ARABIC </w:instrText>
      </w:r>
      <w:r w:rsidRPr="000E0DDD">
        <w:rPr>
          <w:b/>
          <w:bCs/>
        </w:rPr>
        <w:fldChar w:fldCharType="separate"/>
      </w:r>
      <w:r w:rsidR="000E0DDD" w:rsidRPr="000E0DDD">
        <w:rPr>
          <w:b/>
          <w:bCs/>
          <w:noProof/>
        </w:rPr>
        <w:t>1</w:t>
      </w:r>
      <w:r w:rsidRPr="000E0DDD">
        <w:rPr>
          <w:b/>
          <w:bCs/>
          <w:noProof/>
        </w:rPr>
        <w:fldChar w:fldCharType="end"/>
      </w:r>
      <w:bookmarkEnd w:id="0"/>
      <w:r w:rsidRPr="000E0DDD">
        <w:rPr>
          <w:b/>
          <w:bCs/>
        </w:rPr>
        <w:t xml:space="preserve"> – </w:t>
      </w:r>
      <w:r w:rsidR="00D864B5" w:rsidRPr="000E0DDD">
        <w:rPr>
          <w:b/>
          <w:bCs/>
        </w:rPr>
        <w:t>Custos Financeiros nas Operações do BNDES</w:t>
      </w:r>
      <w:r w:rsidRPr="000E0DDD">
        <w:rPr>
          <w:b/>
          <w:bCs/>
        </w:rPr>
        <w:t xml:space="preserve"> </w:t>
      </w:r>
    </w:p>
    <w:tbl>
      <w:tblPr>
        <w:tblStyle w:val="Tabelacomgrade"/>
        <w:tblW w:w="8359" w:type="dxa"/>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2689"/>
        <w:gridCol w:w="5670"/>
      </w:tblGrid>
      <w:tr w:rsidR="000E0DDD" w:rsidRPr="00DF55B5" w14:paraId="2B30187C" w14:textId="77777777" w:rsidTr="000E0DDD">
        <w:tc>
          <w:tcPr>
            <w:tcW w:w="2689" w:type="dxa"/>
          </w:tcPr>
          <w:p w14:paraId="167EF58D" w14:textId="2B23D7EA" w:rsidR="000E0DDD" w:rsidRPr="00DF55B5" w:rsidRDefault="000E0DDD" w:rsidP="00B9317F">
            <w:pPr>
              <w:jc w:val="both"/>
              <w:rPr>
                <w:b/>
                <w:bCs/>
                <w:sz w:val="20"/>
                <w:szCs w:val="20"/>
              </w:rPr>
            </w:pPr>
            <w:r w:rsidRPr="000E0DDD">
              <w:rPr>
                <w:b/>
                <w:bCs/>
                <w:sz w:val="20"/>
                <w:szCs w:val="20"/>
              </w:rPr>
              <w:t>Custos Financeiros</w:t>
            </w:r>
          </w:p>
        </w:tc>
        <w:tc>
          <w:tcPr>
            <w:tcW w:w="5670" w:type="dxa"/>
          </w:tcPr>
          <w:p w14:paraId="1F9EF073" w14:textId="5B7ED217" w:rsidR="000E0DDD" w:rsidRPr="00DF55B5" w:rsidRDefault="000E0DDD" w:rsidP="00B9317F">
            <w:pPr>
              <w:jc w:val="both"/>
              <w:rPr>
                <w:b/>
                <w:bCs/>
                <w:sz w:val="20"/>
                <w:szCs w:val="20"/>
              </w:rPr>
            </w:pPr>
            <w:r>
              <w:rPr>
                <w:b/>
                <w:bCs/>
                <w:sz w:val="20"/>
                <w:szCs w:val="20"/>
              </w:rPr>
              <w:t>Descrição</w:t>
            </w:r>
          </w:p>
        </w:tc>
      </w:tr>
      <w:tr w:rsidR="000E0DDD" w:rsidRPr="00DF55B5" w14:paraId="354EF196" w14:textId="77777777" w:rsidTr="000E0DDD">
        <w:tc>
          <w:tcPr>
            <w:tcW w:w="2689" w:type="dxa"/>
          </w:tcPr>
          <w:p w14:paraId="0BB54FA8" w14:textId="77777777" w:rsidR="000E0DDD" w:rsidRDefault="000E0DDD" w:rsidP="00B9317F">
            <w:pPr>
              <w:jc w:val="both"/>
              <w:rPr>
                <w:sz w:val="20"/>
                <w:szCs w:val="20"/>
              </w:rPr>
            </w:pPr>
            <w:r w:rsidRPr="00D864B5">
              <w:rPr>
                <w:sz w:val="20"/>
                <w:szCs w:val="20"/>
              </w:rPr>
              <w:t xml:space="preserve">Taxa de Longo Prazo </w:t>
            </w:r>
          </w:p>
          <w:p w14:paraId="6F282190" w14:textId="7F58C61D" w:rsidR="000E0DDD" w:rsidRPr="00DF55B5" w:rsidRDefault="000E0DDD" w:rsidP="00B9317F">
            <w:pPr>
              <w:jc w:val="both"/>
              <w:rPr>
                <w:sz w:val="20"/>
                <w:szCs w:val="20"/>
              </w:rPr>
            </w:pPr>
            <w:r>
              <w:rPr>
                <w:sz w:val="20"/>
                <w:szCs w:val="20"/>
              </w:rPr>
              <w:t>(</w:t>
            </w:r>
            <w:r w:rsidRPr="00D864B5">
              <w:rPr>
                <w:sz w:val="20"/>
                <w:szCs w:val="20"/>
              </w:rPr>
              <w:t>TLP</w:t>
            </w:r>
            <w:r>
              <w:rPr>
                <w:sz w:val="20"/>
                <w:szCs w:val="20"/>
              </w:rPr>
              <w:t>)</w:t>
            </w:r>
          </w:p>
        </w:tc>
        <w:tc>
          <w:tcPr>
            <w:tcW w:w="5670" w:type="dxa"/>
          </w:tcPr>
          <w:p w14:paraId="3C027B4B" w14:textId="77777777" w:rsidR="000E0DDD" w:rsidRDefault="000E0DDD" w:rsidP="00D864B5">
            <w:pPr>
              <w:jc w:val="both"/>
              <w:rPr>
                <w:sz w:val="20"/>
                <w:szCs w:val="20"/>
              </w:rPr>
            </w:pPr>
            <w:r w:rsidRPr="00D864B5">
              <w:rPr>
                <w:sz w:val="20"/>
                <w:szCs w:val="20"/>
              </w:rPr>
              <w:t>A TLP é o principal custo financeiro dos financiamentos.</w:t>
            </w:r>
          </w:p>
          <w:p w14:paraId="4640B6F3" w14:textId="603C98BE" w:rsidR="000E0DDD" w:rsidRPr="000E0DDD" w:rsidRDefault="000E0DDD" w:rsidP="000E0DDD">
            <w:pPr>
              <w:jc w:val="both"/>
              <w:rPr>
                <w:sz w:val="20"/>
                <w:szCs w:val="20"/>
              </w:rPr>
            </w:pPr>
            <w:r>
              <w:rPr>
                <w:sz w:val="20"/>
                <w:szCs w:val="20"/>
              </w:rPr>
              <w:t xml:space="preserve">- </w:t>
            </w:r>
            <w:r w:rsidRPr="000E0DDD">
              <w:rPr>
                <w:sz w:val="20"/>
                <w:szCs w:val="20"/>
              </w:rPr>
              <w:t>Custos associados à TJLP</w:t>
            </w:r>
            <w:r>
              <w:rPr>
                <w:sz w:val="20"/>
                <w:szCs w:val="20"/>
              </w:rPr>
              <w:t>:</w:t>
            </w:r>
          </w:p>
          <w:p w14:paraId="05C8C43D" w14:textId="3B6764FF" w:rsidR="000E0DDD" w:rsidRPr="000E0DDD" w:rsidRDefault="000E0DDD" w:rsidP="000E0DDD">
            <w:pPr>
              <w:jc w:val="both"/>
              <w:rPr>
                <w:sz w:val="20"/>
                <w:szCs w:val="20"/>
              </w:rPr>
            </w:pPr>
            <w:r w:rsidRPr="000E0DDD">
              <w:rPr>
                <w:sz w:val="20"/>
                <w:szCs w:val="20"/>
              </w:rPr>
              <w:t>a) TJLP: Taxa de Juros de Longo Prazo;</w:t>
            </w:r>
          </w:p>
          <w:p w14:paraId="719C8D51" w14:textId="58A7E0C9" w:rsidR="000E0DDD" w:rsidRPr="00DF55B5" w:rsidRDefault="000E0DDD" w:rsidP="000E0DDD">
            <w:pPr>
              <w:jc w:val="both"/>
              <w:rPr>
                <w:sz w:val="20"/>
                <w:szCs w:val="20"/>
              </w:rPr>
            </w:pPr>
            <w:r w:rsidRPr="000E0DDD">
              <w:rPr>
                <w:sz w:val="20"/>
                <w:szCs w:val="20"/>
              </w:rPr>
              <w:t>b) TJ-462: TJLP acrescida de 1% ao ano.</w:t>
            </w:r>
          </w:p>
        </w:tc>
      </w:tr>
      <w:tr w:rsidR="000E0DDD" w:rsidRPr="00DF55B5" w14:paraId="00FFD0D8" w14:textId="77777777" w:rsidTr="000E0DDD">
        <w:tc>
          <w:tcPr>
            <w:tcW w:w="2689" w:type="dxa"/>
          </w:tcPr>
          <w:p w14:paraId="17269900" w14:textId="77777777" w:rsidR="000E0DDD" w:rsidRDefault="000E0DDD" w:rsidP="00B9317F">
            <w:pPr>
              <w:jc w:val="both"/>
              <w:rPr>
                <w:sz w:val="20"/>
                <w:szCs w:val="20"/>
              </w:rPr>
            </w:pPr>
            <w:r w:rsidRPr="00D864B5">
              <w:rPr>
                <w:sz w:val="20"/>
                <w:szCs w:val="20"/>
              </w:rPr>
              <w:t xml:space="preserve">Taxa fixa do BNDES </w:t>
            </w:r>
          </w:p>
          <w:p w14:paraId="3096D4E5" w14:textId="2845D751" w:rsidR="000E0DDD" w:rsidRPr="00DF55B5" w:rsidRDefault="000E0DDD" w:rsidP="00B9317F">
            <w:pPr>
              <w:jc w:val="both"/>
              <w:rPr>
                <w:sz w:val="20"/>
                <w:szCs w:val="20"/>
              </w:rPr>
            </w:pPr>
            <w:r w:rsidRPr="00D864B5">
              <w:rPr>
                <w:sz w:val="20"/>
                <w:szCs w:val="20"/>
              </w:rPr>
              <w:t>(TFB)</w:t>
            </w:r>
          </w:p>
        </w:tc>
        <w:tc>
          <w:tcPr>
            <w:tcW w:w="5670" w:type="dxa"/>
          </w:tcPr>
          <w:p w14:paraId="25722105" w14:textId="09E9CA17" w:rsidR="000E0DDD" w:rsidRPr="00DF55B5" w:rsidRDefault="000E0DDD" w:rsidP="00B9317F">
            <w:pPr>
              <w:jc w:val="both"/>
              <w:rPr>
                <w:sz w:val="20"/>
                <w:szCs w:val="20"/>
              </w:rPr>
            </w:pPr>
            <w:r w:rsidRPr="00D864B5">
              <w:rPr>
                <w:sz w:val="20"/>
                <w:szCs w:val="20"/>
              </w:rPr>
              <w:t>A TFB é uma opção de custo financeiro pré-fixado disponível em financiamentos do BNDES.</w:t>
            </w:r>
          </w:p>
        </w:tc>
      </w:tr>
      <w:tr w:rsidR="000E0DDD" w:rsidRPr="00DF55B5" w14:paraId="1D1A3930" w14:textId="77777777" w:rsidTr="000E0DDD">
        <w:tc>
          <w:tcPr>
            <w:tcW w:w="2689" w:type="dxa"/>
          </w:tcPr>
          <w:p w14:paraId="70FB9A39" w14:textId="4C2AB496" w:rsidR="000E0DDD" w:rsidRPr="00DF55B5" w:rsidRDefault="000E0DDD" w:rsidP="00D864B5">
            <w:pPr>
              <w:jc w:val="both"/>
              <w:rPr>
                <w:sz w:val="20"/>
                <w:szCs w:val="20"/>
              </w:rPr>
            </w:pPr>
            <w:r w:rsidRPr="00D864B5">
              <w:rPr>
                <w:sz w:val="20"/>
                <w:szCs w:val="20"/>
              </w:rPr>
              <w:t>Taxa fixa BNDES em Dólar (TFBD)</w:t>
            </w:r>
          </w:p>
        </w:tc>
        <w:tc>
          <w:tcPr>
            <w:tcW w:w="5670" w:type="dxa"/>
          </w:tcPr>
          <w:p w14:paraId="7F587FE7" w14:textId="2452ED8B" w:rsidR="000E0DDD" w:rsidRPr="00DF55B5" w:rsidRDefault="000E0DDD" w:rsidP="00B9317F">
            <w:pPr>
              <w:jc w:val="both"/>
              <w:rPr>
                <w:sz w:val="20"/>
                <w:szCs w:val="20"/>
              </w:rPr>
            </w:pPr>
            <w:r>
              <w:rPr>
                <w:sz w:val="20"/>
                <w:szCs w:val="20"/>
              </w:rPr>
              <w:t>C</w:t>
            </w:r>
            <w:r w:rsidRPr="00D864B5">
              <w:rPr>
                <w:sz w:val="20"/>
                <w:szCs w:val="20"/>
              </w:rPr>
              <w:t xml:space="preserve">usto financeiro </w:t>
            </w:r>
            <w:r>
              <w:rPr>
                <w:sz w:val="20"/>
                <w:szCs w:val="20"/>
              </w:rPr>
              <w:t xml:space="preserve">possui </w:t>
            </w:r>
            <w:r w:rsidRPr="00D864B5">
              <w:rPr>
                <w:sz w:val="20"/>
                <w:szCs w:val="20"/>
              </w:rPr>
              <w:t xml:space="preserve">um componente pré-fixado e um componente variável, relativo à variação do dólar. </w:t>
            </w:r>
            <w:r>
              <w:rPr>
                <w:sz w:val="20"/>
                <w:szCs w:val="20"/>
              </w:rPr>
              <w:t>D</w:t>
            </w:r>
            <w:r w:rsidRPr="00D864B5">
              <w:rPr>
                <w:sz w:val="20"/>
                <w:szCs w:val="20"/>
              </w:rPr>
              <w:t xml:space="preserve">isponível somente para operações </w:t>
            </w:r>
            <w:r>
              <w:rPr>
                <w:sz w:val="20"/>
                <w:szCs w:val="20"/>
              </w:rPr>
              <w:t xml:space="preserve">de </w:t>
            </w:r>
            <w:r w:rsidRPr="00D864B5">
              <w:rPr>
                <w:sz w:val="20"/>
                <w:szCs w:val="20"/>
              </w:rPr>
              <w:t xml:space="preserve">Crédito Rural </w:t>
            </w:r>
            <w:r>
              <w:rPr>
                <w:sz w:val="20"/>
                <w:szCs w:val="20"/>
              </w:rPr>
              <w:t xml:space="preserve">e </w:t>
            </w:r>
            <w:r w:rsidRPr="00D864B5">
              <w:rPr>
                <w:sz w:val="20"/>
                <w:szCs w:val="20"/>
              </w:rPr>
              <w:t>Máquinas</w:t>
            </w:r>
            <w:r>
              <w:rPr>
                <w:sz w:val="20"/>
                <w:szCs w:val="20"/>
              </w:rPr>
              <w:t>-</w:t>
            </w:r>
            <w:r w:rsidRPr="00D864B5">
              <w:rPr>
                <w:sz w:val="20"/>
                <w:szCs w:val="20"/>
              </w:rPr>
              <w:t>Equipamentos.</w:t>
            </w:r>
          </w:p>
        </w:tc>
      </w:tr>
      <w:tr w:rsidR="000E0DDD" w:rsidRPr="00DF55B5" w14:paraId="4387EF4F" w14:textId="77777777" w:rsidTr="000E0DDD">
        <w:tc>
          <w:tcPr>
            <w:tcW w:w="2689" w:type="dxa"/>
          </w:tcPr>
          <w:p w14:paraId="72CEC080" w14:textId="0439746F" w:rsidR="000E0DDD" w:rsidRPr="00D864B5" w:rsidRDefault="000E0DDD" w:rsidP="00D864B5">
            <w:pPr>
              <w:jc w:val="both"/>
              <w:rPr>
                <w:sz w:val="20"/>
                <w:szCs w:val="20"/>
              </w:rPr>
            </w:pPr>
            <w:r w:rsidRPr="000E0DDD">
              <w:rPr>
                <w:sz w:val="20"/>
                <w:szCs w:val="20"/>
              </w:rPr>
              <w:lastRenderedPageBreak/>
              <w:t>T</w:t>
            </w:r>
            <w:r>
              <w:rPr>
                <w:sz w:val="20"/>
                <w:szCs w:val="20"/>
              </w:rPr>
              <w:t>axa Selic (T</w:t>
            </w:r>
            <w:r w:rsidRPr="000E0DDD">
              <w:rPr>
                <w:sz w:val="20"/>
                <w:szCs w:val="20"/>
              </w:rPr>
              <w:t>S</w:t>
            </w:r>
            <w:r>
              <w:rPr>
                <w:sz w:val="20"/>
                <w:szCs w:val="20"/>
              </w:rPr>
              <w:t>)</w:t>
            </w:r>
          </w:p>
        </w:tc>
        <w:tc>
          <w:tcPr>
            <w:tcW w:w="5670" w:type="dxa"/>
          </w:tcPr>
          <w:p w14:paraId="00BBE68A" w14:textId="0BAEDBA6" w:rsidR="000E0DDD" w:rsidRDefault="000E0DDD" w:rsidP="00B9317F">
            <w:pPr>
              <w:jc w:val="both"/>
              <w:rPr>
                <w:sz w:val="20"/>
                <w:szCs w:val="20"/>
              </w:rPr>
            </w:pPr>
            <w:r w:rsidRPr="000E0DDD">
              <w:rPr>
                <w:sz w:val="20"/>
                <w:szCs w:val="20"/>
              </w:rPr>
              <w:t>Taxa Média SELIC (TMS) acumulada, apurada pelo Banco Central do Brasil em base diária</w:t>
            </w:r>
          </w:p>
        </w:tc>
      </w:tr>
      <w:tr w:rsidR="000E0DDD" w:rsidRPr="00DF55B5" w14:paraId="2CC1DBB5" w14:textId="77777777" w:rsidTr="000E0DDD">
        <w:tc>
          <w:tcPr>
            <w:tcW w:w="2689" w:type="dxa"/>
          </w:tcPr>
          <w:p w14:paraId="4F079422" w14:textId="30028D70" w:rsidR="000E0DDD" w:rsidRPr="000E0DDD" w:rsidRDefault="000E0DDD" w:rsidP="00D864B5">
            <w:pPr>
              <w:jc w:val="both"/>
              <w:rPr>
                <w:sz w:val="20"/>
                <w:szCs w:val="20"/>
              </w:rPr>
            </w:pPr>
            <w:r w:rsidRPr="000E0DDD">
              <w:rPr>
                <w:sz w:val="20"/>
                <w:szCs w:val="20"/>
              </w:rPr>
              <w:t>Taxas de juros de referência TJ3 e TJ6</w:t>
            </w:r>
          </w:p>
        </w:tc>
        <w:tc>
          <w:tcPr>
            <w:tcW w:w="5670" w:type="dxa"/>
          </w:tcPr>
          <w:p w14:paraId="70CABD02" w14:textId="19F7212F" w:rsidR="000E0DDD" w:rsidRPr="000E0DDD" w:rsidRDefault="000E0DDD" w:rsidP="00B9317F">
            <w:pPr>
              <w:jc w:val="both"/>
              <w:rPr>
                <w:sz w:val="20"/>
                <w:szCs w:val="20"/>
              </w:rPr>
            </w:pPr>
            <w:r w:rsidRPr="000E0DDD">
              <w:rPr>
                <w:sz w:val="20"/>
                <w:szCs w:val="20"/>
              </w:rPr>
              <w:t>Custo flutuante de mercado em reais equivalente à taxa de juros, em reais, formada pela aplicação de encargo fixo sobre taxa fixa de juros de mercado, para o prazo de 3 meses ou de 6 meses, apurada e divulgada pela B3 (código TJ3 e TJ6) com base nos preços de referência dos contratos de Futuro de DI;</w:t>
            </w:r>
          </w:p>
        </w:tc>
      </w:tr>
      <w:tr w:rsidR="000E0DDD" w:rsidRPr="00DF55B5" w14:paraId="5E1CC874" w14:textId="77777777" w:rsidTr="000E0DDD">
        <w:tc>
          <w:tcPr>
            <w:tcW w:w="2689" w:type="dxa"/>
          </w:tcPr>
          <w:p w14:paraId="0533BC2D" w14:textId="096CD46E" w:rsidR="000E0DDD" w:rsidRPr="000E0DDD" w:rsidRDefault="000E0DDD" w:rsidP="000E0DDD">
            <w:pPr>
              <w:jc w:val="both"/>
              <w:rPr>
                <w:sz w:val="20"/>
                <w:szCs w:val="20"/>
              </w:rPr>
            </w:pPr>
            <w:r w:rsidRPr="000E0DDD">
              <w:rPr>
                <w:sz w:val="20"/>
                <w:szCs w:val="20"/>
              </w:rPr>
              <w:t>Índice Nacional de Preços ao Consumidor Amplo</w:t>
            </w:r>
            <w:r>
              <w:rPr>
                <w:sz w:val="20"/>
                <w:szCs w:val="20"/>
              </w:rPr>
              <w:t xml:space="preserve"> (</w:t>
            </w:r>
            <w:r w:rsidRPr="000E0DDD">
              <w:rPr>
                <w:sz w:val="20"/>
                <w:szCs w:val="20"/>
              </w:rPr>
              <w:t>IPCA</w:t>
            </w:r>
            <w:r>
              <w:rPr>
                <w:sz w:val="20"/>
                <w:szCs w:val="20"/>
              </w:rPr>
              <w:t>)</w:t>
            </w:r>
          </w:p>
        </w:tc>
        <w:tc>
          <w:tcPr>
            <w:tcW w:w="5670" w:type="dxa"/>
          </w:tcPr>
          <w:p w14:paraId="2CC6B50F" w14:textId="44859C48" w:rsidR="000E0DDD" w:rsidRPr="000E0DDD" w:rsidRDefault="000E0DDD" w:rsidP="00B9317F">
            <w:pPr>
              <w:jc w:val="both"/>
              <w:rPr>
                <w:sz w:val="20"/>
                <w:szCs w:val="20"/>
              </w:rPr>
            </w:pPr>
            <w:r w:rsidRPr="000E0DDD">
              <w:rPr>
                <w:sz w:val="20"/>
                <w:szCs w:val="20"/>
              </w:rPr>
              <w:t>Os recursos captados pelo BNDES sem vinculação a repasse em condições específicas podem ser utilizados na concessão de crédito em condições financeiras referenciadas ao Índice Nacional de Preços ao Consumidor Amplo (IPCA).</w:t>
            </w:r>
          </w:p>
        </w:tc>
      </w:tr>
      <w:tr w:rsidR="000E0DDD" w:rsidRPr="00DF55B5" w14:paraId="0952BECA" w14:textId="77777777" w:rsidTr="000E0DDD">
        <w:tc>
          <w:tcPr>
            <w:tcW w:w="2689" w:type="dxa"/>
          </w:tcPr>
          <w:p w14:paraId="1142F956" w14:textId="07160E53" w:rsidR="000E0DDD" w:rsidRPr="000E0DDD" w:rsidRDefault="000E0DDD" w:rsidP="00D864B5">
            <w:pPr>
              <w:jc w:val="both"/>
              <w:rPr>
                <w:sz w:val="20"/>
                <w:szCs w:val="20"/>
              </w:rPr>
            </w:pPr>
            <w:r w:rsidRPr="000E0DDD">
              <w:rPr>
                <w:sz w:val="20"/>
                <w:szCs w:val="20"/>
              </w:rPr>
              <w:t>Taxa de juros fixa pré-embarque (TJFPE)</w:t>
            </w:r>
          </w:p>
        </w:tc>
        <w:tc>
          <w:tcPr>
            <w:tcW w:w="5670" w:type="dxa"/>
          </w:tcPr>
          <w:p w14:paraId="771A13EF" w14:textId="1728FEB1" w:rsidR="000E0DDD" w:rsidRPr="000E0DDD" w:rsidRDefault="000E0DDD" w:rsidP="000E0DDD">
            <w:pPr>
              <w:rPr>
                <w:sz w:val="20"/>
                <w:szCs w:val="20"/>
              </w:rPr>
            </w:pPr>
            <w:r w:rsidRPr="000E0DDD">
              <w:rPr>
                <w:sz w:val="20"/>
                <w:szCs w:val="20"/>
              </w:rPr>
              <w:t>Taxa de juros fixa</w:t>
            </w:r>
            <w:r>
              <w:rPr>
                <w:sz w:val="20"/>
                <w:szCs w:val="20"/>
              </w:rPr>
              <w:t xml:space="preserve"> </w:t>
            </w:r>
            <w:r w:rsidRPr="000E0DDD">
              <w:rPr>
                <w:sz w:val="20"/>
                <w:szCs w:val="20"/>
              </w:rPr>
              <w:t>na</w:t>
            </w:r>
            <w:r>
              <w:rPr>
                <w:sz w:val="20"/>
                <w:szCs w:val="20"/>
              </w:rPr>
              <w:t xml:space="preserve">s operações </w:t>
            </w:r>
            <w:r w:rsidRPr="000E0DDD">
              <w:rPr>
                <w:sz w:val="20"/>
                <w:szCs w:val="20"/>
              </w:rPr>
              <w:t>de apoio à exportação</w:t>
            </w:r>
            <w:r>
              <w:rPr>
                <w:sz w:val="20"/>
                <w:szCs w:val="20"/>
              </w:rPr>
              <w:t xml:space="preserve">, contendo os </w:t>
            </w:r>
            <w:r w:rsidRPr="000E0DDD">
              <w:rPr>
                <w:sz w:val="20"/>
                <w:szCs w:val="20"/>
              </w:rPr>
              <w:t>componentes:</w:t>
            </w:r>
          </w:p>
          <w:p w14:paraId="28EE51B5" w14:textId="57DD2CA7" w:rsidR="000E0DDD" w:rsidRDefault="000E0DDD" w:rsidP="000E0DDD">
            <w:pPr>
              <w:rPr>
                <w:sz w:val="20"/>
                <w:szCs w:val="20"/>
              </w:rPr>
            </w:pPr>
            <w:r>
              <w:rPr>
                <w:sz w:val="20"/>
                <w:szCs w:val="20"/>
              </w:rPr>
              <w:t xml:space="preserve">- </w:t>
            </w:r>
            <w:r w:rsidRPr="000E0DDD">
              <w:rPr>
                <w:sz w:val="20"/>
                <w:szCs w:val="20"/>
              </w:rPr>
              <w:t xml:space="preserve">Custo médio ponderado </w:t>
            </w:r>
            <w:r>
              <w:rPr>
                <w:sz w:val="20"/>
                <w:szCs w:val="20"/>
              </w:rPr>
              <w:t xml:space="preserve">das </w:t>
            </w:r>
            <w:r w:rsidRPr="000E0DDD">
              <w:rPr>
                <w:sz w:val="20"/>
                <w:szCs w:val="20"/>
              </w:rPr>
              <w:t>taxas e despesas incorridas pelo BNDES na captação dos recursos em moeda estrangeira;</w:t>
            </w:r>
          </w:p>
          <w:p w14:paraId="5E6BA459" w14:textId="77777777" w:rsidR="000E0DDD" w:rsidRDefault="000E0DDD" w:rsidP="000E0DDD">
            <w:pPr>
              <w:rPr>
                <w:sz w:val="20"/>
                <w:szCs w:val="20"/>
              </w:rPr>
            </w:pPr>
            <w:r>
              <w:rPr>
                <w:sz w:val="20"/>
                <w:szCs w:val="20"/>
              </w:rPr>
              <w:t xml:space="preserve">- </w:t>
            </w:r>
            <w:r w:rsidRPr="000E0DDD">
              <w:rPr>
                <w:sz w:val="20"/>
                <w:szCs w:val="20"/>
              </w:rPr>
              <w:t xml:space="preserve">Custo incorrido na hipótese de permuta das dívidas remanescentes do BNDES, </w:t>
            </w:r>
          </w:p>
          <w:p w14:paraId="17241505" w14:textId="77777777" w:rsidR="000E0DDD" w:rsidRDefault="000E0DDD" w:rsidP="000E0DDD">
            <w:pPr>
              <w:rPr>
                <w:sz w:val="20"/>
                <w:szCs w:val="20"/>
              </w:rPr>
            </w:pPr>
            <w:r>
              <w:rPr>
                <w:sz w:val="20"/>
                <w:szCs w:val="20"/>
              </w:rPr>
              <w:t>- C</w:t>
            </w:r>
            <w:r w:rsidRPr="000E0DDD">
              <w:rPr>
                <w:sz w:val="20"/>
                <w:szCs w:val="20"/>
              </w:rPr>
              <w:t>usto incorrido na hipótese de permuta das dívidas remanescentes do BNDES</w:t>
            </w:r>
          </w:p>
          <w:p w14:paraId="516420FF" w14:textId="7FA32034" w:rsidR="000E0DDD" w:rsidRPr="000E0DDD" w:rsidRDefault="000E0DDD" w:rsidP="000E0DDD">
            <w:pPr>
              <w:rPr>
                <w:sz w:val="20"/>
                <w:szCs w:val="20"/>
              </w:rPr>
            </w:pPr>
            <w:r>
              <w:rPr>
                <w:sz w:val="20"/>
                <w:szCs w:val="20"/>
              </w:rPr>
              <w:t xml:space="preserve">- </w:t>
            </w:r>
            <w:r w:rsidRPr="000E0DDD">
              <w:rPr>
                <w:sz w:val="20"/>
                <w:szCs w:val="20"/>
              </w:rPr>
              <w:t xml:space="preserve">Imposto de Renda sobre os encargos remetidos aos credores </w:t>
            </w:r>
            <w:r>
              <w:rPr>
                <w:sz w:val="20"/>
                <w:szCs w:val="20"/>
              </w:rPr>
              <w:t xml:space="preserve">na </w:t>
            </w:r>
            <w:r w:rsidRPr="000E0DDD">
              <w:rPr>
                <w:sz w:val="20"/>
                <w:szCs w:val="20"/>
              </w:rPr>
              <w:t>captação em moeda estrangeira.</w:t>
            </w:r>
          </w:p>
        </w:tc>
      </w:tr>
      <w:tr w:rsidR="000E0DDD" w:rsidRPr="00DF55B5" w14:paraId="2F4C2ACC" w14:textId="77777777" w:rsidTr="000E0DDD">
        <w:tc>
          <w:tcPr>
            <w:tcW w:w="2689" w:type="dxa"/>
          </w:tcPr>
          <w:p w14:paraId="2ED7F4B9" w14:textId="77777777" w:rsidR="00985022" w:rsidRPr="00985022" w:rsidRDefault="00985022" w:rsidP="00985022">
            <w:pPr>
              <w:rPr>
                <w:sz w:val="20"/>
                <w:szCs w:val="20"/>
              </w:rPr>
            </w:pPr>
          </w:p>
          <w:p w14:paraId="1F41EA9F" w14:textId="168DB587" w:rsidR="000E0DDD" w:rsidRPr="000E0DDD" w:rsidRDefault="00985022" w:rsidP="00985022">
            <w:pPr>
              <w:jc w:val="both"/>
              <w:rPr>
                <w:sz w:val="20"/>
                <w:szCs w:val="20"/>
              </w:rPr>
            </w:pPr>
            <w:r w:rsidRPr="00985022">
              <w:rPr>
                <w:sz w:val="20"/>
                <w:szCs w:val="20"/>
              </w:rPr>
              <w:t xml:space="preserve">Cesta de Moedas </w:t>
            </w:r>
            <w:r>
              <w:rPr>
                <w:sz w:val="20"/>
                <w:szCs w:val="20"/>
              </w:rPr>
              <w:t>(</w:t>
            </w:r>
            <w:r w:rsidRPr="00985022">
              <w:rPr>
                <w:sz w:val="20"/>
                <w:szCs w:val="20"/>
              </w:rPr>
              <w:t>UMBNDES</w:t>
            </w:r>
            <w:r>
              <w:rPr>
                <w:sz w:val="20"/>
                <w:szCs w:val="20"/>
              </w:rPr>
              <w:t>)</w:t>
            </w:r>
          </w:p>
        </w:tc>
        <w:tc>
          <w:tcPr>
            <w:tcW w:w="5670" w:type="dxa"/>
          </w:tcPr>
          <w:p w14:paraId="7A65055E" w14:textId="77777777" w:rsidR="000E0DDD" w:rsidRDefault="001B27C4" w:rsidP="00B9317F">
            <w:pPr>
              <w:jc w:val="both"/>
              <w:rPr>
                <w:sz w:val="20"/>
                <w:szCs w:val="20"/>
              </w:rPr>
            </w:pPr>
            <w:r w:rsidRPr="001B27C4">
              <w:rPr>
                <w:sz w:val="20"/>
                <w:szCs w:val="20"/>
              </w:rPr>
              <w:t>Encargos da Cesta de Moedas (ECM) acrescidos da Variação do US$ ou, alternativamente, o Referencial de Custo Financeiro equivalente aos encargos da cesta de moedas (ECM), fixado quando da liberação do crédito, expresso sob a forma de taxa de juros fixa em US$.</w:t>
            </w:r>
          </w:p>
          <w:p w14:paraId="5F62DA08" w14:textId="31EF2275" w:rsidR="00985022" w:rsidRDefault="00985022" w:rsidP="00B9317F">
            <w:pPr>
              <w:jc w:val="both"/>
              <w:rPr>
                <w:sz w:val="20"/>
                <w:szCs w:val="20"/>
              </w:rPr>
            </w:pPr>
            <w:r>
              <w:rPr>
                <w:sz w:val="20"/>
                <w:szCs w:val="20"/>
              </w:rPr>
              <w:t>Possui os componentes:</w:t>
            </w:r>
          </w:p>
          <w:p w14:paraId="562BFDDD" w14:textId="47F3BDB5" w:rsidR="00985022" w:rsidRPr="001D3B43" w:rsidRDefault="001D3B43" w:rsidP="001D3B43">
            <w:pPr>
              <w:rPr>
                <w:sz w:val="20"/>
                <w:szCs w:val="20"/>
              </w:rPr>
            </w:pPr>
            <w:r>
              <w:rPr>
                <w:sz w:val="20"/>
                <w:szCs w:val="20"/>
              </w:rPr>
              <w:t xml:space="preserve">- </w:t>
            </w:r>
            <w:r w:rsidR="00985022" w:rsidRPr="001D3B43">
              <w:rPr>
                <w:sz w:val="20"/>
                <w:szCs w:val="20"/>
              </w:rPr>
              <w:t xml:space="preserve">Unidade Monetária BNDES (UMBNDES): Média ponderada das variações cambiais das moedas existentes na Cesta de Moedas do BNDES. </w:t>
            </w:r>
          </w:p>
          <w:p w14:paraId="67B30293" w14:textId="7CD04E95" w:rsidR="001D3B43" w:rsidRDefault="001D3B43" w:rsidP="004C0EA9">
            <w:pPr>
              <w:rPr>
                <w:sz w:val="20"/>
                <w:szCs w:val="20"/>
              </w:rPr>
            </w:pPr>
            <w:r>
              <w:rPr>
                <w:sz w:val="20"/>
                <w:szCs w:val="20"/>
              </w:rPr>
              <w:t xml:space="preserve">- </w:t>
            </w:r>
            <w:r w:rsidR="00985022" w:rsidRPr="001D3B43">
              <w:rPr>
                <w:sz w:val="20"/>
                <w:szCs w:val="20"/>
              </w:rPr>
              <w:t>Encargos da Cesta de Moedas (ECM): Condições financeiras para a concessão de financiamento com equivalência em dólares americanos: ECM = Taxa de Juros Variável + Imposto de Renda</w:t>
            </w:r>
          </w:p>
          <w:p w14:paraId="652749C8" w14:textId="3A25348C" w:rsidR="00985022" w:rsidRPr="001D3B43" w:rsidRDefault="001D3B43" w:rsidP="001D3B43">
            <w:pPr>
              <w:rPr>
                <w:sz w:val="20"/>
                <w:szCs w:val="20"/>
              </w:rPr>
            </w:pPr>
            <w:r>
              <w:rPr>
                <w:sz w:val="20"/>
                <w:szCs w:val="20"/>
              </w:rPr>
              <w:t xml:space="preserve">- </w:t>
            </w:r>
            <w:r w:rsidR="00985022" w:rsidRPr="001D3B43">
              <w:rPr>
                <w:sz w:val="20"/>
                <w:szCs w:val="20"/>
              </w:rPr>
              <w:t>Taxa de Juros Variável: Média ponderada das taxas e despesas não tributárias.</w:t>
            </w:r>
          </w:p>
          <w:p w14:paraId="3ED29287" w14:textId="08109EEA" w:rsidR="00985022" w:rsidRPr="001D3B43" w:rsidRDefault="001D3B43" w:rsidP="001D3B43">
            <w:pPr>
              <w:jc w:val="both"/>
              <w:rPr>
                <w:sz w:val="20"/>
                <w:szCs w:val="20"/>
              </w:rPr>
            </w:pPr>
            <w:r>
              <w:rPr>
                <w:sz w:val="20"/>
                <w:szCs w:val="20"/>
              </w:rPr>
              <w:t xml:space="preserve">- </w:t>
            </w:r>
            <w:r w:rsidR="00985022" w:rsidRPr="001D3B43">
              <w:rPr>
                <w:sz w:val="20"/>
                <w:szCs w:val="20"/>
              </w:rPr>
              <w:t>Imposto de Renda: Imposto sobre os juros remetidos pelo BNDES aos seus credores externos.</w:t>
            </w:r>
          </w:p>
        </w:tc>
      </w:tr>
      <w:tr w:rsidR="000E0DDD" w:rsidRPr="00DF55B5" w14:paraId="53763641" w14:textId="77777777" w:rsidTr="000E0DDD">
        <w:tc>
          <w:tcPr>
            <w:tcW w:w="2689" w:type="dxa"/>
          </w:tcPr>
          <w:p w14:paraId="1FC91836" w14:textId="77777777" w:rsidR="001B0C4F" w:rsidRPr="001B0C4F" w:rsidRDefault="001B0C4F" w:rsidP="001B0C4F">
            <w:pPr>
              <w:rPr>
                <w:sz w:val="20"/>
                <w:szCs w:val="20"/>
              </w:rPr>
            </w:pPr>
            <w:r w:rsidRPr="001B0C4F">
              <w:rPr>
                <w:sz w:val="20"/>
                <w:szCs w:val="20"/>
              </w:rPr>
              <w:t>Custo FAT Cambial</w:t>
            </w:r>
          </w:p>
          <w:p w14:paraId="1812A137" w14:textId="77777777" w:rsidR="000E0DDD" w:rsidRPr="000E0DDD" w:rsidRDefault="000E0DDD" w:rsidP="00D864B5">
            <w:pPr>
              <w:jc w:val="both"/>
              <w:rPr>
                <w:sz w:val="20"/>
                <w:szCs w:val="20"/>
              </w:rPr>
            </w:pPr>
          </w:p>
        </w:tc>
        <w:tc>
          <w:tcPr>
            <w:tcW w:w="5670" w:type="dxa"/>
          </w:tcPr>
          <w:p w14:paraId="1DBF6AF0" w14:textId="5ECFC81A" w:rsidR="000E0DDD" w:rsidRPr="000E0DDD" w:rsidRDefault="001B0C4F" w:rsidP="001B0C4F">
            <w:pPr>
              <w:rPr>
                <w:sz w:val="20"/>
                <w:szCs w:val="20"/>
              </w:rPr>
            </w:pPr>
            <w:r w:rsidRPr="001B0C4F">
              <w:rPr>
                <w:sz w:val="20"/>
                <w:szCs w:val="20"/>
              </w:rPr>
              <w:t>Taxa de Juros para Empréstimos e Financiamentos em dólares norte-americanos no Mercado Interbancário de Londres (LIBOR) ou taxa de juros dos Títulos do Tesouro dos Estados Unidos da América (“US Treasury Bonds”), acrescida da variação cambial do Dólar norte-americano (USD); ou</w:t>
            </w:r>
            <w:r>
              <w:rPr>
                <w:sz w:val="20"/>
                <w:szCs w:val="20"/>
              </w:rPr>
              <w:t xml:space="preserve"> </w:t>
            </w:r>
            <w:r w:rsidRPr="001B0C4F">
              <w:rPr>
                <w:sz w:val="20"/>
                <w:szCs w:val="20"/>
              </w:rPr>
              <w:t xml:space="preserve">Taxa de Juros para Empréstimos e Financiamentos em Euro no mercado Interbancário de Londres (Euro LIBOR) ou a taxa representativa da remuneração média de títulos de governos de países da zona econômica do euro (“Euro Area </w:t>
            </w:r>
            <w:proofErr w:type="spellStart"/>
            <w:r w:rsidRPr="001B0C4F">
              <w:rPr>
                <w:sz w:val="20"/>
                <w:szCs w:val="20"/>
              </w:rPr>
              <w:t>Yield</w:t>
            </w:r>
            <w:proofErr w:type="spellEnd"/>
            <w:r w:rsidRPr="001B0C4F">
              <w:rPr>
                <w:sz w:val="20"/>
                <w:szCs w:val="20"/>
              </w:rPr>
              <w:t xml:space="preserve"> Curve”), acrescida da variação cambial do Euro (€).</w:t>
            </w:r>
          </w:p>
        </w:tc>
      </w:tr>
    </w:tbl>
    <w:p w14:paraId="026EFE86" w14:textId="131784A2" w:rsidR="00552A84" w:rsidRDefault="00552A84" w:rsidP="00AC730D">
      <w:pPr>
        <w:ind w:firstLine="360"/>
        <w:jc w:val="both"/>
        <w:rPr>
          <w:i/>
        </w:rPr>
      </w:pPr>
    </w:p>
    <w:p w14:paraId="5D7954D2" w14:textId="77777777" w:rsidR="000E0DDD" w:rsidRDefault="000E0DDD" w:rsidP="00AC730D">
      <w:pPr>
        <w:ind w:firstLine="360"/>
        <w:jc w:val="both"/>
        <w:rPr>
          <w:i/>
        </w:rPr>
      </w:pPr>
    </w:p>
    <w:p w14:paraId="7F2FA6A9" w14:textId="5505BA2D" w:rsidR="00303593" w:rsidRDefault="00B65C62" w:rsidP="000C53DA">
      <w:pPr>
        <w:ind w:firstLine="360"/>
        <w:jc w:val="both"/>
        <w:rPr>
          <w:iCs/>
          <w:sz w:val="24"/>
          <w:szCs w:val="24"/>
        </w:rPr>
      </w:pPr>
      <w:r w:rsidRPr="0030321C">
        <w:rPr>
          <w:iCs/>
          <w:sz w:val="24"/>
          <w:szCs w:val="24"/>
        </w:rPr>
        <w:t xml:space="preserve">A taxa SELIC (Sistema Especial de Liquidação e Custódia) é a taxa de juros praticada no mercado de reservas bancárias, controlada pelo Banco Central. No mercado de reservas bancárias, as pessoas físicas e jurídicas depositam recursos à vista nos bancos com carteira comercial, e estes possuem depósitos no Banco Central. Essas reservas bancárias, são depositados numa espécie de conta corrente dos bancos junto ao Banco </w:t>
      </w:r>
      <w:r w:rsidRPr="0030321C">
        <w:rPr>
          <w:iCs/>
          <w:sz w:val="24"/>
          <w:szCs w:val="24"/>
        </w:rPr>
        <w:lastRenderedPageBreak/>
        <w:t xml:space="preserve">Central, denominada conta Reservas Bancárias. A contabilidade de liquidez diária mostra que alguns bancos podem são superavitários enquanto são deficitários. Para equilibrar essas posições, os bancos trocam reservas visando suprir suas necessidades de capital ou aplicar seus recursos extras. Mesmos com os movimentos diários visando equilibrar superávit e déficit, o sistema está sempre com sobras ou falta de reservas. Por isto, é necessária a atuação do Banco Central </w:t>
      </w:r>
      <w:r w:rsidR="0030321C" w:rsidRPr="0030321C">
        <w:rPr>
          <w:iCs/>
          <w:sz w:val="24"/>
          <w:szCs w:val="24"/>
        </w:rPr>
        <w:t xml:space="preserve">regulando a </w:t>
      </w:r>
      <w:r w:rsidRPr="0030321C">
        <w:rPr>
          <w:iCs/>
          <w:sz w:val="24"/>
          <w:szCs w:val="24"/>
        </w:rPr>
        <w:t xml:space="preserve">taxa de juros </w:t>
      </w:r>
      <w:r w:rsidR="0030321C" w:rsidRPr="0030321C">
        <w:rPr>
          <w:iCs/>
          <w:sz w:val="24"/>
          <w:szCs w:val="24"/>
        </w:rPr>
        <w:t xml:space="preserve">SELIC e vendendo ou comprando </w:t>
      </w:r>
      <w:r w:rsidRPr="0030321C">
        <w:rPr>
          <w:iCs/>
          <w:sz w:val="24"/>
          <w:szCs w:val="24"/>
        </w:rPr>
        <w:t xml:space="preserve">reservas </w:t>
      </w:r>
      <w:r w:rsidR="0030321C" w:rsidRPr="0030321C">
        <w:rPr>
          <w:iCs/>
          <w:sz w:val="24"/>
          <w:szCs w:val="24"/>
        </w:rPr>
        <w:t>através dessa taxa.</w:t>
      </w:r>
    </w:p>
    <w:p w14:paraId="5510F87E" w14:textId="546FC802" w:rsidR="00303593" w:rsidRPr="00303593" w:rsidRDefault="00303593" w:rsidP="00303593">
      <w:pPr>
        <w:ind w:firstLine="360"/>
        <w:jc w:val="both"/>
        <w:rPr>
          <w:iCs/>
          <w:sz w:val="24"/>
          <w:szCs w:val="24"/>
        </w:rPr>
      </w:pPr>
      <w:r>
        <w:rPr>
          <w:iCs/>
          <w:sz w:val="24"/>
          <w:szCs w:val="24"/>
        </w:rPr>
        <w:t xml:space="preserve">Uma vez que a </w:t>
      </w:r>
      <w:r w:rsidRPr="00303593">
        <w:rPr>
          <w:iCs/>
          <w:sz w:val="24"/>
          <w:szCs w:val="24"/>
        </w:rPr>
        <w:t xml:space="preserve">TJLP não </w:t>
      </w:r>
      <w:r>
        <w:rPr>
          <w:iCs/>
          <w:sz w:val="24"/>
          <w:szCs w:val="24"/>
        </w:rPr>
        <w:t xml:space="preserve">é diretamente influenciada pelas </w:t>
      </w:r>
      <w:r w:rsidRPr="00303593">
        <w:rPr>
          <w:iCs/>
          <w:sz w:val="24"/>
          <w:szCs w:val="24"/>
        </w:rPr>
        <w:t>decisões do Comitê de Política Monetária (Copom)</w:t>
      </w:r>
      <w:r>
        <w:rPr>
          <w:iCs/>
          <w:sz w:val="24"/>
          <w:szCs w:val="24"/>
        </w:rPr>
        <w:t xml:space="preserve">, pode há </w:t>
      </w:r>
      <w:r w:rsidRPr="00303593">
        <w:rPr>
          <w:iCs/>
          <w:sz w:val="24"/>
          <w:szCs w:val="24"/>
        </w:rPr>
        <w:t xml:space="preserve">duas taxas básicas de juros </w:t>
      </w:r>
      <w:r>
        <w:rPr>
          <w:iCs/>
          <w:sz w:val="24"/>
          <w:szCs w:val="24"/>
        </w:rPr>
        <w:t>influenciando a dinâmica macroeconômica</w:t>
      </w:r>
      <w:r w:rsidRPr="00303593">
        <w:rPr>
          <w:iCs/>
          <w:sz w:val="24"/>
          <w:szCs w:val="24"/>
        </w:rPr>
        <w:t>: uma taxa de juros baixa para quem tem acesso ao BNDES e outra taxa de juros alta que baliza os empréstimos para as demais pessoas e empresas.</w:t>
      </w:r>
      <w:r>
        <w:rPr>
          <w:iCs/>
          <w:sz w:val="24"/>
          <w:szCs w:val="24"/>
        </w:rPr>
        <w:t xml:space="preserve"> Esse efeito de uma taxa dupla, não seria muito importância, caso </w:t>
      </w:r>
      <w:r w:rsidRPr="00303593">
        <w:rPr>
          <w:iCs/>
          <w:sz w:val="24"/>
          <w:szCs w:val="24"/>
        </w:rPr>
        <w:t xml:space="preserve">os </w:t>
      </w:r>
      <w:r>
        <w:rPr>
          <w:iCs/>
          <w:sz w:val="24"/>
          <w:szCs w:val="24"/>
        </w:rPr>
        <w:t xml:space="preserve">financiamentos com do </w:t>
      </w:r>
      <w:r w:rsidRPr="00303593">
        <w:rPr>
          <w:iCs/>
          <w:sz w:val="24"/>
          <w:szCs w:val="24"/>
        </w:rPr>
        <w:t xml:space="preserve">BNDES fossem uma parcela pequena do crédito </w:t>
      </w:r>
      <w:r>
        <w:rPr>
          <w:iCs/>
          <w:sz w:val="24"/>
          <w:szCs w:val="24"/>
        </w:rPr>
        <w:t xml:space="preserve">na </w:t>
      </w:r>
      <w:r w:rsidRPr="00303593">
        <w:rPr>
          <w:iCs/>
          <w:sz w:val="24"/>
          <w:szCs w:val="24"/>
        </w:rPr>
        <w:t>economia</w:t>
      </w:r>
      <w:r>
        <w:rPr>
          <w:iCs/>
          <w:sz w:val="24"/>
          <w:szCs w:val="24"/>
        </w:rPr>
        <w:t xml:space="preserve">. Entretanto, os créditos do BNDES chegaram a representar 50% do total de crédito na economia em </w:t>
      </w:r>
      <w:r w:rsidRPr="00303593">
        <w:rPr>
          <w:iCs/>
          <w:sz w:val="24"/>
          <w:szCs w:val="24"/>
        </w:rPr>
        <w:t>2016</w:t>
      </w:r>
      <w:r>
        <w:rPr>
          <w:iCs/>
          <w:sz w:val="24"/>
          <w:szCs w:val="24"/>
        </w:rPr>
        <w:t xml:space="preserve"> (</w:t>
      </w:r>
      <w:r w:rsidRPr="00303593">
        <w:rPr>
          <w:iCs/>
          <w:sz w:val="24"/>
          <w:szCs w:val="24"/>
        </w:rPr>
        <w:t>Siqueira</w:t>
      </w:r>
      <w:r>
        <w:rPr>
          <w:iCs/>
          <w:sz w:val="24"/>
          <w:szCs w:val="24"/>
        </w:rPr>
        <w:t>, 2017)</w:t>
      </w:r>
      <w:r w:rsidRPr="00303593">
        <w:rPr>
          <w:iCs/>
          <w:sz w:val="24"/>
          <w:szCs w:val="24"/>
        </w:rPr>
        <w:t>.</w:t>
      </w:r>
    </w:p>
    <w:p w14:paraId="008A5010" w14:textId="552E1821" w:rsidR="00B65C62" w:rsidRDefault="00B65C62" w:rsidP="00B65C62">
      <w:pPr>
        <w:ind w:firstLine="360"/>
        <w:jc w:val="both"/>
        <w:rPr>
          <w:i/>
        </w:rPr>
      </w:pPr>
    </w:p>
    <w:p w14:paraId="64608B2B" w14:textId="77777777" w:rsidR="00B65C62" w:rsidRPr="0026142C" w:rsidRDefault="00B65C62" w:rsidP="00B65C62">
      <w:pPr>
        <w:ind w:firstLine="360"/>
        <w:jc w:val="both"/>
        <w:rPr>
          <w:i/>
        </w:rPr>
      </w:pPr>
    </w:p>
    <w:p w14:paraId="63364897" w14:textId="0E516F65" w:rsidR="00303593" w:rsidRPr="005B6AF6" w:rsidRDefault="0030321C" w:rsidP="005B6AF6">
      <w:pPr>
        <w:pStyle w:val="PargrafodaLista"/>
        <w:numPr>
          <w:ilvl w:val="0"/>
          <w:numId w:val="11"/>
        </w:numPr>
        <w:rPr>
          <w:b/>
          <w:sz w:val="24"/>
          <w:szCs w:val="24"/>
        </w:rPr>
      </w:pPr>
      <w:r w:rsidRPr="005B6AF6">
        <w:rPr>
          <w:b/>
          <w:sz w:val="24"/>
          <w:szCs w:val="24"/>
        </w:rPr>
        <w:t>Evolução da</w:t>
      </w:r>
      <w:r w:rsidR="00303593" w:rsidRPr="005B6AF6">
        <w:rPr>
          <w:b/>
          <w:sz w:val="24"/>
          <w:szCs w:val="24"/>
        </w:rPr>
        <w:t>s</w:t>
      </w:r>
      <w:r w:rsidRPr="005B6AF6">
        <w:rPr>
          <w:b/>
          <w:sz w:val="24"/>
          <w:szCs w:val="24"/>
        </w:rPr>
        <w:t xml:space="preserve"> Taxa de Juros </w:t>
      </w:r>
      <w:r w:rsidR="00303593" w:rsidRPr="005B6AF6">
        <w:rPr>
          <w:b/>
          <w:sz w:val="24"/>
          <w:szCs w:val="24"/>
        </w:rPr>
        <w:t>do BNDES</w:t>
      </w:r>
    </w:p>
    <w:p w14:paraId="59376234" w14:textId="6E39869A" w:rsidR="00F30EEF" w:rsidRDefault="00F30EEF" w:rsidP="00F30EEF">
      <w:pPr>
        <w:ind w:firstLine="360"/>
        <w:jc w:val="both"/>
        <w:rPr>
          <w:bCs/>
          <w:sz w:val="24"/>
          <w:szCs w:val="24"/>
        </w:rPr>
      </w:pPr>
      <w:r w:rsidRPr="00F30EEF">
        <w:rPr>
          <w:bCs/>
          <w:sz w:val="24"/>
          <w:szCs w:val="24"/>
        </w:rPr>
        <w:t xml:space="preserve">As taxas de juros </w:t>
      </w:r>
      <w:r>
        <w:rPr>
          <w:bCs/>
          <w:sz w:val="24"/>
          <w:szCs w:val="24"/>
        </w:rPr>
        <w:t xml:space="preserve">representam </w:t>
      </w:r>
      <w:r w:rsidRPr="00F30EEF">
        <w:rPr>
          <w:bCs/>
          <w:sz w:val="24"/>
          <w:szCs w:val="24"/>
        </w:rPr>
        <w:t>o</w:t>
      </w:r>
      <w:r>
        <w:rPr>
          <w:bCs/>
          <w:sz w:val="24"/>
          <w:szCs w:val="24"/>
        </w:rPr>
        <w:t xml:space="preserve"> </w:t>
      </w:r>
      <w:r w:rsidRPr="00F30EEF">
        <w:rPr>
          <w:bCs/>
          <w:sz w:val="24"/>
          <w:szCs w:val="24"/>
        </w:rPr>
        <w:t xml:space="preserve">preço do crédito, </w:t>
      </w:r>
      <w:r>
        <w:rPr>
          <w:bCs/>
          <w:sz w:val="24"/>
          <w:szCs w:val="24"/>
        </w:rPr>
        <w:t xml:space="preserve">ou seja, </w:t>
      </w:r>
      <w:r w:rsidRPr="00F30EEF">
        <w:rPr>
          <w:bCs/>
          <w:sz w:val="24"/>
          <w:szCs w:val="24"/>
        </w:rPr>
        <w:t>a remuneração pela alocação de capital.</w:t>
      </w:r>
      <w:r>
        <w:rPr>
          <w:bCs/>
          <w:sz w:val="24"/>
          <w:szCs w:val="24"/>
        </w:rPr>
        <w:t xml:space="preserve"> As </w:t>
      </w:r>
      <w:r w:rsidRPr="00F30EEF">
        <w:rPr>
          <w:bCs/>
          <w:sz w:val="24"/>
          <w:szCs w:val="24"/>
        </w:rPr>
        <w:t xml:space="preserve">decisões </w:t>
      </w:r>
      <w:r>
        <w:rPr>
          <w:bCs/>
          <w:sz w:val="24"/>
          <w:szCs w:val="24"/>
        </w:rPr>
        <w:t xml:space="preserve">de investimento e expansão </w:t>
      </w:r>
      <w:r w:rsidRPr="00F30EEF">
        <w:rPr>
          <w:bCs/>
          <w:sz w:val="24"/>
          <w:szCs w:val="24"/>
        </w:rPr>
        <w:t xml:space="preserve">dos agentes </w:t>
      </w:r>
      <w:r>
        <w:rPr>
          <w:bCs/>
          <w:sz w:val="24"/>
          <w:szCs w:val="24"/>
        </w:rPr>
        <w:t xml:space="preserve">econômicos leva em consideração as </w:t>
      </w:r>
      <w:r w:rsidRPr="00F30EEF">
        <w:rPr>
          <w:bCs/>
          <w:sz w:val="24"/>
          <w:szCs w:val="24"/>
        </w:rPr>
        <w:t xml:space="preserve">expectativas </w:t>
      </w:r>
      <w:r>
        <w:rPr>
          <w:bCs/>
          <w:sz w:val="24"/>
          <w:szCs w:val="24"/>
        </w:rPr>
        <w:t xml:space="preserve">futuras de mercado, especialmente diante de </w:t>
      </w:r>
      <w:r w:rsidRPr="00F30EEF">
        <w:rPr>
          <w:bCs/>
          <w:sz w:val="24"/>
          <w:szCs w:val="24"/>
        </w:rPr>
        <w:t xml:space="preserve">cenários </w:t>
      </w:r>
      <w:r>
        <w:rPr>
          <w:bCs/>
          <w:sz w:val="24"/>
          <w:szCs w:val="24"/>
        </w:rPr>
        <w:t xml:space="preserve">macroeconômicos </w:t>
      </w:r>
      <w:r w:rsidRPr="00F30EEF">
        <w:rPr>
          <w:bCs/>
          <w:sz w:val="24"/>
          <w:szCs w:val="24"/>
        </w:rPr>
        <w:t xml:space="preserve">instáveis. </w:t>
      </w:r>
      <w:r>
        <w:rPr>
          <w:bCs/>
          <w:sz w:val="24"/>
          <w:szCs w:val="24"/>
        </w:rPr>
        <w:t xml:space="preserve">A escolha entre os tipos de ativos financeiros, de </w:t>
      </w:r>
      <w:r w:rsidRPr="00F30EEF">
        <w:rPr>
          <w:bCs/>
          <w:sz w:val="24"/>
          <w:szCs w:val="24"/>
        </w:rPr>
        <w:t xml:space="preserve">curto e </w:t>
      </w:r>
      <w:r>
        <w:rPr>
          <w:bCs/>
          <w:sz w:val="24"/>
          <w:szCs w:val="24"/>
        </w:rPr>
        <w:t xml:space="preserve">de </w:t>
      </w:r>
      <w:r w:rsidRPr="00F30EEF">
        <w:rPr>
          <w:bCs/>
          <w:sz w:val="24"/>
          <w:szCs w:val="24"/>
        </w:rPr>
        <w:t>longo prazo, guarda</w:t>
      </w:r>
      <w:r>
        <w:rPr>
          <w:bCs/>
          <w:sz w:val="24"/>
          <w:szCs w:val="24"/>
        </w:rPr>
        <w:t xml:space="preserve"> </w:t>
      </w:r>
      <w:r w:rsidRPr="00F30EEF">
        <w:rPr>
          <w:bCs/>
          <w:sz w:val="24"/>
          <w:szCs w:val="24"/>
        </w:rPr>
        <w:t>rela</w:t>
      </w:r>
      <w:r>
        <w:rPr>
          <w:bCs/>
          <w:sz w:val="24"/>
          <w:szCs w:val="24"/>
        </w:rPr>
        <w:t>ção c</w:t>
      </w:r>
      <w:r w:rsidRPr="00F30EEF">
        <w:rPr>
          <w:bCs/>
          <w:sz w:val="24"/>
          <w:szCs w:val="24"/>
        </w:rPr>
        <w:t>om os lucros e as taxas de juros praticadas no mercado</w:t>
      </w:r>
      <w:r>
        <w:rPr>
          <w:bCs/>
          <w:sz w:val="24"/>
          <w:szCs w:val="24"/>
        </w:rPr>
        <w:t xml:space="preserve"> corrente</w:t>
      </w:r>
      <w:r w:rsidRPr="00F30EEF">
        <w:rPr>
          <w:bCs/>
          <w:sz w:val="24"/>
          <w:szCs w:val="24"/>
        </w:rPr>
        <w:t xml:space="preserve">, </w:t>
      </w:r>
      <w:r>
        <w:rPr>
          <w:bCs/>
          <w:sz w:val="24"/>
          <w:szCs w:val="24"/>
        </w:rPr>
        <w:t>e</w:t>
      </w:r>
      <w:r w:rsidRPr="00F30EEF">
        <w:rPr>
          <w:bCs/>
          <w:sz w:val="24"/>
          <w:szCs w:val="24"/>
        </w:rPr>
        <w:t xml:space="preserve"> com os lucros e</w:t>
      </w:r>
      <w:r>
        <w:rPr>
          <w:bCs/>
          <w:sz w:val="24"/>
          <w:szCs w:val="24"/>
        </w:rPr>
        <w:t xml:space="preserve"> </w:t>
      </w:r>
      <w:r w:rsidRPr="00F30EEF">
        <w:rPr>
          <w:bCs/>
          <w:sz w:val="24"/>
          <w:szCs w:val="24"/>
        </w:rPr>
        <w:t>as taxas de juros esperados no futuro.</w:t>
      </w:r>
    </w:p>
    <w:p w14:paraId="2FEDA5D3" w14:textId="339E2120" w:rsidR="00F30EEF" w:rsidRPr="004C0EA9" w:rsidRDefault="004C0EA9" w:rsidP="005B6AF6">
      <w:pPr>
        <w:ind w:firstLine="360"/>
        <w:jc w:val="both"/>
        <w:rPr>
          <w:bCs/>
          <w:sz w:val="24"/>
          <w:szCs w:val="24"/>
        </w:rPr>
      </w:pPr>
      <w:r w:rsidRPr="004C0EA9">
        <w:rPr>
          <w:bCs/>
          <w:sz w:val="24"/>
          <w:szCs w:val="24"/>
        </w:rPr>
        <w:t xml:space="preserve">A </w:t>
      </w:r>
      <w:r w:rsidRPr="004C0EA9">
        <w:rPr>
          <w:bCs/>
          <w:sz w:val="24"/>
          <w:szCs w:val="24"/>
        </w:rPr>
        <w:fldChar w:fldCharType="begin"/>
      </w:r>
      <w:r w:rsidRPr="004C0EA9">
        <w:rPr>
          <w:bCs/>
          <w:sz w:val="24"/>
          <w:szCs w:val="24"/>
        </w:rPr>
        <w:instrText xml:space="preserve"> REF _Ref135036927 \h </w:instrText>
      </w:r>
      <w:r w:rsidRPr="004C0EA9">
        <w:rPr>
          <w:bCs/>
          <w:sz w:val="24"/>
          <w:szCs w:val="24"/>
        </w:rPr>
      </w:r>
      <w:r>
        <w:rPr>
          <w:bCs/>
          <w:sz w:val="24"/>
          <w:szCs w:val="24"/>
        </w:rPr>
        <w:instrText xml:space="preserve"> \* MERGEFORMAT </w:instrText>
      </w:r>
      <w:r w:rsidRPr="004C0EA9">
        <w:rPr>
          <w:bCs/>
          <w:sz w:val="24"/>
          <w:szCs w:val="24"/>
        </w:rPr>
        <w:fldChar w:fldCharType="separate"/>
      </w:r>
      <w:r w:rsidRPr="004C0EA9">
        <w:rPr>
          <w:sz w:val="24"/>
          <w:szCs w:val="24"/>
        </w:rPr>
        <w:t xml:space="preserve">Figura </w:t>
      </w:r>
      <w:r w:rsidRPr="004C0EA9">
        <w:rPr>
          <w:noProof/>
          <w:sz w:val="24"/>
          <w:szCs w:val="24"/>
        </w:rPr>
        <w:t>1</w:t>
      </w:r>
      <w:r w:rsidRPr="004C0EA9">
        <w:rPr>
          <w:bCs/>
          <w:sz w:val="24"/>
          <w:szCs w:val="24"/>
        </w:rPr>
        <w:fldChar w:fldCharType="end"/>
      </w:r>
      <w:r w:rsidRPr="004C0EA9">
        <w:rPr>
          <w:bCs/>
          <w:sz w:val="24"/>
          <w:szCs w:val="24"/>
        </w:rPr>
        <w:t xml:space="preserve"> </w:t>
      </w:r>
      <w:r w:rsidR="00823949" w:rsidRPr="004C0EA9">
        <w:rPr>
          <w:bCs/>
          <w:sz w:val="24"/>
          <w:szCs w:val="24"/>
        </w:rPr>
        <w:t xml:space="preserve">mostra a evolução da taxa Selic nos últimos 20 anos. Após um período de estabilidade entre janeiro de 2011 e dezembro de 2014, vemos uma expansão considerável da taxa Selic até marco de 2017. Após 2019, há uma consistente queda na taxa Selic, atingindo seu limiar de 4,39% mínimo em marco de 2021, quando novamente a taxa Selic volta a crescer para os patamares anteriores a marco de 2019. Por outro lado, a variação a Taxa de Juros de Longo Prazo (TJLP) permanece relativamente indiferente a todas essas variações na taxa Selic, variando entre 0,13% e 1,1% durante todo esse período. Portanto vemos que a taxa de juros </w:t>
      </w:r>
      <w:r w:rsidR="00436599" w:rsidRPr="004C0EA9">
        <w:rPr>
          <w:bCs/>
          <w:sz w:val="24"/>
          <w:szCs w:val="24"/>
        </w:rPr>
        <w:t>de longo prazo permanece fortemente estável, ressaltando a distorção causada pela existência de duas taxas de juros da economia. A introdução da taxa de longo prazo, passou a aproximar as variações nas taxas de juros do BNDES, com as variações de juros da economia, entretanto a níveis mais baixos. Por ser mais sensível às variações da taxa Selic, a utilização da taxa de longo prazo nas operações do BNDES, reforça o poder regulador do Banco Central e diminui distorções de mercado.</w:t>
      </w:r>
    </w:p>
    <w:p w14:paraId="1C186077" w14:textId="77777777" w:rsidR="00F30EEF" w:rsidRDefault="00F30EEF" w:rsidP="00801BE2">
      <w:pPr>
        <w:pStyle w:val="Legenda"/>
        <w:jc w:val="center"/>
        <w:rPr>
          <w:color w:val="auto"/>
        </w:rPr>
      </w:pPr>
    </w:p>
    <w:p w14:paraId="2B2A8A3C" w14:textId="37482061" w:rsidR="00801BE2" w:rsidRPr="005B6AF6" w:rsidRDefault="005B6AF6" w:rsidP="00801BE2">
      <w:pPr>
        <w:pStyle w:val="Legenda"/>
        <w:jc w:val="center"/>
        <w:rPr>
          <w:color w:val="auto"/>
          <w:sz w:val="22"/>
          <w:szCs w:val="22"/>
        </w:rPr>
      </w:pPr>
      <w:bookmarkStart w:id="1" w:name="_Ref135036927"/>
      <w:r w:rsidRPr="005B6AF6">
        <w:rPr>
          <w:color w:val="auto"/>
          <w:sz w:val="22"/>
          <w:szCs w:val="22"/>
        </w:rPr>
        <w:t>Figura</w:t>
      </w:r>
      <w:r w:rsidR="00823949" w:rsidRPr="005B6AF6">
        <w:rPr>
          <w:color w:val="auto"/>
          <w:sz w:val="22"/>
          <w:szCs w:val="22"/>
        </w:rPr>
        <w:t xml:space="preserve"> </w:t>
      </w:r>
      <w:r w:rsidR="00801BE2" w:rsidRPr="005B6AF6">
        <w:rPr>
          <w:color w:val="auto"/>
          <w:sz w:val="22"/>
          <w:szCs w:val="22"/>
        </w:rPr>
        <w:fldChar w:fldCharType="begin"/>
      </w:r>
      <w:r w:rsidR="00801BE2" w:rsidRPr="005B6AF6">
        <w:rPr>
          <w:color w:val="auto"/>
          <w:sz w:val="22"/>
          <w:szCs w:val="22"/>
        </w:rPr>
        <w:instrText xml:space="preserve"> SEQ Figura \* ARABIC </w:instrText>
      </w:r>
      <w:r w:rsidR="00801BE2" w:rsidRPr="005B6AF6">
        <w:rPr>
          <w:color w:val="auto"/>
          <w:sz w:val="22"/>
          <w:szCs w:val="22"/>
        </w:rPr>
        <w:fldChar w:fldCharType="separate"/>
      </w:r>
      <w:r w:rsidR="00801BE2" w:rsidRPr="005B6AF6">
        <w:rPr>
          <w:noProof/>
          <w:color w:val="auto"/>
          <w:sz w:val="22"/>
          <w:szCs w:val="22"/>
        </w:rPr>
        <w:t>1</w:t>
      </w:r>
      <w:r w:rsidR="00801BE2" w:rsidRPr="005B6AF6">
        <w:rPr>
          <w:color w:val="auto"/>
          <w:sz w:val="22"/>
          <w:szCs w:val="22"/>
        </w:rPr>
        <w:fldChar w:fldCharType="end"/>
      </w:r>
      <w:bookmarkEnd w:id="1"/>
      <w:r w:rsidR="00801BE2" w:rsidRPr="005B6AF6">
        <w:rPr>
          <w:color w:val="auto"/>
          <w:sz w:val="22"/>
          <w:szCs w:val="22"/>
        </w:rPr>
        <w:t xml:space="preserve"> – Evolução da Taxa de Juros Selic e Taxa de Juros de Longo Prazo  </w:t>
      </w:r>
    </w:p>
    <w:p w14:paraId="05B240DC" w14:textId="04565B66" w:rsidR="00D4170E" w:rsidRDefault="00436599" w:rsidP="00A16203">
      <w:pPr>
        <w:ind w:firstLine="360"/>
        <w:jc w:val="both"/>
      </w:pPr>
      <w:r>
        <w:rPr>
          <w:noProof/>
        </w:rPr>
        <w:drawing>
          <wp:inline distT="0" distB="0" distL="0" distR="0" wp14:anchorId="7FFD1412" wp14:editId="463DB74D">
            <wp:extent cx="4738124" cy="3383593"/>
            <wp:effectExtent l="0" t="0" r="5715" b="7620"/>
            <wp:docPr id="6" name="Gráfico 6">
              <a:extLst xmlns:a="http://schemas.openxmlformats.org/drawingml/2006/main">
                <a:ext uri="{FF2B5EF4-FFF2-40B4-BE49-F238E27FC236}">
                  <a16:creationId xmlns:a16="http://schemas.microsoft.com/office/drawing/2014/main" id="{FFC5F273-358D-87E5-6375-CC068A566F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87A360" w14:textId="596C6447" w:rsidR="00D4170E" w:rsidRDefault="00D4170E" w:rsidP="00A16203">
      <w:pPr>
        <w:ind w:firstLine="360"/>
        <w:jc w:val="both"/>
      </w:pPr>
    </w:p>
    <w:p w14:paraId="3A83CD07" w14:textId="6D5D6706" w:rsidR="00801BE2" w:rsidRDefault="00801BE2" w:rsidP="00A16203">
      <w:pPr>
        <w:ind w:firstLine="360"/>
        <w:jc w:val="both"/>
      </w:pPr>
    </w:p>
    <w:p w14:paraId="73E27438" w14:textId="1C3C184E" w:rsidR="00D4170E" w:rsidRPr="005B6AF6" w:rsidRDefault="00D4170E" w:rsidP="00D4170E">
      <w:pPr>
        <w:pStyle w:val="Legenda"/>
        <w:jc w:val="center"/>
        <w:rPr>
          <w:color w:val="auto"/>
          <w:sz w:val="22"/>
          <w:szCs w:val="22"/>
        </w:rPr>
      </w:pPr>
      <w:r w:rsidRPr="005B6AF6">
        <w:rPr>
          <w:color w:val="auto"/>
          <w:sz w:val="22"/>
          <w:szCs w:val="22"/>
        </w:rPr>
        <w:t xml:space="preserve">Figura </w:t>
      </w:r>
      <w:r w:rsidRPr="005B6AF6">
        <w:rPr>
          <w:color w:val="auto"/>
          <w:sz w:val="22"/>
          <w:szCs w:val="22"/>
        </w:rPr>
        <w:fldChar w:fldCharType="begin"/>
      </w:r>
      <w:r w:rsidRPr="005B6AF6">
        <w:rPr>
          <w:color w:val="auto"/>
          <w:sz w:val="22"/>
          <w:szCs w:val="22"/>
        </w:rPr>
        <w:instrText xml:space="preserve"> SEQ Figura \* ARABIC </w:instrText>
      </w:r>
      <w:r w:rsidRPr="005B6AF6">
        <w:rPr>
          <w:color w:val="auto"/>
          <w:sz w:val="22"/>
          <w:szCs w:val="22"/>
        </w:rPr>
        <w:fldChar w:fldCharType="separate"/>
      </w:r>
      <w:r w:rsidR="009B6356">
        <w:rPr>
          <w:noProof/>
          <w:color w:val="auto"/>
          <w:sz w:val="22"/>
          <w:szCs w:val="22"/>
        </w:rPr>
        <w:t>2</w:t>
      </w:r>
      <w:r w:rsidRPr="005B6AF6">
        <w:rPr>
          <w:color w:val="auto"/>
          <w:sz w:val="22"/>
          <w:szCs w:val="22"/>
        </w:rPr>
        <w:fldChar w:fldCharType="end"/>
      </w:r>
      <w:r w:rsidRPr="005B6AF6">
        <w:rPr>
          <w:color w:val="auto"/>
          <w:sz w:val="22"/>
          <w:szCs w:val="22"/>
        </w:rPr>
        <w:t xml:space="preserve"> – Taxa Média Mensal de Juros nas Operações de Financiamento do BNDES – Recurso Direcionados </w:t>
      </w:r>
    </w:p>
    <w:p w14:paraId="612EC531" w14:textId="4D165E09" w:rsidR="00D4170E" w:rsidRDefault="00436599" w:rsidP="00A16203">
      <w:pPr>
        <w:ind w:firstLine="360"/>
        <w:jc w:val="both"/>
      </w:pPr>
      <w:r>
        <w:rPr>
          <w:noProof/>
        </w:rPr>
        <w:drawing>
          <wp:inline distT="0" distB="0" distL="0" distR="0" wp14:anchorId="1E3AF97B" wp14:editId="4E7E2AF0">
            <wp:extent cx="4776716" cy="3176366"/>
            <wp:effectExtent l="0" t="0" r="508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5900" cy="3195772"/>
                    </a:xfrm>
                    <a:prstGeom prst="rect">
                      <a:avLst/>
                    </a:prstGeom>
                    <a:noFill/>
                  </pic:spPr>
                </pic:pic>
              </a:graphicData>
            </a:graphic>
          </wp:inline>
        </w:drawing>
      </w:r>
    </w:p>
    <w:p w14:paraId="057ADA56" w14:textId="59421F04" w:rsidR="00D4170E" w:rsidRDefault="00D4170E" w:rsidP="00A16203">
      <w:pPr>
        <w:ind w:firstLine="360"/>
        <w:jc w:val="both"/>
      </w:pPr>
    </w:p>
    <w:p w14:paraId="58ACB086" w14:textId="73FCD6E0" w:rsidR="00436599" w:rsidRDefault="00436599" w:rsidP="00A16203">
      <w:pPr>
        <w:ind w:firstLine="360"/>
        <w:jc w:val="both"/>
      </w:pPr>
    </w:p>
    <w:p w14:paraId="7B2C8783" w14:textId="5356C7A7" w:rsidR="00436599" w:rsidRPr="005B6AF6" w:rsidRDefault="00C316F6" w:rsidP="00C316F6">
      <w:pPr>
        <w:ind w:firstLine="360"/>
        <w:jc w:val="both"/>
        <w:rPr>
          <w:sz w:val="24"/>
          <w:szCs w:val="24"/>
        </w:rPr>
      </w:pPr>
      <w:r w:rsidRPr="005B6AF6">
        <w:rPr>
          <w:sz w:val="24"/>
          <w:szCs w:val="24"/>
        </w:rPr>
        <w:t>O gráfico acima mostra a evolução da taxa de juros praticada nos financiamentos do BNDES nos últimos 20 anos. Observamos que no período mais recente, as variações parecem acompanhar mais de perto as variações na taxa Selic, refletindo a substituição da taxa de juros de longo prazo (TJLP) pela taxa de longo prazo (TLP)</w:t>
      </w:r>
      <w:r w:rsidR="00F47013" w:rsidRPr="005B6AF6">
        <w:rPr>
          <w:sz w:val="24"/>
          <w:szCs w:val="24"/>
        </w:rPr>
        <w:t xml:space="preserve">. Os juros cobrados de pessoas jurídicas são ligeiramente mais elevados que os juros cobrados de pessoas físicas. Os financiamentos agroindustriais, tanto para pessoas físicas como jurídicas, possuem taxas de juros ligeiramente menores que os demais financiamentos. </w:t>
      </w:r>
    </w:p>
    <w:p w14:paraId="1BA9FC40" w14:textId="77777777" w:rsidR="009B6356" w:rsidRDefault="009B6356" w:rsidP="009B6356">
      <w:pPr>
        <w:pStyle w:val="Legenda"/>
        <w:jc w:val="center"/>
        <w:rPr>
          <w:color w:val="auto"/>
          <w:sz w:val="22"/>
          <w:szCs w:val="22"/>
        </w:rPr>
      </w:pPr>
    </w:p>
    <w:p w14:paraId="06750023" w14:textId="4BF3FD27" w:rsidR="009B6356" w:rsidRPr="005B6AF6" w:rsidRDefault="009B6356" w:rsidP="009B6356">
      <w:pPr>
        <w:pStyle w:val="Legenda"/>
        <w:jc w:val="center"/>
        <w:rPr>
          <w:color w:val="auto"/>
          <w:sz w:val="22"/>
          <w:szCs w:val="22"/>
        </w:rPr>
      </w:pPr>
      <w:r w:rsidRPr="005B6AF6">
        <w:rPr>
          <w:color w:val="auto"/>
          <w:sz w:val="22"/>
          <w:szCs w:val="22"/>
        </w:rPr>
        <w:t xml:space="preserve">Figura </w:t>
      </w:r>
      <w:r w:rsidRPr="005B6AF6">
        <w:rPr>
          <w:color w:val="auto"/>
          <w:sz w:val="22"/>
          <w:szCs w:val="22"/>
        </w:rPr>
        <w:fldChar w:fldCharType="begin"/>
      </w:r>
      <w:r w:rsidRPr="005B6AF6">
        <w:rPr>
          <w:color w:val="auto"/>
          <w:sz w:val="22"/>
          <w:szCs w:val="22"/>
        </w:rPr>
        <w:instrText xml:space="preserve"> SEQ Figura \* ARABIC </w:instrText>
      </w:r>
      <w:r w:rsidRPr="005B6AF6">
        <w:rPr>
          <w:color w:val="auto"/>
          <w:sz w:val="22"/>
          <w:szCs w:val="22"/>
        </w:rPr>
        <w:fldChar w:fldCharType="separate"/>
      </w:r>
      <w:r>
        <w:rPr>
          <w:noProof/>
          <w:color w:val="auto"/>
          <w:sz w:val="22"/>
          <w:szCs w:val="22"/>
        </w:rPr>
        <w:t>3</w:t>
      </w:r>
      <w:r w:rsidRPr="005B6AF6">
        <w:rPr>
          <w:color w:val="auto"/>
          <w:sz w:val="22"/>
          <w:szCs w:val="22"/>
        </w:rPr>
        <w:fldChar w:fldCharType="end"/>
      </w:r>
      <w:r w:rsidRPr="005B6AF6">
        <w:rPr>
          <w:color w:val="auto"/>
          <w:sz w:val="22"/>
          <w:szCs w:val="22"/>
        </w:rPr>
        <w:t xml:space="preserve"> – </w:t>
      </w:r>
      <w:r>
        <w:rPr>
          <w:color w:val="auto"/>
          <w:sz w:val="22"/>
          <w:szCs w:val="22"/>
        </w:rPr>
        <w:t xml:space="preserve">Saldo da Carteira de Crédito: Recursos Livres e Direcionados </w:t>
      </w:r>
      <w:r w:rsidRPr="005B6AF6">
        <w:rPr>
          <w:color w:val="auto"/>
          <w:sz w:val="22"/>
          <w:szCs w:val="22"/>
        </w:rPr>
        <w:t xml:space="preserve"> </w:t>
      </w:r>
    </w:p>
    <w:p w14:paraId="24913CAE" w14:textId="109E5F27" w:rsidR="00D03B44" w:rsidRDefault="00016F98" w:rsidP="004B1480">
      <w:pPr>
        <w:ind w:firstLine="360"/>
      </w:pPr>
      <w:r>
        <w:rPr>
          <w:noProof/>
        </w:rPr>
        <w:drawing>
          <wp:inline distT="0" distB="0" distL="0" distR="0" wp14:anchorId="40516E31" wp14:editId="16CE879A">
            <wp:extent cx="5329451" cy="3029524"/>
            <wp:effectExtent l="0" t="0" r="508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7532" cy="3039802"/>
                    </a:xfrm>
                    <a:prstGeom prst="rect">
                      <a:avLst/>
                    </a:prstGeom>
                    <a:noFill/>
                  </pic:spPr>
                </pic:pic>
              </a:graphicData>
            </a:graphic>
          </wp:inline>
        </w:drawing>
      </w:r>
    </w:p>
    <w:p w14:paraId="5563EFF4" w14:textId="5154E9ED" w:rsidR="004B1480" w:rsidRDefault="004B1480" w:rsidP="004B1480">
      <w:pPr>
        <w:ind w:firstLine="360"/>
        <w:rPr>
          <w:sz w:val="24"/>
          <w:szCs w:val="24"/>
        </w:rPr>
      </w:pPr>
    </w:p>
    <w:p w14:paraId="50041B84" w14:textId="6852ABE7" w:rsidR="00D72EC7" w:rsidRDefault="00EC55F9" w:rsidP="00EC55F9">
      <w:pPr>
        <w:tabs>
          <w:tab w:val="left" w:pos="2063"/>
        </w:tabs>
        <w:ind w:firstLine="360"/>
      </w:pPr>
      <w:r>
        <w:tab/>
      </w:r>
    </w:p>
    <w:p w14:paraId="12C93F30" w14:textId="547F2263" w:rsidR="00454D68" w:rsidRPr="00F173E9" w:rsidRDefault="009337B4" w:rsidP="005B6AF6">
      <w:pPr>
        <w:pStyle w:val="PargrafodaLista"/>
        <w:numPr>
          <w:ilvl w:val="0"/>
          <w:numId w:val="11"/>
        </w:numPr>
        <w:rPr>
          <w:b/>
          <w:sz w:val="24"/>
          <w:szCs w:val="24"/>
        </w:rPr>
      </w:pPr>
      <w:r>
        <w:rPr>
          <w:b/>
          <w:sz w:val="24"/>
          <w:szCs w:val="24"/>
        </w:rPr>
        <w:t xml:space="preserve">Custo Financeiro </w:t>
      </w:r>
    </w:p>
    <w:p w14:paraId="6194961E" w14:textId="32E41876" w:rsidR="00D72EC7" w:rsidRPr="00D72EC7" w:rsidRDefault="00D72EC7" w:rsidP="001107BC">
      <w:pPr>
        <w:ind w:firstLine="360"/>
        <w:jc w:val="both"/>
        <w:rPr>
          <w:sz w:val="24"/>
          <w:szCs w:val="24"/>
        </w:rPr>
      </w:pPr>
      <w:r w:rsidRPr="00D72EC7">
        <w:rPr>
          <w:sz w:val="24"/>
          <w:szCs w:val="24"/>
        </w:rPr>
        <w:t>A taxa de juros praticada pelo BNDES em suas operações de concessão de crédito é</w:t>
      </w:r>
      <w:r w:rsidR="001107BC">
        <w:rPr>
          <w:sz w:val="24"/>
          <w:szCs w:val="24"/>
        </w:rPr>
        <w:t xml:space="preserve"> </w:t>
      </w:r>
      <w:r w:rsidRPr="00D72EC7">
        <w:rPr>
          <w:sz w:val="24"/>
          <w:szCs w:val="24"/>
        </w:rPr>
        <w:t>composta por três fatores fundamentais. O primeiro diz respeito ao custo financeiro</w:t>
      </w:r>
      <w:r w:rsidR="001107BC">
        <w:rPr>
          <w:sz w:val="24"/>
          <w:szCs w:val="24"/>
        </w:rPr>
        <w:t xml:space="preserve"> </w:t>
      </w:r>
      <w:r w:rsidRPr="00D72EC7">
        <w:rPr>
          <w:sz w:val="24"/>
          <w:szCs w:val="24"/>
        </w:rPr>
        <w:t>de captação praticado em suas diversas fontes de recursos. Outro componente é a</w:t>
      </w:r>
      <w:r w:rsidR="001107BC">
        <w:rPr>
          <w:sz w:val="24"/>
          <w:szCs w:val="24"/>
        </w:rPr>
        <w:t xml:space="preserve"> </w:t>
      </w:r>
      <w:r w:rsidRPr="00D72EC7">
        <w:rPr>
          <w:sz w:val="24"/>
          <w:szCs w:val="24"/>
        </w:rPr>
        <w:t>remuneração do banco, inclusive comissões e encargos, voltadas ao atendimento dos</w:t>
      </w:r>
      <w:r w:rsidR="001107BC">
        <w:rPr>
          <w:sz w:val="24"/>
          <w:szCs w:val="24"/>
        </w:rPr>
        <w:t xml:space="preserve"> </w:t>
      </w:r>
      <w:r w:rsidRPr="00D72EC7">
        <w:rPr>
          <w:sz w:val="24"/>
          <w:szCs w:val="24"/>
        </w:rPr>
        <w:t>seus custos operacionais e à remuneração dos serviços prestados nas diversas linhas</w:t>
      </w:r>
      <w:r w:rsidR="001107BC">
        <w:rPr>
          <w:sz w:val="24"/>
          <w:szCs w:val="24"/>
        </w:rPr>
        <w:t xml:space="preserve"> </w:t>
      </w:r>
      <w:r w:rsidRPr="00D72EC7">
        <w:rPr>
          <w:sz w:val="24"/>
          <w:szCs w:val="24"/>
        </w:rPr>
        <w:t>de financiamento. Um terceiro elemento diz respeito à taxa de cobertura de risco de</w:t>
      </w:r>
      <w:r w:rsidR="001107BC">
        <w:rPr>
          <w:sz w:val="24"/>
          <w:szCs w:val="24"/>
        </w:rPr>
        <w:t xml:space="preserve"> </w:t>
      </w:r>
      <w:r w:rsidRPr="00D72EC7">
        <w:rPr>
          <w:sz w:val="24"/>
          <w:szCs w:val="24"/>
        </w:rPr>
        <w:t>crédito assumido nas operações de financiamento direto, aquelas realizadas pelo banco.</w:t>
      </w:r>
    </w:p>
    <w:p w14:paraId="13C7196B" w14:textId="02EEFED8" w:rsidR="00D72EC7" w:rsidRPr="00D72EC7" w:rsidRDefault="00D72EC7" w:rsidP="004C0EA9">
      <w:pPr>
        <w:ind w:firstLine="360"/>
        <w:jc w:val="both"/>
        <w:rPr>
          <w:sz w:val="24"/>
          <w:szCs w:val="24"/>
        </w:rPr>
      </w:pPr>
      <w:r w:rsidRPr="00D72EC7">
        <w:rPr>
          <w:sz w:val="24"/>
          <w:szCs w:val="24"/>
        </w:rPr>
        <w:t>Como o banco mobiliza capital primordialmente por acesso a mecanismos</w:t>
      </w:r>
      <w:r w:rsidR="001107BC">
        <w:rPr>
          <w:sz w:val="24"/>
          <w:szCs w:val="24"/>
        </w:rPr>
        <w:t xml:space="preserve"> </w:t>
      </w:r>
      <w:r w:rsidRPr="00D72EC7">
        <w:rPr>
          <w:sz w:val="24"/>
          <w:szCs w:val="24"/>
        </w:rPr>
        <w:t xml:space="preserve">de poupança compulsória de natureza fiscal ou parafiscal, essas fontes possuem </w:t>
      </w:r>
      <w:r w:rsidRPr="00D72EC7">
        <w:rPr>
          <w:sz w:val="24"/>
          <w:szCs w:val="24"/>
        </w:rPr>
        <w:lastRenderedPageBreak/>
        <w:t>importância</w:t>
      </w:r>
      <w:r w:rsidR="001107BC">
        <w:rPr>
          <w:sz w:val="24"/>
          <w:szCs w:val="24"/>
        </w:rPr>
        <w:t xml:space="preserve"> </w:t>
      </w:r>
      <w:r w:rsidRPr="00D72EC7">
        <w:rPr>
          <w:sz w:val="24"/>
          <w:szCs w:val="24"/>
        </w:rPr>
        <w:t xml:space="preserve">expressiva na formação das taxas de juros praticadas nos serviços financeiros ofertados. Portanto, mudanças na metodologia de apuração da taxa de remuneração. </w:t>
      </w:r>
    </w:p>
    <w:p w14:paraId="27E49FBF" w14:textId="2847E72C" w:rsidR="00454D68" w:rsidRDefault="00454D68" w:rsidP="00351FD5">
      <w:pPr>
        <w:pStyle w:val="Legenda"/>
        <w:spacing w:after="120"/>
        <w:rPr>
          <w:color w:val="auto"/>
          <w:sz w:val="22"/>
          <w:szCs w:val="22"/>
        </w:rPr>
      </w:pPr>
      <w:bookmarkStart w:id="2" w:name="_Ref129964273"/>
      <w:r w:rsidRPr="003A5166">
        <w:rPr>
          <w:color w:val="auto"/>
          <w:sz w:val="22"/>
          <w:szCs w:val="22"/>
        </w:rPr>
        <w:t xml:space="preserve">Tabela </w:t>
      </w:r>
      <w:r w:rsidRPr="003A5166">
        <w:rPr>
          <w:color w:val="auto"/>
          <w:sz w:val="22"/>
          <w:szCs w:val="22"/>
        </w:rPr>
        <w:fldChar w:fldCharType="begin"/>
      </w:r>
      <w:r w:rsidRPr="003A5166">
        <w:rPr>
          <w:color w:val="auto"/>
          <w:sz w:val="22"/>
          <w:szCs w:val="22"/>
        </w:rPr>
        <w:instrText xml:space="preserve"> SEQ Tabela \* ARABIC </w:instrText>
      </w:r>
      <w:r w:rsidRPr="003A5166">
        <w:rPr>
          <w:color w:val="auto"/>
          <w:sz w:val="22"/>
          <w:szCs w:val="22"/>
        </w:rPr>
        <w:fldChar w:fldCharType="separate"/>
      </w:r>
      <w:r w:rsidR="003A5166" w:rsidRPr="003A5166">
        <w:rPr>
          <w:noProof/>
          <w:color w:val="auto"/>
          <w:sz w:val="22"/>
          <w:szCs w:val="22"/>
        </w:rPr>
        <w:t>5</w:t>
      </w:r>
      <w:r w:rsidRPr="003A5166">
        <w:rPr>
          <w:color w:val="auto"/>
          <w:sz w:val="22"/>
          <w:szCs w:val="22"/>
        </w:rPr>
        <w:fldChar w:fldCharType="end"/>
      </w:r>
      <w:bookmarkEnd w:id="2"/>
      <w:r w:rsidRPr="003A5166">
        <w:rPr>
          <w:color w:val="auto"/>
          <w:sz w:val="22"/>
          <w:szCs w:val="22"/>
        </w:rPr>
        <w:t xml:space="preserve"> – Tabela</w:t>
      </w:r>
      <w:r w:rsidR="00D72EC7">
        <w:rPr>
          <w:color w:val="auto"/>
          <w:sz w:val="22"/>
          <w:szCs w:val="22"/>
        </w:rPr>
        <w:t xml:space="preserve"> de Custos Financeiros do BNDES</w:t>
      </w:r>
    </w:p>
    <w:tbl>
      <w:tblPr>
        <w:tblW w:w="8195"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820"/>
        <w:gridCol w:w="2341"/>
        <w:gridCol w:w="1195"/>
        <w:gridCol w:w="2839"/>
      </w:tblGrid>
      <w:tr w:rsidR="009337B4" w:rsidRPr="009337B4" w14:paraId="6CBDA0C0" w14:textId="77777777" w:rsidTr="009337B4">
        <w:trPr>
          <w:trHeight w:val="300"/>
          <w:jc w:val="center"/>
        </w:trPr>
        <w:tc>
          <w:tcPr>
            <w:tcW w:w="1820" w:type="dxa"/>
            <w:tcBorders>
              <w:top w:val="single" w:sz="4" w:space="0" w:color="auto"/>
              <w:bottom w:val="single" w:sz="4" w:space="0" w:color="auto"/>
            </w:tcBorders>
            <w:shd w:val="clear" w:color="auto" w:fill="auto"/>
            <w:noWrap/>
            <w:vAlign w:val="center"/>
            <w:hideMark/>
          </w:tcPr>
          <w:p w14:paraId="4A94BEDF" w14:textId="4F8B72EC"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Custo Financeiro</w:t>
            </w:r>
          </w:p>
        </w:tc>
        <w:tc>
          <w:tcPr>
            <w:tcW w:w="2341" w:type="dxa"/>
            <w:tcBorders>
              <w:top w:val="single" w:sz="4" w:space="0" w:color="auto"/>
              <w:bottom w:val="single" w:sz="4" w:space="0" w:color="auto"/>
            </w:tcBorders>
            <w:shd w:val="clear" w:color="auto" w:fill="auto"/>
            <w:noWrap/>
            <w:vAlign w:val="center"/>
            <w:hideMark/>
          </w:tcPr>
          <w:p w14:paraId="476B563D" w14:textId="0D26251B" w:rsidR="009337B4" w:rsidRPr="009337B4" w:rsidRDefault="009337B4" w:rsidP="009337B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Tipo de Financiamento</w:t>
            </w:r>
          </w:p>
        </w:tc>
        <w:tc>
          <w:tcPr>
            <w:tcW w:w="1195" w:type="dxa"/>
            <w:tcBorders>
              <w:top w:val="single" w:sz="4" w:space="0" w:color="auto"/>
              <w:bottom w:val="single" w:sz="4" w:space="0" w:color="auto"/>
            </w:tcBorders>
            <w:shd w:val="clear" w:color="auto" w:fill="auto"/>
            <w:noWrap/>
            <w:vAlign w:val="center"/>
            <w:hideMark/>
          </w:tcPr>
          <w:p w14:paraId="7BD84B35" w14:textId="192FD8C7" w:rsidR="009337B4" w:rsidRPr="009337B4" w:rsidRDefault="009337B4" w:rsidP="009337B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Quantidade</w:t>
            </w:r>
          </w:p>
        </w:tc>
        <w:tc>
          <w:tcPr>
            <w:tcW w:w="2839" w:type="dxa"/>
            <w:tcBorders>
              <w:top w:val="single" w:sz="4" w:space="0" w:color="auto"/>
              <w:bottom w:val="single" w:sz="4" w:space="0" w:color="auto"/>
            </w:tcBorders>
            <w:shd w:val="clear" w:color="auto" w:fill="auto"/>
            <w:noWrap/>
            <w:vAlign w:val="center"/>
            <w:hideMark/>
          </w:tcPr>
          <w:p w14:paraId="33CA236B" w14:textId="4D92A08D" w:rsidR="009337B4" w:rsidRPr="009337B4" w:rsidRDefault="009337B4" w:rsidP="009337B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Valor Total dos Contratos</w:t>
            </w:r>
          </w:p>
        </w:tc>
      </w:tr>
      <w:tr w:rsidR="009337B4" w:rsidRPr="009337B4" w14:paraId="0B0B3B72" w14:textId="77777777" w:rsidTr="009337B4">
        <w:trPr>
          <w:trHeight w:val="300"/>
          <w:jc w:val="center"/>
        </w:trPr>
        <w:tc>
          <w:tcPr>
            <w:tcW w:w="1820" w:type="dxa"/>
            <w:tcBorders>
              <w:top w:val="single" w:sz="4" w:space="0" w:color="auto"/>
            </w:tcBorders>
            <w:shd w:val="clear" w:color="auto" w:fill="auto"/>
            <w:noWrap/>
            <w:vAlign w:val="center"/>
            <w:hideMark/>
          </w:tcPr>
          <w:p w14:paraId="41CCE0A2"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TLP</w:t>
            </w:r>
          </w:p>
        </w:tc>
        <w:tc>
          <w:tcPr>
            <w:tcW w:w="2341" w:type="dxa"/>
            <w:tcBorders>
              <w:top w:val="single" w:sz="4" w:space="0" w:color="auto"/>
            </w:tcBorders>
            <w:shd w:val="clear" w:color="auto" w:fill="auto"/>
            <w:noWrap/>
            <w:vAlign w:val="center"/>
            <w:hideMark/>
          </w:tcPr>
          <w:p w14:paraId="6BD27C7E" w14:textId="6CAA9FE4" w:rsidR="009337B4" w:rsidRPr="009337B4" w:rsidRDefault="009337B4" w:rsidP="009337B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Operações Indiretas</w:t>
            </w:r>
          </w:p>
        </w:tc>
        <w:tc>
          <w:tcPr>
            <w:tcW w:w="1195" w:type="dxa"/>
            <w:tcBorders>
              <w:top w:val="single" w:sz="4" w:space="0" w:color="auto"/>
            </w:tcBorders>
            <w:shd w:val="clear" w:color="auto" w:fill="auto"/>
            <w:noWrap/>
            <w:vAlign w:val="center"/>
            <w:hideMark/>
          </w:tcPr>
          <w:p w14:paraId="04FEDF38"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82192</w:t>
            </w:r>
          </w:p>
        </w:tc>
        <w:tc>
          <w:tcPr>
            <w:tcW w:w="2839" w:type="dxa"/>
            <w:tcBorders>
              <w:top w:val="single" w:sz="4" w:space="0" w:color="auto"/>
            </w:tcBorders>
            <w:shd w:val="clear" w:color="auto" w:fill="auto"/>
            <w:noWrap/>
            <w:vAlign w:val="center"/>
            <w:hideMark/>
          </w:tcPr>
          <w:p w14:paraId="40C61B1F" w14:textId="048609CA"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35.405.587.592</w:t>
            </w:r>
          </w:p>
        </w:tc>
      </w:tr>
      <w:tr w:rsidR="009337B4" w:rsidRPr="009337B4" w14:paraId="2863475F" w14:textId="77777777" w:rsidTr="009337B4">
        <w:trPr>
          <w:trHeight w:val="300"/>
          <w:jc w:val="center"/>
        </w:trPr>
        <w:tc>
          <w:tcPr>
            <w:tcW w:w="1820" w:type="dxa"/>
            <w:shd w:val="clear" w:color="auto" w:fill="auto"/>
            <w:noWrap/>
            <w:vAlign w:val="center"/>
            <w:hideMark/>
          </w:tcPr>
          <w:p w14:paraId="48F44D52"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SELIC</w:t>
            </w:r>
          </w:p>
        </w:tc>
        <w:tc>
          <w:tcPr>
            <w:tcW w:w="2341" w:type="dxa"/>
            <w:shd w:val="clear" w:color="auto" w:fill="auto"/>
            <w:noWrap/>
            <w:vAlign w:val="center"/>
            <w:hideMark/>
          </w:tcPr>
          <w:p w14:paraId="5F471283" w14:textId="59016FD7" w:rsidR="009337B4" w:rsidRPr="009337B4" w:rsidRDefault="009337B4" w:rsidP="009337B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Operações Indiretas</w:t>
            </w:r>
          </w:p>
        </w:tc>
        <w:tc>
          <w:tcPr>
            <w:tcW w:w="1195" w:type="dxa"/>
            <w:shd w:val="clear" w:color="auto" w:fill="auto"/>
            <w:noWrap/>
            <w:vAlign w:val="center"/>
            <w:hideMark/>
          </w:tcPr>
          <w:p w14:paraId="449E0F9F"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68031</w:t>
            </w:r>
          </w:p>
        </w:tc>
        <w:tc>
          <w:tcPr>
            <w:tcW w:w="2839" w:type="dxa"/>
            <w:shd w:val="clear" w:color="auto" w:fill="auto"/>
            <w:noWrap/>
            <w:vAlign w:val="center"/>
            <w:hideMark/>
          </w:tcPr>
          <w:p w14:paraId="7ECA0D0A" w14:textId="13849235"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34.630.556.365</w:t>
            </w:r>
          </w:p>
        </w:tc>
      </w:tr>
      <w:tr w:rsidR="009337B4" w:rsidRPr="009337B4" w14:paraId="7A8B2648" w14:textId="77777777" w:rsidTr="009337B4">
        <w:trPr>
          <w:trHeight w:val="300"/>
          <w:jc w:val="center"/>
        </w:trPr>
        <w:tc>
          <w:tcPr>
            <w:tcW w:w="1820" w:type="dxa"/>
            <w:shd w:val="clear" w:color="auto" w:fill="auto"/>
            <w:noWrap/>
            <w:vAlign w:val="center"/>
            <w:hideMark/>
          </w:tcPr>
          <w:p w14:paraId="03B5E267"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TAXA FIXA</w:t>
            </w:r>
          </w:p>
        </w:tc>
        <w:tc>
          <w:tcPr>
            <w:tcW w:w="2341" w:type="dxa"/>
            <w:shd w:val="clear" w:color="auto" w:fill="auto"/>
            <w:noWrap/>
            <w:vAlign w:val="center"/>
            <w:hideMark/>
          </w:tcPr>
          <w:p w14:paraId="73BB498E" w14:textId="6F2632B1" w:rsidR="009337B4" w:rsidRPr="009337B4" w:rsidRDefault="009337B4" w:rsidP="009337B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Operações Indiretas</w:t>
            </w:r>
          </w:p>
        </w:tc>
        <w:tc>
          <w:tcPr>
            <w:tcW w:w="1195" w:type="dxa"/>
            <w:shd w:val="clear" w:color="auto" w:fill="auto"/>
            <w:noWrap/>
            <w:vAlign w:val="center"/>
            <w:hideMark/>
          </w:tcPr>
          <w:p w14:paraId="7301B901"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63285</w:t>
            </w:r>
          </w:p>
        </w:tc>
        <w:tc>
          <w:tcPr>
            <w:tcW w:w="2839" w:type="dxa"/>
            <w:shd w:val="clear" w:color="auto" w:fill="auto"/>
            <w:noWrap/>
            <w:vAlign w:val="center"/>
            <w:hideMark/>
          </w:tcPr>
          <w:p w14:paraId="24235546" w14:textId="26B54182"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31.383.360.091</w:t>
            </w:r>
          </w:p>
        </w:tc>
      </w:tr>
      <w:tr w:rsidR="009337B4" w:rsidRPr="009337B4" w14:paraId="78319FBD" w14:textId="77777777" w:rsidTr="009337B4">
        <w:trPr>
          <w:trHeight w:val="300"/>
          <w:jc w:val="center"/>
        </w:trPr>
        <w:tc>
          <w:tcPr>
            <w:tcW w:w="1820" w:type="dxa"/>
            <w:shd w:val="clear" w:color="auto" w:fill="auto"/>
            <w:noWrap/>
            <w:vAlign w:val="center"/>
            <w:hideMark/>
          </w:tcPr>
          <w:p w14:paraId="47489FC7"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TJLP</w:t>
            </w:r>
          </w:p>
        </w:tc>
        <w:tc>
          <w:tcPr>
            <w:tcW w:w="2341" w:type="dxa"/>
            <w:shd w:val="clear" w:color="auto" w:fill="auto"/>
            <w:noWrap/>
            <w:vAlign w:val="center"/>
            <w:hideMark/>
          </w:tcPr>
          <w:p w14:paraId="48266671" w14:textId="1C21B85E" w:rsidR="009337B4" w:rsidRPr="009337B4" w:rsidRDefault="009337B4" w:rsidP="009337B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Operações Indiretas</w:t>
            </w:r>
          </w:p>
        </w:tc>
        <w:tc>
          <w:tcPr>
            <w:tcW w:w="1195" w:type="dxa"/>
            <w:shd w:val="clear" w:color="auto" w:fill="auto"/>
            <w:noWrap/>
            <w:vAlign w:val="center"/>
            <w:hideMark/>
          </w:tcPr>
          <w:p w14:paraId="0434CC07"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55523</w:t>
            </w:r>
          </w:p>
        </w:tc>
        <w:tc>
          <w:tcPr>
            <w:tcW w:w="2839" w:type="dxa"/>
            <w:shd w:val="clear" w:color="auto" w:fill="auto"/>
            <w:noWrap/>
            <w:vAlign w:val="center"/>
            <w:hideMark/>
          </w:tcPr>
          <w:p w14:paraId="7883ED40" w14:textId="73079265"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19.883.502.247</w:t>
            </w:r>
          </w:p>
        </w:tc>
      </w:tr>
      <w:tr w:rsidR="009337B4" w:rsidRPr="009337B4" w14:paraId="76018876" w14:textId="77777777" w:rsidTr="009337B4">
        <w:trPr>
          <w:trHeight w:val="300"/>
          <w:jc w:val="center"/>
        </w:trPr>
        <w:tc>
          <w:tcPr>
            <w:tcW w:w="1820" w:type="dxa"/>
            <w:shd w:val="clear" w:color="auto" w:fill="auto"/>
            <w:noWrap/>
            <w:vAlign w:val="center"/>
            <w:hideMark/>
          </w:tcPr>
          <w:p w14:paraId="22CA20A7"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US$ / CESTA</w:t>
            </w:r>
          </w:p>
        </w:tc>
        <w:tc>
          <w:tcPr>
            <w:tcW w:w="2341" w:type="dxa"/>
            <w:shd w:val="clear" w:color="auto" w:fill="auto"/>
            <w:noWrap/>
            <w:vAlign w:val="center"/>
            <w:hideMark/>
          </w:tcPr>
          <w:p w14:paraId="3F537E69" w14:textId="35543744" w:rsidR="009337B4" w:rsidRPr="009337B4" w:rsidRDefault="009337B4" w:rsidP="009337B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Operações Indiretas</w:t>
            </w:r>
          </w:p>
        </w:tc>
        <w:tc>
          <w:tcPr>
            <w:tcW w:w="1195" w:type="dxa"/>
            <w:shd w:val="clear" w:color="auto" w:fill="auto"/>
            <w:noWrap/>
            <w:vAlign w:val="center"/>
            <w:hideMark/>
          </w:tcPr>
          <w:p w14:paraId="01255086"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68</w:t>
            </w:r>
          </w:p>
        </w:tc>
        <w:tc>
          <w:tcPr>
            <w:tcW w:w="2839" w:type="dxa"/>
            <w:shd w:val="clear" w:color="auto" w:fill="auto"/>
            <w:noWrap/>
            <w:vAlign w:val="center"/>
            <w:hideMark/>
          </w:tcPr>
          <w:p w14:paraId="0F8ED802" w14:textId="73552B38"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10.962.925</w:t>
            </w:r>
          </w:p>
        </w:tc>
      </w:tr>
      <w:tr w:rsidR="009337B4" w:rsidRPr="009337B4" w14:paraId="3568BF4A" w14:textId="77777777" w:rsidTr="009337B4">
        <w:trPr>
          <w:trHeight w:val="300"/>
          <w:jc w:val="center"/>
        </w:trPr>
        <w:tc>
          <w:tcPr>
            <w:tcW w:w="1820" w:type="dxa"/>
            <w:shd w:val="clear" w:color="auto" w:fill="auto"/>
            <w:noWrap/>
            <w:vAlign w:val="center"/>
            <w:hideMark/>
          </w:tcPr>
          <w:p w14:paraId="33DD0400"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75% da SELIC</w:t>
            </w:r>
          </w:p>
        </w:tc>
        <w:tc>
          <w:tcPr>
            <w:tcW w:w="2341" w:type="dxa"/>
            <w:shd w:val="clear" w:color="auto" w:fill="auto"/>
            <w:noWrap/>
            <w:vAlign w:val="center"/>
            <w:hideMark/>
          </w:tcPr>
          <w:p w14:paraId="40EF503D" w14:textId="71D36162" w:rsidR="009337B4" w:rsidRPr="009337B4" w:rsidRDefault="009337B4" w:rsidP="009337B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Operações Indiretas</w:t>
            </w:r>
          </w:p>
        </w:tc>
        <w:tc>
          <w:tcPr>
            <w:tcW w:w="1195" w:type="dxa"/>
            <w:shd w:val="clear" w:color="auto" w:fill="auto"/>
            <w:noWrap/>
            <w:vAlign w:val="center"/>
            <w:hideMark/>
          </w:tcPr>
          <w:p w14:paraId="37E5FEA4"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41</w:t>
            </w:r>
          </w:p>
        </w:tc>
        <w:tc>
          <w:tcPr>
            <w:tcW w:w="2839" w:type="dxa"/>
            <w:shd w:val="clear" w:color="auto" w:fill="auto"/>
            <w:noWrap/>
            <w:vAlign w:val="center"/>
            <w:hideMark/>
          </w:tcPr>
          <w:p w14:paraId="0D66A230" w14:textId="21688EAD"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101.243.470</w:t>
            </w:r>
          </w:p>
        </w:tc>
      </w:tr>
      <w:tr w:rsidR="009337B4" w:rsidRPr="009337B4" w14:paraId="5293DA2B" w14:textId="77777777" w:rsidTr="009337B4">
        <w:trPr>
          <w:trHeight w:val="300"/>
          <w:jc w:val="center"/>
        </w:trPr>
        <w:tc>
          <w:tcPr>
            <w:tcW w:w="1820" w:type="dxa"/>
            <w:shd w:val="clear" w:color="auto" w:fill="auto"/>
            <w:noWrap/>
            <w:vAlign w:val="center"/>
            <w:hideMark/>
          </w:tcPr>
          <w:p w14:paraId="0E7F4809"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FAN</w:t>
            </w:r>
          </w:p>
        </w:tc>
        <w:tc>
          <w:tcPr>
            <w:tcW w:w="2341" w:type="dxa"/>
            <w:shd w:val="clear" w:color="auto" w:fill="auto"/>
            <w:noWrap/>
            <w:vAlign w:val="center"/>
            <w:hideMark/>
          </w:tcPr>
          <w:p w14:paraId="43FB460E" w14:textId="59C60F3E" w:rsidR="009337B4" w:rsidRPr="009337B4" w:rsidRDefault="009337B4" w:rsidP="009337B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Operações Indiretas</w:t>
            </w:r>
          </w:p>
        </w:tc>
        <w:tc>
          <w:tcPr>
            <w:tcW w:w="1195" w:type="dxa"/>
            <w:shd w:val="clear" w:color="auto" w:fill="auto"/>
            <w:noWrap/>
            <w:vAlign w:val="center"/>
            <w:hideMark/>
          </w:tcPr>
          <w:p w14:paraId="19BB5730"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2</w:t>
            </w:r>
          </w:p>
        </w:tc>
        <w:tc>
          <w:tcPr>
            <w:tcW w:w="2839" w:type="dxa"/>
            <w:shd w:val="clear" w:color="auto" w:fill="auto"/>
            <w:noWrap/>
            <w:vAlign w:val="center"/>
            <w:hideMark/>
          </w:tcPr>
          <w:p w14:paraId="430C8695" w14:textId="1494DFE2"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2.230.000</w:t>
            </w:r>
          </w:p>
        </w:tc>
      </w:tr>
      <w:tr w:rsidR="009337B4" w:rsidRPr="009337B4" w14:paraId="16C273D9" w14:textId="77777777" w:rsidTr="009337B4">
        <w:trPr>
          <w:trHeight w:val="300"/>
          <w:jc w:val="center"/>
        </w:trPr>
        <w:tc>
          <w:tcPr>
            <w:tcW w:w="1820" w:type="dxa"/>
            <w:shd w:val="clear" w:color="auto" w:fill="auto"/>
            <w:noWrap/>
            <w:vAlign w:val="center"/>
            <w:hideMark/>
          </w:tcPr>
          <w:p w14:paraId="0D258DDF"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OUTROS</w:t>
            </w:r>
          </w:p>
        </w:tc>
        <w:tc>
          <w:tcPr>
            <w:tcW w:w="2341" w:type="dxa"/>
            <w:shd w:val="clear" w:color="auto" w:fill="auto"/>
            <w:noWrap/>
            <w:vAlign w:val="center"/>
            <w:hideMark/>
          </w:tcPr>
          <w:p w14:paraId="74C06D37" w14:textId="21D63F2D" w:rsidR="009337B4" w:rsidRPr="009337B4" w:rsidRDefault="009337B4" w:rsidP="009337B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Operações Indiretas</w:t>
            </w:r>
          </w:p>
        </w:tc>
        <w:tc>
          <w:tcPr>
            <w:tcW w:w="1195" w:type="dxa"/>
            <w:shd w:val="clear" w:color="auto" w:fill="auto"/>
            <w:noWrap/>
            <w:vAlign w:val="center"/>
            <w:hideMark/>
          </w:tcPr>
          <w:p w14:paraId="152AC295"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w:t>
            </w:r>
          </w:p>
        </w:tc>
        <w:tc>
          <w:tcPr>
            <w:tcW w:w="2839" w:type="dxa"/>
            <w:shd w:val="clear" w:color="auto" w:fill="auto"/>
            <w:noWrap/>
            <w:vAlign w:val="center"/>
            <w:hideMark/>
          </w:tcPr>
          <w:p w14:paraId="24777B50" w14:textId="59B7854E"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1.200.000</w:t>
            </w:r>
          </w:p>
        </w:tc>
      </w:tr>
      <w:tr w:rsidR="009337B4" w:rsidRPr="009337B4" w14:paraId="4B877347" w14:textId="77777777" w:rsidTr="009337B4">
        <w:trPr>
          <w:trHeight w:val="300"/>
          <w:jc w:val="center"/>
        </w:trPr>
        <w:tc>
          <w:tcPr>
            <w:tcW w:w="1820" w:type="dxa"/>
            <w:shd w:val="clear" w:color="auto" w:fill="auto"/>
            <w:noWrap/>
            <w:vAlign w:val="center"/>
            <w:hideMark/>
          </w:tcPr>
          <w:p w14:paraId="3CE2FFC2"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TJLP</w:t>
            </w:r>
          </w:p>
        </w:tc>
        <w:tc>
          <w:tcPr>
            <w:tcW w:w="2341" w:type="dxa"/>
            <w:shd w:val="clear" w:color="auto" w:fill="auto"/>
            <w:noWrap/>
            <w:vAlign w:val="center"/>
            <w:hideMark/>
          </w:tcPr>
          <w:p w14:paraId="6B7A8A98" w14:textId="61B5AF1A" w:rsidR="009337B4" w:rsidRPr="009337B4" w:rsidRDefault="009337B4" w:rsidP="009337B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Diretas</w:t>
            </w:r>
          </w:p>
        </w:tc>
        <w:tc>
          <w:tcPr>
            <w:tcW w:w="1195" w:type="dxa"/>
            <w:shd w:val="clear" w:color="auto" w:fill="auto"/>
            <w:noWrap/>
            <w:vAlign w:val="center"/>
            <w:hideMark/>
          </w:tcPr>
          <w:p w14:paraId="5723D03E"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10147</w:t>
            </w:r>
          </w:p>
        </w:tc>
        <w:tc>
          <w:tcPr>
            <w:tcW w:w="2839" w:type="dxa"/>
            <w:shd w:val="clear" w:color="auto" w:fill="auto"/>
            <w:noWrap/>
            <w:vAlign w:val="center"/>
            <w:hideMark/>
          </w:tcPr>
          <w:p w14:paraId="13F8D170" w14:textId="4085C1BC"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545.451.048.362</w:t>
            </w:r>
          </w:p>
        </w:tc>
      </w:tr>
      <w:tr w:rsidR="009337B4" w:rsidRPr="009337B4" w14:paraId="0D6C7169" w14:textId="77777777" w:rsidTr="009337B4">
        <w:trPr>
          <w:trHeight w:val="300"/>
          <w:jc w:val="center"/>
        </w:trPr>
        <w:tc>
          <w:tcPr>
            <w:tcW w:w="1820" w:type="dxa"/>
            <w:shd w:val="clear" w:color="auto" w:fill="auto"/>
            <w:noWrap/>
            <w:vAlign w:val="center"/>
            <w:hideMark/>
          </w:tcPr>
          <w:p w14:paraId="265E5079"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US$ / CESTA</w:t>
            </w:r>
          </w:p>
        </w:tc>
        <w:tc>
          <w:tcPr>
            <w:tcW w:w="2341" w:type="dxa"/>
            <w:shd w:val="clear" w:color="auto" w:fill="auto"/>
            <w:noWrap/>
            <w:vAlign w:val="center"/>
            <w:hideMark/>
          </w:tcPr>
          <w:p w14:paraId="0B41F818" w14:textId="1A7DB517"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7CD764CA"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2615</w:t>
            </w:r>
          </w:p>
        </w:tc>
        <w:tc>
          <w:tcPr>
            <w:tcW w:w="2839" w:type="dxa"/>
            <w:shd w:val="clear" w:color="auto" w:fill="auto"/>
            <w:noWrap/>
            <w:vAlign w:val="center"/>
            <w:hideMark/>
          </w:tcPr>
          <w:p w14:paraId="6E42A2CC" w14:textId="78C8F71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56.948.609.765</w:t>
            </w:r>
          </w:p>
        </w:tc>
      </w:tr>
      <w:tr w:rsidR="009337B4" w:rsidRPr="009337B4" w14:paraId="1A719814" w14:textId="77777777" w:rsidTr="009337B4">
        <w:trPr>
          <w:trHeight w:val="300"/>
          <w:jc w:val="center"/>
        </w:trPr>
        <w:tc>
          <w:tcPr>
            <w:tcW w:w="1820" w:type="dxa"/>
            <w:shd w:val="clear" w:color="auto" w:fill="auto"/>
            <w:noWrap/>
            <w:vAlign w:val="center"/>
            <w:hideMark/>
          </w:tcPr>
          <w:p w14:paraId="14478205"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TAXA FIXA</w:t>
            </w:r>
          </w:p>
        </w:tc>
        <w:tc>
          <w:tcPr>
            <w:tcW w:w="2341" w:type="dxa"/>
            <w:shd w:val="clear" w:color="auto" w:fill="auto"/>
            <w:noWrap/>
            <w:vAlign w:val="center"/>
            <w:hideMark/>
          </w:tcPr>
          <w:p w14:paraId="1653A820" w14:textId="7BBF8C57"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226590D8"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2055</w:t>
            </w:r>
          </w:p>
        </w:tc>
        <w:tc>
          <w:tcPr>
            <w:tcW w:w="2839" w:type="dxa"/>
            <w:shd w:val="clear" w:color="auto" w:fill="auto"/>
            <w:noWrap/>
            <w:vAlign w:val="center"/>
            <w:hideMark/>
          </w:tcPr>
          <w:p w14:paraId="2D72714E" w14:textId="5B07BCE8"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81.790.467.741</w:t>
            </w:r>
          </w:p>
        </w:tc>
      </w:tr>
      <w:tr w:rsidR="009337B4" w:rsidRPr="009337B4" w14:paraId="55EB189E" w14:textId="77777777" w:rsidTr="009337B4">
        <w:trPr>
          <w:trHeight w:val="300"/>
          <w:jc w:val="center"/>
        </w:trPr>
        <w:tc>
          <w:tcPr>
            <w:tcW w:w="1820" w:type="dxa"/>
            <w:shd w:val="clear" w:color="auto" w:fill="auto"/>
            <w:noWrap/>
            <w:vAlign w:val="center"/>
            <w:hideMark/>
          </w:tcPr>
          <w:p w14:paraId="12E3E978"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TLP</w:t>
            </w:r>
          </w:p>
        </w:tc>
        <w:tc>
          <w:tcPr>
            <w:tcW w:w="2341" w:type="dxa"/>
            <w:shd w:val="clear" w:color="auto" w:fill="auto"/>
            <w:noWrap/>
            <w:vAlign w:val="center"/>
            <w:hideMark/>
          </w:tcPr>
          <w:p w14:paraId="4C806EE5" w14:textId="591403CE"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762B19E9"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1507</w:t>
            </w:r>
          </w:p>
        </w:tc>
        <w:tc>
          <w:tcPr>
            <w:tcW w:w="2839" w:type="dxa"/>
            <w:shd w:val="clear" w:color="auto" w:fill="auto"/>
            <w:noWrap/>
            <w:vAlign w:val="center"/>
            <w:hideMark/>
          </w:tcPr>
          <w:p w14:paraId="6E8DEDDD" w14:textId="011D8883"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163.421.021.823</w:t>
            </w:r>
          </w:p>
        </w:tc>
      </w:tr>
      <w:tr w:rsidR="009337B4" w:rsidRPr="009337B4" w14:paraId="1AE149A5" w14:textId="77777777" w:rsidTr="009337B4">
        <w:trPr>
          <w:trHeight w:val="300"/>
          <w:jc w:val="center"/>
        </w:trPr>
        <w:tc>
          <w:tcPr>
            <w:tcW w:w="1820" w:type="dxa"/>
            <w:shd w:val="clear" w:color="auto" w:fill="auto"/>
            <w:noWrap/>
            <w:vAlign w:val="center"/>
            <w:hideMark/>
          </w:tcPr>
          <w:p w14:paraId="371C3D71"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SEM CUSTO</w:t>
            </w:r>
          </w:p>
        </w:tc>
        <w:tc>
          <w:tcPr>
            <w:tcW w:w="2341" w:type="dxa"/>
            <w:shd w:val="clear" w:color="auto" w:fill="auto"/>
            <w:noWrap/>
            <w:vAlign w:val="center"/>
            <w:hideMark/>
          </w:tcPr>
          <w:p w14:paraId="516DDBEF" w14:textId="6F7EC0E4"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7E9B4F64"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1343</w:t>
            </w:r>
          </w:p>
        </w:tc>
        <w:tc>
          <w:tcPr>
            <w:tcW w:w="2839" w:type="dxa"/>
            <w:shd w:val="clear" w:color="auto" w:fill="auto"/>
            <w:noWrap/>
            <w:vAlign w:val="center"/>
            <w:hideMark/>
          </w:tcPr>
          <w:p w14:paraId="27419AED" w14:textId="6A00CFF5"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19.233.459.631</w:t>
            </w:r>
          </w:p>
        </w:tc>
      </w:tr>
      <w:tr w:rsidR="009337B4" w:rsidRPr="009337B4" w14:paraId="3A394220" w14:textId="77777777" w:rsidTr="009337B4">
        <w:trPr>
          <w:trHeight w:val="300"/>
          <w:jc w:val="center"/>
        </w:trPr>
        <w:tc>
          <w:tcPr>
            <w:tcW w:w="1820" w:type="dxa"/>
            <w:shd w:val="clear" w:color="auto" w:fill="auto"/>
            <w:noWrap/>
            <w:vAlign w:val="center"/>
            <w:hideMark/>
          </w:tcPr>
          <w:p w14:paraId="4FD306B9"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TJ462</w:t>
            </w:r>
          </w:p>
        </w:tc>
        <w:tc>
          <w:tcPr>
            <w:tcW w:w="2341" w:type="dxa"/>
            <w:shd w:val="clear" w:color="auto" w:fill="auto"/>
            <w:noWrap/>
            <w:vAlign w:val="center"/>
            <w:hideMark/>
          </w:tcPr>
          <w:p w14:paraId="6DB5C17E" w14:textId="578CFE09"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70CCFA41"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1304</w:t>
            </w:r>
          </w:p>
        </w:tc>
        <w:tc>
          <w:tcPr>
            <w:tcW w:w="2839" w:type="dxa"/>
            <w:shd w:val="clear" w:color="auto" w:fill="auto"/>
            <w:noWrap/>
            <w:vAlign w:val="center"/>
            <w:hideMark/>
          </w:tcPr>
          <w:p w14:paraId="02A976A5" w14:textId="1D96750A"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60.071.906.728</w:t>
            </w:r>
          </w:p>
        </w:tc>
      </w:tr>
      <w:tr w:rsidR="009337B4" w:rsidRPr="009337B4" w14:paraId="287F20EA" w14:textId="77777777" w:rsidTr="009337B4">
        <w:trPr>
          <w:trHeight w:val="300"/>
          <w:jc w:val="center"/>
        </w:trPr>
        <w:tc>
          <w:tcPr>
            <w:tcW w:w="1820" w:type="dxa"/>
            <w:shd w:val="clear" w:color="auto" w:fill="auto"/>
            <w:noWrap/>
            <w:vAlign w:val="center"/>
            <w:hideMark/>
          </w:tcPr>
          <w:p w14:paraId="41AAA995"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SELIC</w:t>
            </w:r>
          </w:p>
        </w:tc>
        <w:tc>
          <w:tcPr>
            <w:tcW w:w="2341" w:type="dxa"/>
            <w:shd w:val="clear" w:color="auto" w:fill="auto"/>
            <w:noWrap/>
            <w:vAlign w:val="center"/>
            <w:hideMark/>
          </w:tcPr>
          <w:p w14:paraId="4B388F72" w14:textId="62837327"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53E3EBD8"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808</w:t>
            </w:r>
          </w:p>
        </w:tc>
        <w:tc>
          <w:tcPr>
            <w:tcW w:w="2839" w:type="dxa"/>
            <w:shd w:val="clear" w:color="auto" w:fill="auto"/>
            <w:noWrap/>
            <w:vAlign w:val="center"/>
            <w:hideMark/>
          </w:tcPr>
          <w:p w14:paraId="69DB98BB" w14:textId="2503AB35"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27.858.226.551</w:t>
            </w:r>
          </w:p>
        </w:tc>
      </w:tr>
      <w:tr w:rsidR="009337B4" w:rsidRPr="009337B4" w14:paraId="1FCA41E6" w14:textId="77777777" w:rsidTr="009337B4">
        <w:trPr>
          <w:trHeight w:val="300"/>
          <w:jc w:val="center"/>
        </w:trPr>
        <w:tc>
          <w:tcPr>
            <w:tcW w:w="1820" w:type="dxa"/>
            <w:shd w:val="clear" w:color="auto" w:fill="auto"/>
            <w:noWrap/>
            <w:vAlign w:val="center"/>
            <w:hideMark/>
          </w:tcPr>
          <w:p w14:paraId="301E88D3"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IPCA</w:t>
            </w:r>
          </w:p>
        </w:tc>
        <w:tc>
          <w:tcPr>
            <w:tcW w:w="2341" w:type="dxa"/>
            <w:shd w:val="clear" w:color="auto" w:fill="auto"/>
            <w:noWrap/>
            <w:vAlign w:val="center"/>
            <w:hideMark/>
          </w:tcPr>
          <w:p w14:paraId="1E73DBFF" w14:textId="6AE14211"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5DCB9B34"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418</w:t>
            </w:r>
          </w:p>
        </w:tc>
        <w:tc>
          <w:tcPr>
            <w:tcW w:w="2839" w:type="dxa"/>
            <w:shd w:val="clear" w:color="auto" w:fill="auto"/>
            <w:noWrap/>
            <w:vAlign w:val="center"/>
            <w:hideMark/>
          </w:tcPr>
          <w:p w14:paraId="670E045D" w14:textId="609E7AE0"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13.815.517.679</w:t>
            </w:r>
          </w:p>
        </w:tc>
      </w:tr>
      <w:tr w:rsidR="009337B4" w:rsidRPr="009337B4" w14:paraId="725D67CB" w14:textId="77777777" w:rsidTr="009337B4">
        <w:trPr>
          <w:trHeight w:val="300"/>
          <w:jc w:val="center"/>
        </w:trPr>
        <w:tc>
          <w:tcPr>
            <w:tcW w:w="1820" w:type="dxa"/>
            <w:shd w:val="clear" w:color="auto" w:fill="auto"/>
            <w:noWrap/>
            <w:vAlign w:val="center"/>
            <w:hideMark/>
          </w:tcPr>
          <w:p w14:paraId="2D4ECD6D"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OUTROS</w:t>
            </w:r>
          </w:p>
        </w:tc>
        <w:tc>
          <w:tcPr>
            <w:tcW w:w="2341" w:type="dxa"/>
            <w:shd w:val="clear" w:color="auto" w:fill="auto"/>
            <w:noWrap/>
            <w:vAlign w:val="center"/>
            <w:hideMark/>
          </w:tcPr>
          <w:p w14:paraId="432BA344" w14:textId="32CA23E3"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7C234B48"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59</w:t>
            </w:r>
          </w:p>
        </w:tc>
        <w:tc>
          <w:tcPr>
            <w:tcW w:w="2839" w:type="dxa"/>
            <w:shd w:val="clear" w:color="auto" w:fill="auto"/>
            <w:noWrap/>
            <w:vAlign w:val="center"/>
            <w:hideMark/>
          </w:tcPr>
          <w:p w14:paraId="710BF25A" w14:textId="4170775C"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1.305.302.205</w:t>
            </w:r>
          </w:p>
        </w:tc>
      </w:tr>
      <w:tr w:rsidR="009337B4" w:rsidRPr="009337B4" w14:paraId="1A716A63" w14:textId="77777777" w:rsidTr="009337B4">
        <w:trPr>
          <w:trHeight w:val="300"/>
          <w:jc w:val="center"/>
        </w:trPr>
        <w:tc>
          <w:tcPr>
            <w:tcW w:w="1820" w:type="dxa"/>
            <w:shd w:val="clear" w:color="auto" w:fill="auto"/>
            <w:noWrap/>
            <w:vAlign w:val="center"/>
            <w:hideMark/>
          </w:tcPr>
          <w:p w14:paraId="0463D5C1"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CDI</w:t>
            </w:r>
          </w:p>
        </w:tc>
        <w:tc>
          <w:tcPr>
            <w:tcW w:w="2341" w:type="dxa"/>
            <w:shd w:val="clear" w:color="auto" w:fill="auto"/>
            <w:noWrap/>
            <w:vAlign w:val="center"/>
            <w:hideMark/>
          </w:tcPr>
          <w:p w14:paraId="050BFC19" w14:textId="26D3E336"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37D2FA4A"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38</w:t>
            </w:r>
          </w:p>
        </w:tc>
        <w:tc>
          <w:tcPr>
            <w:tcW w:w="2839" w:type="dxa"/>
            <w:shd w:val="clear" w:color="auto" w:fill="auto"/>
            <w:noWrap/>
            <w:vAlign w:val="center"/>
            <w:hideMark/>
          </w:tcPr>
          <w:p w14:paraId="33D8ACFE" w14:textId="19A007B4"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9.459.046.711</w:t>
            </w:r>
          </w:p>
        </w:tc>
      </w:tr>
      <w:tr w:rsidR="009337B4" w:rsidRPr="009337B4" w14:paraId="02CFAF86" w14:textId="77777777" w:rsidTr="009337B4">
        <w:trPr>
          <w:trHeight w:val="300"/>
          <w:jc w:val="center"/>
        </w:trPr>
        <w:tc>
          <w:tcPr>
            <w:tcW w:w="1820" w:type="dxa"/>
            <w:shd w:val="clear" w:color="auto" w:fill="auto"/>
            <w:noWrap/>
            <w:vAlign w:val="center"/>
            <w:hideMark/>
          </w:tcPr>
          <w:p w14:paraId="0C0B10D7"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TJ6</w:t>
            </w:r>
          </w:p>
        </w:tc>
        <w:tc>
          <w:tcPr>
            <w:tcW w:w="2341" w:type="dxa"/>
            <w:shd w:val="clear" w:color="auto" w:fill="auto"/>
            <w:noWrap/>
            <w:vAlign w:val="center"/>
            <w:hideMark/>
          </w:tcPr>
          <w:p w14:paraId="1F91B66A" w14:textId="53F013A2"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340FBDBA"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18</w:t>
            </w:r>
          </w:p>
        </w:tc>
        <w:tc>
          <w:tcPr>
            <w:tcW w:w="2839" w:type="dxa"/>
            <w:shd w:val="clear" w:color="auto" w:fill="auto"/>
            <w:noWrap/>
            <w:vAlign w:val="center"/>
            <w:hideMark/>
          </w:tcPr>
          <w:p w14:paraId="5AEE4B68" w14:textId="5D0C21FC"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473.190.725</w:t>
            </w:r>
          </w:p>
        </w:tc>
      </w:tr>
      <w:tr w:rsidR="009337B4" w:rsidRPr="009337B4" w14:paraId="2E2E6163" w14:textId="77777777" w:rsidTr="009337B4">
        <w:trPr>
          <w:trHeight w:val="300"/>
          <w:jc w:val="center"/>
        </w:trPr>
        <w:tc>
          <w:tcPr>
            <w:tcW w:w="1820" w:type="dxa"/>
            <w:shd w:val="clear" w:color="auto" w:fill="auto"/>
            <w:noWrap/>
            <w:vAlign w:val="center"/>
            <w:hideMark/>
          </w:tcPr>
          <w:p w14:paraId="748D59E1"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TJ453</w:t>
            </w:r>
          </w:p>
        </w:tc>
        <w:tc>
          <w:tcPr>
            <w:tcW w:w="2341" w:type="dxa"/>
            <w:shd w:val="clear" w:color="auto" w:fill="auto"/>
            <w:noWrap/>
            <w:vAlign w:val="center"/>
            <w:hideMark/>
          </w:tcPr>
          <w:p w14:paraId="6DBE0167" w14:textId="4FBB6283"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2D48B625"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17</w:t>
            </w:r>
          </w:p>
        </w:tc>
        <w:tc>
          <w:tcPr>
            <w:tcW w:w="2839" w:type="dxa"/>
            <w:shd w:val="clear" w:color="auto" w:fill="auto"/>
            <w:noWrap/>
            <w:vAlign w:val="center"/>
            <w:hideMark/>
          </w:tcPr>
          <w:p w14:paraId="5980684E" w14:textId="258C6D2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233.333.134</w:t>
            </w:r>
          </w:p>
        </w:tc>
      </w:tr>
      <w:tr w:rsidR="009337B4" w:rsidRPr="009337B4" w14:paraId="5347028B" w14:textId="77777777" w:rsidTr="009337B4">
        <w:trPr>
          <w:trHeight w:val="300"/>
          <w:jc w:val="center"/>
        </w:trPr>
        <w:tc>
          <w:tcPr>
            <w:tcW w:w="1820" w:type="dxa"/>
            <w:shd w:val="clear" w:color="auto" w:fill="auto"/>
            <w:noWrap/>
            <w:vAlign w:val="center"/>
            <w:hideMark/>
          </w:tcPr>
          <w:p w14:paraId="445ADFC4"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TJ3</w:t>
            </w:r>
          </w:p>
        </w:tc>
        <w:tc>
          <w:tcPr>
            <w:tcW w:w="2341" w:type="dxa"/>
            <w:shd w:val="clear" w:color="auto" w:fill="auto"/>
            <w:noWrap/>
            <w:vAlign w:val="center"/>
            <w:hideMark/>
          </w:tcPr>
          <w:p w14:paraId="6D474302" w14:textId="57CB4CF3"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61E297A4"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15</w:t>
            </w:r>
          </w:p>
        </w:tc>
        <w:tc>
          <w:tcPr>
            <w:tcW w:w="2839" w:type="dxa"/>
            <w:shd w:val="clear" w:color="auto" w:fill="auto"/>
            <w:noWrap/>
            <w:vAlign w:val="center"/>
            <w:hideMark/>
          </w:tcPr>
          <w:p w14:paraId="4CE0486B" w14:textId="2C725D49"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37.898.000</w:t>
            </w:r>
          </w:p>
        </w:tc>
      </w:tr>
      <w:tr w:rsidR="009337B4" w:rsidRPr="009337B4" w14:paraId="4C280AD8" w14:textId="77777777" w:rsidTr="009337B4">
        <w:trPr>
          <w:trHeight w:val="300"/>
          <w:jc w:val="center"/>
        </w:trPr>
        <w:tc>
          <w:tcPr>
            <w:tcW w:w="1820" w:type="dxa"/>
            <w:shd w:val="clear" w:color="auto" w:fill="auto"/>
            <w:noWrap/>
            <w:vAlign w:val="center"/>
            <w:hideMark/>
          </w:tcPr>
          <w:p w14:paraId="663967E2"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TAXA FIXA EM US$</w:t>
            </w:r>
          </w:p>
        </w:tc>
        <w:tc>
          <w:tcPr>
            <w:tcW w:w="2341" w:type="dxa"/>
            <w:shd w:val="clear" w:color="auto" w:fill="auto"/>
            <w:noWrap/>
            <w:vAlign w:val="center"/>
            <w:hideMark/>
          </w:tcPr>
          <w:p w14:paraId="43533DB1" w14:textId="0930A963"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6B727B0D"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3</w:t>
            </w:r>
          </w:p>
        </w:tc>
        <w:tc>
          <w:tcPr>
            <w:tcW w:w="2839" w:type="dxa"/>
            <w:shd w:val="clear" w:color="auto" w:fill="auto"/>
            <w:noWrap/>
            <w:vAlign w:val="center"/>
            <w:hideMark/>
          </w:tcPr>
          <w:p w14:paraId="21E79411" w14:textId="327F7E79"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24.999.993.711</w:t>
            </w:r>
          </w:p>
        </w:tc>
      </w:tr>
      <w:tr w:rsidR="009337B4" w:rsidRPr="009337B4" w14:paraId="49F128A2" w14:textId="77777777" w:rsidTr="009337B4">
        <w:trPr>
          <w:trHeight w:val="300"/>
          <w:jc w:val="center"/>
        </w:trPr>
        <w:tc>
          <w:tcPr>
            <w:tcW w:w="1820" w:type="dxa"/>
            <w:shd w:val="clear" w:color="auto" w:fill="auto"/>
            <w:noWrap/>
            <w:vAlign w:val="center"/>
            <w:hideMark/>
          </w:tcPr>
          <w:p w14:paraId="3734E2ED"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115% do CDI</w:t>
            </w:r>
          </w:p>
        </w:tc>
        <w:tc>
          <w:tcPr>
            <w:tcW w:w="2341" w:type="dxa"/>
            <w:shd w:val="clear" w:color="auto" w:fill="auto"/>
            <w:noWrap/>
            <w:vAlign w:val="center"/>
            <w:hideMark/>
          </w:tcPr>
          <w:p w14:paraId="02F26B81" w14:textId="47F4F9A0"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2912D954"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2</w:t>
            </w:r>
          </w:p>
        </w:tc>
        <w:tc>
          <w:tcPr>
            <w:tcW w:w="2839" w:type="dxa"/>
            <w:shd w:val="clear" w:color="auto" w:fill="auto"/>
            <w:noWrap/>
            <w:vAlign w:val="center"/>
            <w:hideMark/>
          </w:tcPr>
          <w:p w14:paraId="53283E76" w14:textId="56B1C213"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190.568.850</w:t>
            </w:r>
          </w:p>
        </w:tc>
      </w:tr>
      <w:tr w:rsidR="009337B4" w:rsidRPr="009337B4" w14:paraId="268FEC34" w14:textId="77777777" w:rsidTr="009337B4">
        <w:trPr>
          <w:trHeight w:val="300"/>
          <w:jc w:val="center"/>
        </w:trPr>
        <w:tc>
          <w:tcPr>
            <w:tcW w:w="1820" w:type="dxa"/>
            <w:shd w:val="clear" w:color="auto" w:fill="auto"/>
            <w:noWrap/>
            <w:vAlign w:val="center"/>
            <w:hideMark/>
          </w:tcPr>
          <w:p w14:paraId="43B09AAE"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104% do CDI</w:t>
            </w:r>
          </w:p>
        </w:tc>
        <w:tc>
          <w:tcPr>
            <w:tcW w:w="2341" w:type="dxa"/>
            <w:shd w:val="clear" w:color="auto" w:fill="auto"/>
            <w:noWrap/>
            <w:vAlign w:val="center"/>
            <w:hideMark/>
          </w:tcPr>
          <w:p w14:paraId="692AD828" w14:textId="1005A96F"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2BB3534B"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2</w:t>
            </w:r>
          </w:p>
        </w:tc>
        <w:tc>
          <w:tcPr>
            <w:tcW w:w="2839" w:type="dxa"/>
            <w:shd w:val="clear" w:color="auto" w:fill="auto"/>
            <w:noWrap/>
            <w:vAlign w:val="center"/>
            <w:hideMark/>
          </w:tcPr>
          <w:p w14:paraId="198F3924" w14:textId="5070428E"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109.749.667</w:t>
            </w:r>
          </w:p>
        </w:tc>
      </w:tr>
      <w:tr w:rsidR="009337B4" w:rsidRPr="009337B4" w14:paraId="77E341FA" w14:textId="77777777" w:rsidTr="009337B4">
        <w:trPr>
          <w:trHeight w:val="300"/>
          <w:jc w:val="center"/>
        </w:trPr>
        <w:tc>
          <w:tcPr>
            <w:tcW w:w="1820" w:type="dxa"/>
            <w:shd w:val="clear" w:color="auto" w:fill="auto"/>
            <w:noWrap/>
            <w:vAlign w:val="center"/>
            <w:hideMark/>
          </w:tcPr>
          <w:p w14:paraId="7A653D5C"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112% do CDI</w:t>
            </w:r>
          </w:p>
        </w:tc>
        <w:tc>
          <w:tcPr>
            <w:tcW w:w="2341" w:type="dxa"/>
            <w:shd w:val="clear" w:color="auto" w:fill="auto"/>
            <w:noWrap/>
            <w:vAlign w:val="center"/>
            <w:hideMark/>
          </w:tcPr>
          <w:p w14:paraId="18EFF4A6" w14:textId="28887D92"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48895274"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2</w:t>
            </w:r>
          </w:p>
        </w:tc>
        <w:tc>
          <w:tcPr>
            <w:tcW w:w="2839" w:type="dxa"/>
            <w:shd w:val="clear" w:color="auto" w:fill="auto"/>
            <w:noWrap/>
            <w:vAlign w:val="center"/>
            <w:hideMark/>
          </w:tcPr>
          <w:p w14:paraId="572D1749" w14:textId="5177518A"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163.376.640</w:t>
            </w:r>
          </w:p>
        </w:tc>
      </w:tr>
      <w:tr w:rsidR="009337B4" w:rsidRPr="009337B4" w14:paraId="7334F16F" w14:textId="77777777" w:rsidTr="009337B4">
        <w:trPr>
          <w:trHeight w:val="300"/>
          <w:jc w:val="center"/>
        </w:trPr>
        <w:tc>
          <w:tcPr>
            <w:tcW w:w="1820" w:type="dxa"/>
            <w:shd w:val="clear" w:color="auto" w:fill="auto"/>
            <w:noWrap/>
            <w:vAlign w:val="center"/>
            <w:hideMark/>
          </w:tcPr>
          <w:p w14:paraId="64671AB0"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117% do CDI</w:t>
            </w:r>
          </w:p>
        </w:tc>
        <w:tc>
          <w:tcPr>
            <w:tcW w:w="2341" w:type="dxa"/>
            <w:shd w:val="clear" w:color="auto" w:fill="auto"/>
            <w:noWrap/>
            <w:vAlign w:val="center"/>
            <w:hideMark/>
          </w:tcPr>
          <w:p w14:paraId="6277D057" w14:textId="7415975F"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298083DB"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2</w:t>
            </w:r>
          </w:p>
        </w:tc>
        <w:tc>
          <w:tcPr>
            <w:tcW w:w="2839" w:type="dxa"/>
            <w:shd w:val="clear" w:color="auto" w:fill="auto"/>
            <w:noWrap/>
            <w:vAlign w:val="center"/>
            <w:hideMark/>
          </w:tcPr>
          <w:p w14:paraId="424F31C4" w14:textId="6FAEA60E"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102.751.410</w:t>
            </w:r>
          </w:p>
        </w:tc>
      </w:tr>
      <w:tr w:rsidR="009337B4" w:rsidRPr="009337B4" w14:paraId="19CF1233" w14:textId="77777777" w:rsidTr="009337B4">
        <w:trPr>
          <w:trHeight w:val="300"/>
          <w:jc w:val="center"/>
        </w:trPr>
        <w:tc>
          <w:tcPr>
            <w:tcW w:w="1820" w:type="dxa"/>
            <w:shd w:val="clear" w:color="auto" w:fill="auto"/>
            <w:noWrap/>
            <w:vAlign w:val="center"/>
            <w:hideMark/>
          </w:tcPr>
          <w:p w14:paraId="511F293B"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120% do CDI</w:t>
            </w:r>
          </w:p>
        </w:tc>
        <w:tc>
          <w:tcPr>
            <w:tcW w:w="2341" w:type="dxa"/>
            <w:shd w:val="clear" w:color="auto" w:fill="auto"/>
            <w:noWrap/>
            <w:vAlign w:val="center"/>
            <w:hideMark/>
          </w:tcPr>
          <w:p w14:paraId="337DAAA7" w14:textId="3B5590D2"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7708A9EC"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w:t>
            </w:r>
          </w:p>
        </w:tc>
        <w:tc>
          <w:tcPr>
            <w:tcW w:w="2839" w:type="dxa"/>
            <w:shd w:val="clear" w:color="auto" w:fill="auto"/>
            <w:noWrap/>
            <w:vAlign w:val="center"/>
            <w:hideMark/>
          </w:tcPr>
          <w:p w14:paraId="226BBA19" w14:textId="24383ED4"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142.447.125</w:t>
            </w:r>
          </w:p>
        </w:tc>
      </w:tr>
      <w:tr w:rsidR="009337B4" w:rsidRPr="009337B4" w14:paraId="2A41C25D" w14:textId="77777777" w:rsidTr="009337B4">
        <w:trPr>
          <w:trHeight w:val="300"/>
          <w:jc w:val="center"/>
        </w:trPr>
        <w:tc>
          <w:tcPr>
            <w:tcW w:w="1820" w:type="dxa"/>
            <w:shd w:val="clear" w:color="auto" w:fill="auto"/>
            <w:noWrap/>
            <w:vAlign w:val="center"/>
            <w:hideMark/>
          </w:tcPr>
          <w:p w14:paraId="37F9DC16"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101,75% do CDI</w:t>
            </w:r>
          </w:p>
        </w:tc>
        <w:tc>
          <w:tcPr>
            <w:tcW w:w="2341" w:type="dxa"/>
            <w:shd w:val="clear" w:color="auto" w:fill="auto"/>
            <w:noWrap/>
            <w:vAlign w:val="center"/>
            <w:hideMark/>
          </w:tcPr>
          <w:p w14:paraId="077CFC41" w14:textId="3DD034F0"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60E60F4B"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w:t>
            </w:r>
          </w:p>
        </w:tc>
        <w:tc>
          <w:tcPr>
            <w:tcW w:w="2839" w:type="dxa"/>
            <w:shd w:val="clear" w:color="auto" w:fill="auto"/>
            <w:noWrap/>
            <w:vAlign w:val="center"/>
            <w:hideMark/>
          </w:tcPr>
          <w:p w14:paraId="74E5AD99" w14:textId="4C4DD636"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227.283.075</w:t>
            </w:r>
          </w:p>
        </w:tc>
      </w:tr>
      <w:tr w:rsidR="009337B4" w:rsidRPr="009337B4" w14:paraId="40492D9B" w14:textId="77777777" w:rsidTr="009337B4">
        <w:trPr>
          <w:trHeight w:val="300"/>
          <w:jc w:val="center"/>
        </w:trPr>
        <w:tc>
          <w:tcPr>
            <w:tcW w:w="1820" w:type="dxa"/>
            <w:shd w:val="clear" w:color="auto" w:fill="auto"/>
            <w:noWrap/>
            <w:vAlign w:val="center"/>
            <w:hideMark/>
          </w:tcPr>
          <w:p w14:paraId="37CA4653"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103,5% do CDI</w:t>
            </w:r>
          </w:p>
        </w:tc>
        <w:tc>
          <w:tcPr>
            <w:tcW w:w="2341" w:type="dxa"/>
            <w:shd w:val="clear" w:color="auto" w:fill="auto"/>
            <w:noWrap/>
            <w:vAlign w:val="center"/>
            <w:hideMark/>
          </w:tcPr>
          <w:p w14:paraId="65F89E24" w14:textId="4789C9BF"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0DD7A991"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w:t>
            </w:r>
          </w:p>
        </w:tc>
        <w:tc>
          <w:tcPr>
            <w:tcW w:w="2839" w:type="dxa"/>
            <w:shd w:val="clear" w:color="auto" w:fill="auto"/>
            <w:noWrap/>
            <w:vAlign w:val="center"/>
            <w:hideMark/>
          </w:tcPr>
          <w:p w14:paraId="2590D507" w14:textId="19587922"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75.612.150</w:t>
            </w:r>
          </w:p>
        </w:tc>
      </w:tr>
      <w:tr w:rsidR="009337B4" w:rsidRPr="009337B4" w14:paraId="4ED11AEA" w14:textId="77777777" w:rsidTr="009337B4">
        <w:trPr>
          <w:trHeight w:val="300"/>
          <w:jc w:val="center"/>
        </w:trPr>
        <w:tc>
          <w:tcPr>
            <w:tcW w:w="1820" w:type="dxa"/>
            <w:shd w:val="clear" w:color="auto" w:fill="auto"/>
            <w:noWrap/>
            <w:vAlign w:val="center"/>
            <w:hideMark/>
          </w:tcPr>
          <w:p w14:paraId="526778C3"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104,1% do CDI</w:t>
            </w:r>
          </w:p>
        </w:tc>
        <w:tc>
          <w:tcPr>
            <w:tcW w:w="2341" w:type="dxa"/>
            <w:shd w:val="clear" w:color="auto" w:fill="auto"/>
            <w:noWrap/>
            <w:vAlign w:val="center"/>
            <w:hideMark/>
          </w:tcPr>
          <w:p w14:paraId="6690A86E" w14:textId="7D963E65"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569A6AC3"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w:t>
            </w:r>
          </w:p>
        </w:tc>
        <w:tc>
          <w:tcPr>
            <w:tcW w:w="2839" w:type="dxa"/>
            <w:shd w:val="clear" w:color="auto" w:fill="auto"/>
            <w:noWrap/>
            <w:vAlign w:val="center"/>
            <w:hideMark/>
          </w:tcPr>
          <w:p w14:paraId="7CFE9CC5" w14:textId="1582A051"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18.045.938</w:t>
            </w:r>
          </w:p>
        </w:tc>
      </w:tr>
      <w:tr w:rsidR="009337B4" w:rsidRPr="009337B4" w14:paraId="19E5ACA9" w14:textId="77777777" w:rsidTr="009337B4">
        <w:trPr>
          <w:trHeight w:val="300"/>
          <w:jc w:val="center"/>
        </w:trPr>
        <w:tc>
          <w:tcPr>
            <w:tcW w:w="1820" w:type="dxa"/>
            <w:shd w:val="clear" w:color="auto" w:fill="auto"/>
            <w:noWrap/>
            <w:vAlign w:val="center"/>
            <w:hideMark/>
          </w:tcPr>
          <w:p w14:paraId="47026BD5"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104,4% do CDI</w:t>
            </w:r>
          </w:p>
        </w:tc>
        <w:tc>
          <w:tcPr>
            <w:tcW w:w="2341" w:type="dxa"/>
            <w:shd w:val="clear" w:color="auto" w:fill="auto"/>
            <w:noWrap/>
            <w:vAlign w:val="center"/>
            <w:hideMark/>
          </w:tcPr>
          <w:p w14:paraId="42EFA8A4" w14:textId="66B51307"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7F256262"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w:t>
            </w:r>
          </w:p>
        </w:tc>
        <w:tc>
          <w:tcPr>
            <w:tcW w:w="2839" w:type="dxa"/>
            <w:shd w:val="clear" w:color="auto" w:fill="auto"/>
            <w:noWrap/>
            <w:vAlign w:val="center"/>
            <w:hideMark/>
          </w:tcPr>
          <w:p w14:paraId="583C3C64" w14:textId="58FEB2B0"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34.805.325</w:t>
            </w:r>
          </w:p>
        </w:tc>
      </w:tr>
      <w:tr w:rsidR="009337B4" w:rsidRPr="009337B4" w14:paraId="363141B7" w14:textId="77777777" w:rsidTr="009337B4">
        <w:trPr>
          <w:trHeight w:val="300"/>
          <w:jc w:val="center"/>
        </w:trPr>
        <w:tc>
          <w:tcPr>
            <w:tcW w:w="1820" w:type="dxa"/>
            <w:shd w:val="clear" w:color="auto" w:fill="auto"/>
            <w:noWrap/>
            <w:vAlign w:val="center"/>
            <w:hideMark/>
          </w:tcPr>
          <w:p w14:paraId="1B1D8B31"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104,5% do CDI</w:t>
            </w:r>
          </w:p>
        </w:tc>
        <w:tc>
          <w:tcPr>
            <w:tcW w:w="2341" w:type="dxa"/>
            <w:shd w:val="clear" w:color="auto" w:fill="auto"/>
            <w:noWrap/>
            <w:vAlign w:val="center"/>
            <w:hideMark/>
          </w:tcPr>
          <w:p w14:paraId="57718854" w14:textId="0233BB1C"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3987DAD4"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w:t>
            </w:r>
          </w:p>
        </w:tc>
        <w:tc>
          <w:tcPr>
            <w:tcW w:w="2839" w:type="dxa"/>
            <w:shd w:val="clear" w:color="auto" w:fill="auto"/>
            <w:noWrap/>
            <w:vAlign w:val="center"/>
            <w:hideMark/>
          </w:tcPr>
          <w:p w14:paraId="2BE2C877" w14:textId="05F8B04B"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1.100.000.000</w:t>
            </w:r>
          </w:p>
        </w:tc>
      </w:tr>
      <w:tr w:rsidR="009337B4" w:rsidRPr="009337B4" w14:paraId="6B5E4C55" w14:textId="77777777" w:rsidTr="009337B4">
        <w:trPr>
          <w:trHeight w:val="300"/>
          <w:jc w:val="center"/>
        </w:trPr>
        <w:tc>
          <w:tcPr>
            <w:tcW w:w="1820" w:type="dxa"/>
            <w:shd w:val="clear" w:color="auto" w:fill="auto"/>
            <w:noWrap/>
            <w:vAlign w:val="center"/>
            <w:hideMark/>
          </w:tcPr>
          <w:p w14:paraId="1AB2E412"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105% do CDI</w:t>
            </w:r>
          </w:p>
        </w:tc>
        <w:tc>
          <w:tcPr>
            <w:tcW w:w="2341" w:type="dxa"/>
            <w:shd w:val="clear" w:color="auto" w:fill="auto"/>
            <w:noWrap/>
            <w:vAlign w:val="center"/>
            <w:hideMark/>
          </w:tcPr>
          <w:p w14:paraId="5BE4512B" w14:textId="63864F62"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610AB529"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w:t>
            </w:r>
          </w:p>
        </w:tc>
        <w:tc>
          <w:tcPr>
            <w:tcW w:w="2839" w:type="dxa"/>
            <w:shd w:val="clear" w:color="auto" w:fill="auto"/>
            <w:noWrap/>
            <w:vAlign w:val="center"/>
            <w:hideMark/>
          </w:tcPr>
          <w:p w14:paraId="72D4DE3A" w14:textId="1806896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29.577.738</w:t>
            </w:r>
          </w:p>
        </w:tc>
      </w:tr>
      <w:tr w:rsidR="009337B4" w:rsidRPr="009337B4" w14:paraId="62F9280A" w14:textId="77777777" w:rsidTr="009337B4">
        <w:trPr>
          <w:trHeight w:val="300"/>
          <w:jc w:val="center"/>
        </w:trPr>
        <w:tc>
          <w:tcPr>
            <w:tcW w:w="1820" w:type="dxa"/>
            <w:shd w:val="clear" w:color="auto" w:fill="auto"/>
            <w:noWrap/>
            <w:vAlign w:val="center"/>
            <w:hideMark/>
          </w:tcPr>
          <w:p w14:paraId="1BA33D10"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108% do CDI</w:t>
            </w:r>
          </w:p>
        </w:tc>
        <w:tc>
          <w:tcPr>
            <w:tcW w:w="2341" w:type="dxa"/>
            <w:shd w:val="clear" w:color="auto" w:fill="auto"/>
            <w:noWrap/>
            <w:vAlign w:val="center"/>
            <w:hideMark/>
          </w:tcPr>
          <w:p w14:paraId="606A3CBE" w14:textId="48DC857B"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66A92C1F"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w:t>
            </w:r>
          </w:p>
        </w:tc>
        <w:tc>
          <w:tcPr>
            <w:tcW w:w="2839" w:type="dxa"/>
            <w:shd w:val="clear" w:color="auto" w:fill="auto"/>
            <w:noWrap/>
            <w:vAlign w:val="center"/>
            <w:hideMark/>
          </w:tcPr>
          <w:p w14:paraId="030E9F12" w14:textId="0AAE375D"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50.038.420</w:t>
            </w:r>
          </w:p>
        </w:tc>
      </w:tr>
      <w:tr w:rsidR="009337B4" w:rsidRPr="009337B4" w14:paraId="2430A62D" w14:textId="77777777" w:rsidTr="009337B4">
        <w:trPr>
          <w:trHeight w:val="300"/>
          <w:jc w:val="center"/>
        </w:trPr>
        <w:tc>
          <w:tcPr>
            <w:tcW w:w="1820" w:type="dxa"/>
            <w:shd w:val="clear" w:color="auto" w:fill="auto"/>
            <w:noWrap/>
            <w:vAlign w:val="center"/>
            <w:hideMark/>
          </w:tcPr>
          <w:p w14:paraId="0B81F1D0"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109,8% do CDI</w:t>
            </w:r>
          </w:p>
        </w:tc>
        <w:tc>
          <w:tcPr>
            <w:tcW w:w="2341" w:type="dxa"/>
            <w:shd w:val="clear" w:color="auto" w:fill="auto"/>
            <w:noWrap/>
            <w:vAlign w:val="center"/>
            <w:hideMark/>
          </w:tcPr>
          <w:p w14:paraId="13266B71" w14:textId="585B3D29"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43F48E57"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w:t>
            </w:r>
          </w:p>
        </w:tc>
        <w:tc>
          <w:tcPr>
            <w:tcW w:w="2839" w:type="dxa"/>
            <w:shd w:val="clear" w:color="auto" w:fill="auto"/>
            <w:noWrap/>
            <w:vAlign w:val="center"/>
            <w:hideMark/>
          </w:tcPr>
          <w:p w14:paraId="1805739A" w14:textId="740F2E5A"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64.267.686</w:t>
            </w:r>
          </w:p>
        </w:tc>
      </w:tr>
      <w:tr w:rsidR="009337B4" w:rsidRPr="009337B4" w14:paraId="437CCC1D" w14:textId="77777777" w:rsidTr="009337B4">
        <w:trPr>
          <w:trHeight w:val="300"/>
          <w:jc w:val="center"/>
        </w:trPr>
        <w:tc>
          <w:tcPr>
            <w:tcW w:w="1820" w:type="dxa"/>
            <w:shd w:val="clear" w:color="auto" w:fill="auto"/>
            <w:noWrap/>
            <w:vAlign w:val="center"/>
            <w:hideMark/>
          </w:tcPr>
          <w:p w14:paraId="7963CDE8"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110,3% do CDI</w:t>
            </w:r>
          </w:p>
        </w:tc>
        <w:tc>
          <w:tcPr>
            <w:tcW w:w="2341" w:type="dxa"/>
            <w:shd w:val="clear" w:color="auto" w:fill="auto"/>
            <w:noWrap/>
            <w:vAlign w:val="center"/>
            <w:hideMark/>
          </w:tcPr>
          <w:p w14:paraId="04DF3B04" w14:textId="04438862"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02E7B424"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w:t>
            </w:r>
          </w:p>
        </w:tc>
        <w:tc>
          <w:tcPr>
            <w:tcW w:w="2839" w:type="dxa"/>
            <w:shd w:val="clear" w:color="auto" w:fill="auto"/>
            <w:noWrap/>
            <w:vAlign w:val="center"/>
            <w:hideMark/>
          </w:tcPr>
          <w:p w14:paraId="0DF67896" w14:textId="072349CF"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27.959.790</w:t>
            </w:r>
          </w:p>
        </w:tc>
      </w:tr>
      <w:tr w:rsidR="009337B4" w:rsidRPr="009337B4" w14:paraId="23751036" w14:textId="77777777" w:rsidTr="009337B4">
        <w:trPr>
          <w:trHeight w:val="300"/>
          <w:jc w:val="center"/>
        </w:trPr>
        <w:tc>
          <w:tcPr>
            <w:tcW w:w="1820" w:type="dxa"/>
            <w:shd w:val="clear" w:color="auto" w:fill="auto"/>
            <w:noWrap/>
            <w:vAlign w:val="center"/>
            <w:hideMark/>
          </w:tcPr>
          <w:p w14:paraId="25AF592A"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102,5% do CDI</w:t>
            </w:r>
          </w:p>
        </w:tc>
        <w:tc>
          <w:tcPr>
            <w:tcW w:w="2341" w:type="dxa"/>
            <w:shd w:val="clear" w:color="auto" w:fill="auto"/>
            <w:noWrap/>
            <w:vAlign w:val="center"/>
            <w:hideMark/>
          </w:tcPr>
          <w:p w14:paraId="52FC77EC" w14:textId="30A9D55F"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3A918681"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w:t>
            </w:r>
          </w:p>
        </w:tc>
        <w:tc>
          <w:tcPr>
            <w:tcW w:w="2839" w:type="dxa"/>
            <w:shd w:val="clear" w:color="auto" w:fill="auto"/>
            <w:noWrap/>
            <w:vAlign w:val="center"/>
            <w:hideMark/>
          </w:tcPr>
          <w:p w14:paraId="7BE1E0AC" w14:textId="1525D0B4"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131.701.180</w:t>
            </w:r>
          </w:p>
        </w:tc>
      </w:tr>
    </w:tbl>
    <w:p w14:paraId="1F3F4DCA" w14:textId="77777777" w:rsidR="00D72EC7" w:rsidRDefault="00D72EC7" w:rsidP="001107BC">
      <w:pPr>
        <w:rPr>
          <w:b/>
          <w:sz w:val="24"/>
          <w:szCs w:val="24"/>
        </w:rPr>
      </w:pPr>
    </w:p>
    <w:p w14:paraId="6CAEEBAC" w14:textId="77777777" w:rsidR="004C0EA9" w:rsidRDefault="004C0EA9" w:rsidP="001107BC">
      <w:pPr>
        <w:rPr>
          <w:b/>
          <w:sz w:val="24"/>
          <w:szCs w:val="24"/>
        </w:rPr>
      </w:pPr>
    </w:p>
    <w:p w14:paraId="41B50885" w14:textId="77777777" w:rsidR="004C0EA9" w:rsidRDefault="004C0EA9" w:rsidP="001107BC">
      <w:pPr>
        <w:rPr>
          <w:b/>
          <w:sz w:val="24"/>
          <w:szCs w:val="24"/>
        </w:rPr>
      </w:pPr>
    </w:p>
    <w:p w14:paraId="44D44143" w14:textId="0C4DD303" w:rsidR="002F3992" w:rsidRPr="00F173E9" w:rsidRDefault="00E372CD" w:rsidP="005B6AF6">
      <w:pPr>
        <w:pStyle w:val="PargrafodaLista"/>
        <w:numPr>
          <w:ilvl w:val="0"/>
          <w:numId w:val="11"/>
        </w:numPr>
        <w:rPr>
          <w:b/>
          <w:sz w:val="24"/>
          <w:szCs w:val="24"/>
        </w:rPr>
      </w:pPr>
      <w:r>
        <w:rPr>
          <w:b/>
          <w:sz w:val="24"/>
          <w:szCs w:val="24"/>
        </w:rPr>
        <w:t xml:space="preserve">Financiamento </w:t>
      </w:r>
      <w:r w:rsidR="009775E9">
        <w:rPr>
          <w:b/>
          <w:sz w:val="24"/>
          <w:szCs w:val="24"/>
        </w:rPr>
        <w:t xml:space="preserve">voltado </w:t>
      </w:r>
      <w:r>
        <w:rPr>
          <w:b/>
          <w:sz w:val="24"/>
          <w:szCs w:val="24"/>
        </w:rPr>
        <w:t>para Evolução Tecnológica</w:t>
      </w:r>
      <w:r w:rsidR="00E960C5">
        <w:rPr>
          <w:b/>
          <w:sz w:val="24"/>
          <w:szCs w:val="24"/>
        </w:rPr>
        <w:t xml:space="preserve">: Operações Automáticas  </w:t>
      </w:r>
    </w:p>
    <w:p w14:paraId="4D769219" w14:textId="27A2D94C" w:rsidR="00B33CB9" w:rsidRDefault="009775E9" w:rsidP="00B33CB9">
      <w:pPr>
        <w:ind w:firstLine="360"/>
        <w:jc w:val="both"/>
      </w:pPr>
      <w:r>
        <w:t>Os modelos de crescimento endógeno (Romer, 1990) têm destacado o papel da inovação como elemento central para estimular o desenvolvimento econômico. A alocação de crédito direcionado para estimular industrialização precisa privilegiar a inovação tecnológica e gerando assim diferenciais competitivos sustentáveis.</w:t>
      </w:r>
      <w:r w:rsidR="00B33CB9">
        <w:t xml:space="preserve"> Entre os incentivos à inovação tecnológica mais consolidados no Brasil, podemos citar a </w:t>
      </w:r>
      <w:r>
        <w:t xml:space="preserve">Lei </w:t>
      </w:r>
      <w:r w:rsidR="00B33CB9">
        <w:t xml:space="preserve">do Bem (Lei </w:t>
      </w:r>
      <w:r>
        <w:t>11.196 de 2005</w:t>
      </w:r>
      <w:r w:rsidR="00B33CB9">
        <w:t xml:space="preserve">), que atua como um incentivo fiscal </w:t>
      </w:r>
      <w:r>
        <w:t>às atividades de P&amp;D</w:t>
      </w:r>
      <w:r w:rsidR="00B33CB9">
        <w:t xml:space="preserve">. Posteriormente, a </w:t>
      </w:r>
      <w:r>
        <w:t>Lei 11.744</w:t>
      </w:r>
      <w:r w:rsidR="00B33CB9">
        <w:t xml:space="preserve"> de </w:t>
      </w:r>
      <w:r>
        <w:t>2008, alterou alguns dos dispositivos da</w:t>
      </w:r>
      <w:r w:rsidR="00B33CB9">
        <w:t xml:space="preserve"> </w:t>
      </w:r>
      <w:r>
        <w:t>Lei do Bem concernentes aos incentivos fiscais</w:t>
      </w:r>
      <w:r w:rsidR="00B33CB9">
        <w:t xml:space="preserve">, permitindo esse benefício também as empresas assistidas pela </w:t>
      </w:r>
      <w:r>
        <w:t>Lei de Informática</w:t>
      </w:r>
      <w:r w:rsidR="00B33CB9">
        <w:t>.</w:t>
      </w:r>
    </w:p>
    <w:p w14:paraId="76D76A7A" w14:textId="4CB27128" w:rsidR="009B6356" w:rsidRDefault="00B33CB9" w:rsidP="009B6356">
      <w:pPr>
        <w:ind w:firstLine="360"/>
        <w:jc w:val="both"/>
      </w:pPr>
      <w:r>
        <w:t>No Brasil os recursos financeiros às empresas são disponibilizados, principalmente, pelo BNDES e pela Finep</w:t>
      </w:r>
      <w:r w:rsidR="009B6356">
        <w:t xml:space="preserve"> (</w:t>
      </w:r>
      <w:r w:rsidR="009B6356" w:rsidRPr="009B6356">
        <w:t>Financiadora de Estudos e Projetos</w:t>
      </w:r>
      <w:r w:rsidR="009B6356">
        <w:t>)</w:t>
      </w:r>
      <w:r>
        <w:t>.</w:t>
      </w:r>
      <w:r w:rsidR="009B6356">
        <w:t xml:space="preserve"> </w:t>
      </w:r>
      <w:r>
        <w:t>O BNDES</w:t>
      </w:r>
      <w:r w:rsidR="009B6356">
        <w:t xml:space="preserve"> financia </w:t>
      </w:r>
      <w:r>
        <w:t xml:space="preserve">de projetos de natureza tecnológica </w:t>
      </w:r>
      <w:r w:rsidR="009B6356">
        <w:t>através do F</w:t>
      </w:r>
      <w:r>
        <w:t xml:space="preserve">undo </w:t>
      </w:r>
      <w:r w:rsidR="009B6356">
        <w:t>T</w:t>
      </w:r>
      <w:r>
        <w:t>ecnológico</w:t>
      </w:r>
      <w:r w:rsidR="009B6356">
        <w:t xml:space="preserve"> </w:t>
      </w:r>
      <w:r>
        <w:t>(</w:t>
      </w:r>
      <w:proofErr w:type="spellStart"/>
      <w:r>
        <w:t>Funtec</w:t>
      </w:r>
      <w:proofErr w:type="spellEnd"/>
      <w:r>
        <w:t>)</w:t>
      </w:r>
      <w:r w:rsidR="009B6356">
        <w:t xml:space="preserve">, </w:t>
      </w:r>
      <w:r>
        <w:t xml:space="preserve">e </w:t>
      </w:r>
      <w:r w:rsidR="009B6356">
        <w:t xml:space="preserve">através de </w:t>
      </w:r>
      <w:r>
        <w:t>duas linhas de financiamento à inovação</w:t>
      </w:r>
      <w:r w:rsidR="009B6356">
        <w:t>: I</w:t>
      </w:r>
      <w:r>
        <w:t>novação PDI (projeto,</w:t>
      </w:r>
      <w:r w:rsidR="009B6356">
        <w:t xml:space="preserve"> </w:t>
      </w:r>
      <w:r>
        <w:t xml:space="preserve">desenvolvimento e inovação) e </w:t>
      </w:r>
      <w:r w:rsidR="009B6356">
        <w:t>I</w:t>
      </w:r>
      <w:r>
        <w:t xml:space="preserve">novação </w:t>
      </w:r>
      <w:r w:rsidR="009B6356">
        <w:t>P</w:t>
      </w:r>
      <w:r>
        <w:t xml:space="preserve">rodução. O objetivo </w:t>
      </w:r>
      <w:r w:rsidR="009B6356">
        <w:t xml:space="preserve">declarado é </w:t>
      </w:r>
      <w:r>
        <w:t>era “apoiar projetos</w:t>
      </w:r>
      <w:r w:rsidR="009B6356">
        <w:t xml:space="preserve"> </w:t>
      </w:r>
      <w:r>
        <w:t>de pesquisa, desenvolvimento e inovação (PD&amp;I) em áreas de notória relevância</w:t>
      </w:r>
      <w:r w:rsidR="009B6356">
        <w:t xml:space="preserve"> </w:t>
      </w:r>
      <w:r>
        <w:t>nacional, que permitam aproveitar oportunidades estratégicas e nas quais o país</w:t>
      </w:r>
      <w:r w:rsidR="009B6356">
        <w:t xml:space="preserve"> </w:t>
      </w:r>
      <w:r>
        <w:t xml:space="preserve">possa desenvolver liderança” (BNDES, 2010, p. 47). </w:t>
      </w:r>
    </w:p>
    <w:p w14:paraId="12A64AF0" w14:textId="1D0A6708" w:rsidR="009775E9" w:rsidRDefault="009775E9" w:rsidP="009775E9">
      <w:pPr>
        <w:jc w:val="both"/>
      </w:pPr>
    </w:p>
    <w:p w14:paraId="51075B7A" w14:textId="5188255E" w:rsidR="008D56CD" w:rsidRPr="005B6AF6" w:rsidRDefault="008D56CD" w:rsidP="008D56CD">
      <w:pPr>
        <w:pStyle w:val="Legenda"/>
        <w:jc w:val="center"/>
        <w:rPr>
          <w:color w:val="auto"/>
          <w:sz w:val="22"/>
          <w:szCs w:val="22"/>
        </w:rPr>
      </w:pPr>
      <w:r w:rsidRPr="005B6AF6">
        <w:rPr>
          <w:color w:val="auto"/>
          <w:sz w:val="22"/>
          <w:szCs w:val="22"/>
        </w:rPr>
        <w:t xml:space="preserve">Figura </w:t>
      </w:r>
      <w:r w:rsidRPr="005B6AF6">
        <w:rPr>
          <w:color w:val="auto"/>
          <w:sz w:val="22"/>
          <w:szCs w:val="22"/>
        </w:rPr>
        <w:fldChar w:fldCharType="begin"/>
      </w:r>
      <w:r w:rsidRPr="005B6AF6">
        <w:rPr>
          <w:color w:val="auto"/>
          <w:sz w:val="22"/>
          <w:szCs w:val="22"/>
        </w:rPr>
        <w:instrText xml:space="preserve"> SEQ Figura \* ARABIC </w:instrText>
      </w:r>
      <w:r w:rsidRPr="005B6AF6">
        <w:rPr>
          <w:color w:val="auto"/>
          <w:sz w:val="22"/>
          <w:szCs w:val="22"/>
        </w:rPr>
        <w:fldChar w:fldCharType="separate"/>
      </w:r>
      <w:r w:rsidR="006B4BB3">
        <w:rPr>
          <w:noProof/>
          <w:color w:val="auto"/>
          <w:sz w:val="22"/>
          <w:szCs w:val="22"/>
        </w:rPr>
        <w:t>4</w:t>
      </w:r>
      <w:r w:rsidRPr="005B6AF6">
        <w:rPr>
          <w:color w:val="auto"/>
          <w:sz w:val="22"/>
          <w:szCs w:val="22"/>
        </w:rPr>
        <w:fldChar w:fldCharType="end"/>
      </w:r>
      <w:r w:rsidRPr="005B6AF6">
        <w:rPr>
          <w:color w:val="auto"/>
          <w:sz w:val="22"/>
          <w:szCs w:val="22"/>
        </w:rPr>
        <w:t xml:space="preserve"> – </w:t>
      </w:r>
      <w:r w:rsidR="006B4BB3" w:rsidRPr="006B4BB3">
        <w:rPr>
          <w:color w:val="auto"/>
          <w:sz w:val="22"/>
          <w:szCs w:val="22"/>
        </w:rPr>
        <w:t>Total de Operações de Crédito</w:t>
      </w:r>
      <w:r w:rsidR="006B4BB3">
        <w:rPr>
          <w:color w:val="auto"/>
          <w:sz w:val="22"/>
          <w:szCs w:val="22"/>
        </w:rPr>
        <w:t xml:space="preserve"> das Operações de Apoio a Inovação e Total de Operações</w:t>
      </w:r>
      <w:r w:rsidR="006B4BB3" w:rsidRPr="006B4BB3">
        <w:rPr>
          <w:color w:val="auto"/>
          <w:sz w:val="22"/>
          <w:szCs w:val="22"/>
        </w:rPr>
        <w:t>: BNDES Automático</w:t>
      </w:r>
    </w:p>
    <w:p w14:paraId="59B88F1E" w14:textId="198FE39E" w:rsidR="0080739C" w:rsidRDefault="006B4BB3" w:rsidP="006B4BB3">
      <w:pPr>
        <w:ind w:left="360" w:firstLine="348"/>
        <w:jc w:val="center"/>
      </w:pPr>
      <w:r>
        <w:rPr>
          <w:noProof/>
        </w:rPr>
        <w:drawing>
          <wp:inline distT="0" distB="0" distL="0" distR="0" wp14:anchorId="0656419D" wp14:editId="70CC15D1">
            <wp:extent cx="4133850" cy="282765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0490" cy="2832201"/>
                    </a:xfrm>
                    <a:prstGeom prst="rect">
                      <a:avLst/>
                    </a:prstGeom>
                    <a:noFill/>
                  </pic:spPr>
                </pic:pic>
              </a:graphicData>
            </a:graphic>
          </wp:inline>
        </w:drawing>
      </w:r>
    </w:p>
    <w:p w14:paraId="6A62D40C" w14:textId="77777777" w:rsidR="005C5A92" w:rsidRDefault="005C5A92" w:rsidP="001107BC">
      <w:pPr>
        <w:pStyle w:val="Legenda"/>
        <w:ind w:left="720"/>
        <w:rPr>
          <w:b w:val="0"/>
          <w:bCs w:val="0"/>
          <w:color w:val="auto"/>
          <w:sz w:val="24"/>
          <w:szCs w:val="24"/>
        </w:rPr>
      </w:pPr>
    </w:p>
    <w:p w14:paraId="35A65ABC" w14:textId="2C3FF1F3" w:rsidR="001107BC" w:rsidRPr="005C5A92" w:rsidRDefault="005C5A92" w:rsidP="005C5A92">
      <w:pPr>
        <w:pStyle w:val="Legenda"/>
        <w:ind w:firstLine="360"/>
        <w:jc w:val="both"/>
        <w:rPr>
          <w:b w:val="0"/>
          <w:bCs w:val="0"/>
          <w:color w:val="auto"/>
          <w:sz w:val="24"/>
          <w:szCs w:val="24"/>
        </w:rPr>
      </w:pPr>
      <w:r>
        <w:rPr>
          <w:b w:val="0"/>
          <w:bCs w:val="0"/>
          <w:color w:val="auto"/>
          <w:sz w:val="24"/>
          <w:szCs w:val="24"/>
        </w:rPr>
        <w:t xml:space="preserve">Ainda são incipientes as </w:t>
      </w:r>
      <w:r w:rsidRPr="005C5A92">
        <w:rPr>
          <w:b w:val="0"/>
          <w:bCs w:val="0"/>
          <w:color w:val="auto"/>
          <w:sz w:val="24"/>
          <w:szCs w:val="24"/>
        </w:rPr>
        <w:t xml:space="preserve">operações marcadas </w:t>
      </w:r>
      <w:r>
        <w:rPr>
          <w:b w:val="0"/>
          <w:bCs w:val="0"/>
          <w:color w:val="auto"/>
          <w:sz w:val="24"/>
          <w:szCs w:val="24"/>
        </w:rPr>
        <w:t xml:space="preserve">diretamente na base de dados do BNDES sob a sigla “Inovação”. Enquanto as operações de apoio direto somam entre 1.000 e 7.000 operações mensais, as operações especificamente marcadas como inovação tecnológica somam entre 2 e 18 por mês, havendo alguns meses em que não foram observadas operações classificadas como inovação tecnológica.  </w:t>
      </w:r>
    </w:p>
    <w:p w14:paraId="6A99479C" w14:textId="77777777" w:rsidR="006B4BB3" w:rsidRDefault="006B4BB3" w:rsidP="006B4BB3"/>
    <w:p w14:paraId="4561BFEB" w14:textId="41CEF8BA" w:rsidR="006B4BB3" w:rsidRPr="005B6AF6" w:rsidRDefault="006B4BB3" w:rsidP="006B4BB3">
      <w:pPr>
        <w:pStyle w:val="Legenda"/>
        <w:jc w:val="center"/>
        <w:rPr>
          <w:color w:val="auto"/>
          <w:sz w:val="22"/>
          <w:szCs w:val="22"/>
        </w:rPr>
      </w:pPr>
      <w:r w:rsidRPr="005B6AF6">
        <w:rPr>
          <w:color w:val="auto"/>
          <w:sz w:val="22"/>
          <w:szCs w:val="22"/>
        </w:rPr>
        <w:t xml:space="preserve">Figura </w:t>
      </w:r>
      <w:r w:rsidRPr="005B6AF6">
        <w:rPr>
          <w:color w:val="auto"/>
          <w:sz w:val="22"/>
          <w:szCs w:val="22"/>
        </w:rPr>
        <w:fldChar w:fldCharType="begin"/>
      </w:r>
      <w:r w:rsidRPr="005B6AF6">
        <w:rPr>
          <w:color w:val="auto"/>
          <w:sz w:val="22"/>
          <w:szCs w:val="22"/>
        </w:rPr>
        <w:instrText xml:space="preserve"> SEQ Figura \* ARABIC </w:instrText>
      </w:r>
      <w:r w:rsidRPr="005B6AF6">
        <w:rPr>
          <w:color w:val="auto"/>
          <w:sz w:val="22"/>
          <w:szCs w:val="22"/>
        </w:rPr>
        <w:fldChar w:fldCharType="separate"/>
      </w:r>
      <w:r w:rsidR="00E960C5">
        <w:rPr>
          <w:noProof/>
          <w:color w:val="auto"/>
          <w:sz w:val="22"/>
          <w:szCs w:val="22"/>
        </w:rPr>
        <w:t>5</w:t>
      </w:r>
      <w:r w:rsidRPr="005B6AF6">
        <w:rPr>
          <w:color w:val="auto"/>
          <w:sz w:val="22"/>
          <w:szCs w:val="22"/>
        </w:rPr>
        <w:fldChar w:fldCharType="end"/>
      </w:r>
      <w:r w:rsidRPr="005B6AF6">
        <w:rPr>
          <w:color w:val="auto"/>
          <w:sz w:val="22"/>
          <w:szCs w:val="22"/>
        </w:rPr>
        <w:t xml:space="preserve"> – </w:t>
      </w:r>
      <w:r>
        <w:rPr>
          <w:color w:val="auto"/>
          <w:sz w:val="22"/>
          <w:szCs w:val="22"/>
        </w:rPr>
        <w:t>Valor das Operações e Valor de Desembolso nas Operações de Apoio a Inovação e Total de Operações</w:t>
      </w:r>
      <w:r w:rsidRPr="006B4BB3">
        <w:rPr>
          <w:color w:val="auto"/>
          <w:sz w:val="22"/>
          <w:szCs w:val="22"/>
        </w:rPr>
        <w:t>: BNDES Automático</w:t>
      </w:r>
    </w:p>
    <w:p w14:paraId="1B08CC4D" w14:textId="6F292B71" w:rsidR="006B4BB3" w:rsidRDefault="00E960C5" w:rsidP="006B4BB3">
      <w:pPr>
        <w:jc w:val="center"/>
      </w:pPr>
      <w:r>
        <w:rPr>
          <w:noProof/>
        </w:rPr>
        <w:drawing>
          <wp:inline distT="0" distB="0" distL="0" distR="0" wp14:anchorId="2CE39595" wp14:editId="5E421F21">
            <wp:extent cx="4172723" cy="296158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3788" cy="2976534"/>
                    </a:xfrm>
                    <a:prstGeom prst="rect">
                      <a:avLst/>
                    </a:prstGeom>
                    <a:noFill/>
                  </pic:spPr>
                </pic:pic>
              </a:graphicData>
            </a:graphic>
          </wp:inline>
        </w:drawing>
      </w:r>
    </w:p>
    <w:p w14:paraId="31063A42" w14:textId="77777777" w:rsidR="005C5A92" w:rsidRDefault="005C5A92" w:rsidP="005C5A92">
      <w:pPr>
        <w:pStyle w:val="Legenda"/>
        <w:ind w:firstLine="360"/>
        <w:jc w:val="both"/>
        <w:rPr>
          <w:b w:val="0"/>
          <w:bCs w:val="0"/>
          <w:color w:val="auto"/>
          <w:sz w:val="24"/>
          <w:szCs w:val="24"/>
        </w:rPr>
      </w:pPr>
      <w:r>
        <w:rPr>
          <w:b w:val="0"/>
          <w:bCs w:val="0"/>
          <w:color w:val="auto"/>
          <w:sz w:val="24"/>
          <w:szCs w:val="24"/>
        </w:rPr>
        <w:t xml:space="preserve">Também nos desembolsos e valor contratado, vemos que as iniciativas de apoio tecnológico ainda são incipientes. Isto considerando as </w:t>
      </w:r>
      <w:r w:rsidRPr="005C5A92">
        <w:rPr>
          <w:b w:val="0"/>
          <w:bCs w:val="0"/>
          <w:color w:val="auto"/>
          <w:sz w:val="24"/>
          <w:szCs w:val="24"/>
        </w:rPr>
        <w:t xml:space="preserve">operações marcadas </w:t>
      </w:r>
      <w:r>
        <w:rPr>
          <w:b w:val="0"/>
          <w:bCs w:val="0"/>
          <w:color w:val="auto"/>
          <w:sz w:val="24"/>
          <w:szCs w:val="24"/>
        </w:rPr>
        <w:t>diretamente na base de dados do BNDES sob a sigla “Inovação”. Enquanto o eixo do valor desembolsado e valor contratado é da ordem dos milhões, o eixo das operações de inovação encontra-se na casa dos milhões.</w:t>
      </w:r>
    </w:p>
    <w:p w14:paraId="135ABBD7" w14:textId="77777777" w:rsidR="006B4BB3" w:rsidRDefault="006B4BB3" w:rsidP="006B4BB3"/>
    <w:p w14:paraId="1AE4E1B4" w14:textId="5FE739B6" w:rsidR="006B4BB3" w:rsidRPr="005B6AF6" w:rsidRDefault="006B4BB3" w:rsidP="006B4BB3">
      <w:pPr>
        <w:pStyle w:val="Legenda"/>
        <w:jc w:val="center"/>
        <w:rPr>
          <w:color w:val="auto"/>
          <w:sz w:val="22"/>
          <w:szCs w:val="22"/>
        </w:rPr>
      </w:pPr>
      <w:bookmarkStart w:id="3" w:name="_Hlk134989748"/>
      <w:r w:rsidRPr="005B6AF6">
        <w:rPr>
          <w:color w:val="auto"/>
          <w:sz w:val="22"/>
          <w:szCs w:val="22"/>
        </w:rPr>
        <w:t xml:space="preserve">Figura </w:t>
      </w:r>
      <w:r w:rsidRPr="005B6AF6">
        <w:rPr>
          <w:color w:val="auto"/>
          <w:sz w:val="22"/>
          <w:szCs w:val="22"/>
        </w:rPr>
        <w:fldChar w:fldCharType="begin"/>
      </w:r>
      <w:r w:rsidRPr="005B6AF6">
        <w:rPr>
          <w:color w:val="auto"/>
          <w:sz w:val="22"/>
          <w:szCs w:val="22"/>
        </w:rPr>
        <w:instrText xml:space="preserve"> SEQ Figura \* ARABIC </w:instrText>
      </w:r>
      <w:r w:rsidRPr="005B6AF6">
        <w:rPr>
          <w:color w:val="auto"/>
          <w:sz w:val="22"/>
          <w:szCs w:val="22"/>
        </w:rPr>
        <w:fldChar w:fldCharType="separate"/>
      </w:r>
      <w:r w:rsidR="00E960C5">
        <w:rPr>
          <w:noProof/>
          <w:color w:val="auto"/>
          <w:sz w:val="22"/>
          <w:szCs w:val="22"/>
        </w:rPr>
        <w:t>6</w:t>
      </w:r>
      <w:r w:rsidRPr="005B6AF6">
        <w:rPr>
          <w:color w:val="auto"/>
          <w:sz w:val="22"/>
          <w:szCs w:val="22"/>
        </w:rPr>
        <w:fldChar w:fldCharType="end"/>
      </w:r>
      <w:r w:rsidRPr="005B6AF6">
        <w:rPr>
          <w:color w:val="auto"/>
          <w:sz w:val="22"/>
          <w:szCs w:val="22"/>
        </w:rPr>
        <w:t xml:space="preserve"> – </w:t>
      </w:r>
      <w:r>
        <w:rPr>
          <w:color w:val="auto"/>
          <w:sz w:val="22"/>
          <w:szCs w:val="22"/>
        </w:rPr>
        <w:t>Taxa de Juros nas Operações de Apoio a Inovação e Total de Operações</w:t>
      </w:r>
      <w:r w:rsidRPr="006B4BB3">
        <w:rPr>
          <w:color w:val="auto"/>
          <w:sz w:val="22"/>
          <w:szCs w:val="22"/>
        </w:rPr>
        <w:t>: BNDES Automático</w:t>
      </w:r>
    </w:p>
    <w:bookmarkEnd w:id="3"/>
    <w:p w14:paraId="322D6A7B" w14:textId="257B67B6" w:rsidR="006B4BB3" w:rsidRDefault="005C5A92" w:rsidP="005C5A92">
      <w:pPr>
        <w:jc w:val="center"/>
      </w:pPr>
      <w:r>
        <w:rPr>
          <w:noProof/>
        </w:rPr>
        <w:drawing>
          <wp:inline distT="0" distB="0" distL="0" distR="0" wp14:anchorId="7C38874D" wp14:editId="1E5F0571">
            <wp:extent cx="4387289" cy="2784399"/>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4678" cy="2789088"/>
                    </a:xfrm>
                    <a:prstGeom prst="rect">
                      <a:avLst/>
                    </a:prstGeom>
                    <a:noFill/>
                  </pic:spPr>
                </pic:pic>
              </a:graphicData>
            </a:graphic>
          </wp:inline>
        </w:drawing>
      </w:r>
    </w:p>
    <w:p w14:paraId="3CC60915" w14:textId="77777777" w:rsidR="00E960C5" w:rsidRDefault="00E960C5" w:rsidP="005C5A92">
      <w:pPr>
        <w:jc w:val="center"/>
      </w:pPr>
    </w:p>
    <w:p w14:paraId="71B6EF1A" w14:textId="77777777" w:rsidR="00E960C5" w:rsidRDefault="00E960C5" w:rsidP="005C5A92">
      <w:pPr>
        <w:jc w:val="center"/>
      </w:pPr>
    </w:p>
    <w:p w14:paraId="1DEB37EE" w14:textId="35F202FB" w:rsidR="00E960C5" w:rsidRDefault="00E960C5" w:rsidP="00E960C5">
      <w:pPr>
        <w:pStyle w:val="Legenda"/>
        <w:ind w:firstLine="360"/>
        <w:jc w:val="both"/>
        <w:rPr>
          <w:b w:val="0"/>
          <w:bCs w:val="0"/>
          <w:color w:val="auto"/>
          <w:sz w:val="24"/>
          <w:szCs w:val="24"/>
        </w:rPr>
      </w:pPr>
      <w:r>
        <w:rPr>
          <w:b w:val="0"/>
          <w:bCs w:val="0"/>
          <w:color w:val="auto"/>
          <w:sz w:val="24"/>
          <w:szCs w:val="24"/>
        </w:rPr>
        <w:t xml:space="preserve">A taxa de juros praticadas nas operações de inovação seguem o mesmo padrão das demais operações. Apenas no período mais recentes, a partir de 2021, que as taxas voltadas para apoio a inovação encontram-se em patamares abaixo das demais taxas. No entanto, mesmo nesse período observamos grande flutuações na taxa de juros nas operações marcadas como “inovação”. A baixa quantidade de operações classificadas como inovação, dificultam a delineamento de uma tendência clara no comportamento das taxas voltadas para inovação tecnológica. </w:t>
      </w:r>
    </w:p>
    <w:p w14:paraId="1761CC67" w14:textId="77777777" w:rsidR="00E960C5" w:rsidRPr="006B4BB3" w:rsidRDefault="00E960C5" w:rsidP="005C5A92">
      <w:pPr>
        <w:jc w:val="center"/>
      </w:pPr>
    </w:p>
    <w:p w14:paraId="35A0B891" w14:textId="28000043" w:rsidR="00E960C5" w:rsidRPr="00F173E9" w:rsidRDefault="00E960C5" w:rsidP="00E960C5">
      <w:pPr>
        <w:pStyle w:val="PargrafodaLista"/>
        <w:numPr>
          <w:ilvl w:val="0"/>
          <w:numId w:val="11"/>
        </w:numPr>
        <w:rPr>
          <w:b/>
          <w:sz w:val="24"/>
          <w:szCs w:val="24"/>
        </w:rPr>
      </w:pPr>
      <w:r>
        <w:rPr>
          <w:b/>
          <w:sz w:val="24"/>
          <w:szCs w:val="24"/>
        </w:rPr>
        <w:t xml:space="preserve">Financiamento voltado para Evolução Tecnológica: Operações Não-Automáticas  </w:t>
      </w:r>
    </w:p>
    <w:p w14:paraId="3C0A98A0" w14:textId="21E12925" w:rsidR="001E575D" w:rsidRDefault="00F173E9" w:rsidP="00F173E9">
      <w:pPr>
        <w:pStyle w:val="Legenda"/>
        <w:ind w:firstLine="360"/>
        <w:jc w:val="both"/>
        <w:rPr>
          <w:b w:val="0"/>
          <w:bCs w:val="0"/>
          <w:color w:val="auto"/>
          <w:sz w:val="24"/>
          <w:szCs w:val="24"/>
        </w:rPr>
      </w:pPr>
      <w:r w:rsidRPr="00F173E9">
        <w:rPr>
          <w:b w:val="0"/>
          <w:bCs w:val="0"/>
          <w:color w:val="auto"/>
          <w:sz w:val="24"/>
          <w:szCs w:val="24"/>
        </w:rPr>
        <w:t xml:space="preserve">Considerando as operações </w:t>
      </w:r>
      <w:r w:rsidR="00405F38">
        <w:rPr>
          <w:b w:val="0"/>
          <w:bCs w:val="0"/>
          <w:color w:val="auto"/>
          <w:sz w:val="24"/>
          <w:szCs w:val="24"/>
        </w:rPr>
        <w:t>não-automáticas</w:t>
      </w:r>
      <w:r w:rsidRPr="00F173E9">
        <w:rPr>
          <w:b w:val="0"/>
          <w:bCs w:val="0"/>
          <w:color w:val="auto"/>
          <w:sz w:val="24"/>
          <w:szCs w:val="24"/>
        </w:rPr>
        <w:t xml:space="preserve"> do BNDES, foram financiadas </w:t>
      </w:r>
      <w:r w:rsidR="00405F38">
        <w:rPr>
          <w:b w:val="0"/>
          <w:bCs w:val="0"/>
          <w:color w:val="auto"/>
          <w:sz w:val="24"/>
          <w:szCs w:val="24"/>
        </w:rPr>
        <w:t xml:space="preserve">entre 100 e 350 projetos no </w:t>
      </w:r>
      <w:r w:rsidRPr="00F173E9">
        <w:rPr>
          <w:b w:val="0"/>
          <w:bCs w:val="0"/>
          <w:color w:val="auto"/>
          <w:sz w:val="24"/>
          <w:szCs w:val="24"/>
        </w:rPr>
        <w:t>período 2017.</w:t>
      </w:r>
      <w:r w:rsidR="00405F38">
        <w:rPr>
          <w:b w:val="0"/>
          <w:bCs w:val="0"/>
          <w:color w:val="auto"/>
          <w:sz w:val="24"/>
          <w:szCs w:val="24"/>
        </w:rPr>
        <w:t xml:space="preserve"> A quantidade de projeto classificados como inovação é representa em média 6% do total de projeto na modalidade não-automáticas. Entretanto existem períodos em que não observamos nenhuma contratação na modalidade de crédito, possivelmente refletindo a baixa demanda por tal modalidade, ou a falta de priorização do governo em alguns momentos.</w:t>
      </w:r>
    </w:p>
    <w:p w14:paraId="61C732C8" w14:textId="77777777" w:rsidR="008C791B" w:rsidRPr="008C791B" w:rsidRDefault="008C791B" w:rsidP="008C791B"/>
    <w:p w14:paraId="44282944" w14:textId="10C2C776" w:rsidR="00F151F4" w:rsidRDefault="00F151F4" w:rsidP="00F151F4">
      <w:pPr>
        <w:pStyle w:val="Legenda"/>
        <w:jc w:val="center"/>
        <w:rPr>
          <w:color w:val="auto"/>
          <w:sz w:val="22"/>
          <w:szCs w:val="22"/>
        </w:rPr>
      </w:pPr>
      <w:bookmarkStart w:id="4" w:name="_Ref134989545"/>
      <w:r w:rsidRPr="005B6AF6">
        <w:rPr>
          <w:color w:val="auto"/>
          <w:sz w:val="22"/>
          <w:szCs w:val="22"/>
        </w:rPr>
        <w:t xml:space="preserve">Figura </w:t>
      </w:r>
      <w:r w:rsidRPr="005B6AF6">
        <w:rPr>
          <w:color w:val="auto"/>
          <w:sz w:val="22"/>
          <w:szCs w:val="22"/>
        </w:rPr>
        <w:fldChar w:fldCharType="begin"/>
      </w:r>
      <w:r w:rsidRPr="005B6AF6">
        <w:rPr>
          <w:color w:val="auto"/>
          <w:sz w:val="22"/>
          <w:szCs w:val="22"/>
        </w:rPr>
        <w:instrText xml:space="preserve"> SEQ Figura \* ARABIC </w:instrText>
      </w:r>
      <w:r w:rsidRPr="005B6AF6">
        <w:rPr>
          <w:color w:val="auto"/>
          <w:sz w:val="22"/>
          <w:szCs w:val="22"/>
        </w:rPr>
        <w:fldChar w:fldCharType="separate"/>
      </w:r>
      <w:r w:rsidR="00605774">
        <w:rPr>
          <w:noProof/>
          <w:color w:val="auto"/>
          <w:sz w:val="22"/>
          <w:szCs w:val="22"/>
        </w:rPr>
        <w:t>7</w:t>
      </w:r>
      <w:r w:rsidRPr="005B6AF6">
        <w:rPr>
          <w:color w:val="auto"/>
          <w:sz w:val="22"/>
          <w:szCs w:val="22"/>
        </w:rPr>
        <w:fldChar w:fldCharType="end"/>
      </w:r>
      <w:bookmarkEnd w:id="4"/>
      <w:r w:rsidRPr="005B6AF6">
        <w:rPr>
          <w:color w:val="auto"/>
          <w:sz w:val="22"/>
          <w:szCs w:val="22"/>
        </w:rPr>
        <w:t xml:space="preserve"> – </w:t>
      </w:r>
      <w:r w:rsidR="00605774">
        <w:rPr>
          <w:color w:val="auto"/>
          <w:sz w:val="22"/>
          <w:szCs w:val="22"/>
        </w:rPr>
        <w:t xml:space="preserve">Total de </w:t>
      </w:r>
      <w:r>
        <w:rPr>
          <w:color w:val="auto"/>
          <w:sz w:val="22"/>
          <w:szCs w:val="22"/>
        </w:rPr>
        <w:t>Operações de Apoio a Inovação e Total de Operações</w:t>
      </w:r>
      <w:r w:rsidRPr="006B4BB3">
        <w:rPr>
          <w:color w:val="auto"/>
          <w:sz w:val="22"/>
          <w:szCs w:val="22"/>
        </w:rPr>
        <w:t xml:space="preserve">: BNDES </w:t>
      </w:r>
      <w:r w:rsidR="00605774">
        <w:rPr>
          <w:color w:val="auto"/>
          <w:sz w:val="22"/>
          <w:szCs w:val="22"/>
        </w:rPr>
        <w:t>Não-</w:t>
      </w:r>
      <w:r w:rsidRPr="006B4BB3">
        <w:rPr>
          <w:color w:val="auto"/>
          <w:sz w:val="22"/>
          <w:szCs w:val="22"/>
        </w:rPr>
        <w:t>Automático</w:t>
      </w:r>
    </w:p>
    <w:p w14:paraId="251EE6DC" w14:textId="7F86BB98" w:rsidR="00605774" w:rsidRPr="00605774" w:rsidRDefault="00605774" w:rsidP="00605774">
      <w:pPr>
        <w:jc w:val="center"/>
      </w:pPr>
      <w:r>
        <w:rPr>
          <w:noProof/>
        </w:rPr>
        <w:drawing>
          <wp:inline distT="0" distB="0" distL="0" distR="0" wp14:anchorId="54A0FEA3" wp14:editId="0578585D">
            <wp:extent cx="4730595" cy="3651068"/>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3994" cy="3669127"/>
                    </a:xfrm>
                    <a:prstGeom prst="rect">
                      <a:avLst/>
                    </a:prstGeom>
                    <a:noFill/>
                  </pic:spPr>
                </pic:pic>
              </a:graphicData>
            </a:graphic>
          </wp:inline>
        </w:drawing>
      </w:r>
    </w:p>
    <w:p w14:paraId="7F8D39EB" w14:textId="77777777" w:rsidR="00605774" w:rsidRDefault="00605774" w:rsidP="00605774">
      <w:pPr>
        <w:pStyle w:val="Legenda"/>
        <w:jc w:val="center"/>
        <w:rPr>
          <w:color w:val="auto"/>
          <w:sz w:val="22"/>
          <w:szCs w:val="22"/>
        </w:rPr>
      </w:pPr>
    </w:p>
    <w:p w14:paraId="1479CD22" w14:textId="55F43885" w:rsidR="00605774" w:rsidRPr="00405F38" w:rsidRDefault="00A76A81" w:rsidP="00405F38">
      <w:pPr>
        <w:ind w:firstLine="360"/>
        <w:jc w:val="both"/>
        <w:rPr>
          <w:sz w:val="24"/>
          <w:szCs w:val="24"/>
        </w:rPr>
      </w:pPr>
      <w:r>
        <w:rPr>
          <w:sz w:val="24"/>
          <w:szCs w:val="24"/>
        </w:rPr>
        <w:lastRenderedPageBreak/>
        <w:t xml:space="preserve">Apesar da baixa quantidade de projeto voltados para inovação tecnológica, o valor desses projetos é elevado. A </w:t>
      </w:r>
      <w:r>
        <w:rPr>
          <w:sz w:val="24"/>
          <w:szCs w:val="24"/>
        </w:rPr>
        <w:fldChar w:fldCharType="begin"/>
      </w:r>
      <w:r>
        <w:rPr>
          <w:sz w:val="24"/>
          <w:szCs w:val="24"/>
        </w:rPr>
        <w:instrText xml:space="preserve"> REF _Ref134989545 \h </w:instrText>
      </w:r>
      <w:r>
        <w:rPr>
          <w:sz w:val="24"/>
          <w:szCs w:val="24"/>
        </w:rPr>
      </w:r>
      <w:r>
        <w:rPr>
          <w:sz w:val="24"/>
          <w:szCs w:val="24"/>
        </w:rPr>
        <w:fldChar w:fldCharType="separate"/>
      </w:r>
      <w:r w:rsidRPr="005B6AF6">
        <w:t xml:space="preserve">Figura </w:t>
      </w:r>
      <w:r>
        <w:rPr>
          <w:noProof/>
        </w:rPr>
        <w:t>7</w:t>
      </w:r>
      <w:r>
        <w:rPr>
          <w:sz w:val="24"/>
          <w:szCs w:val="24"/>
        </w:rPr>
        <w:fldChar w:fldCharType="end"/>
      </w:r>
      <w:r>
        <w:rPr>
          <w:sz w:val="24"/>
          <w:szCs w:val="24"/>
        </w:rPr>
        <w:t xml:space="preserve"> mostra que a quantidade de operações de crédito classificadas como inovação nas linhas não-automáticas gira em torno de 10 a 50 operações mensais, atingindo seu valor máximo em dezembro de 2014. Por outro lado, o total de operações gira em torno de 300 a 600 operações mensais. No entanto, o valor total direcionado para as operações de inovação é da ordem de bilhões de reais, tal como as demais operações não-automáticas. </w:t>
      </w:r>
    </w:p>
    <w:p w14:paraId="2844D8B0" w14:textId="77777777" w:rsidR="00A76A81" w:rsidRPr="00A76A81" w:rsidRDefault="00A76A81" w:rsidP="00A76A81"/>
    <w:p w14:paraId="634D6CB0" w14:textId="67F3F138" w:rsidR="00605774" w:rsidRDefault="00605774" w:rsidP="00605774">
      <w:pPr>
        <w:pStyle w:val="Legenda"/>
        <w:jc w:val="center"/>
        <w:rPr>
          <w:color w:val="auto"/>
          <w:sz w:val="22"/>
          <w:szCs w:val="22"/>
        </w:rPr>
      </w:pPr>
      <w:r w:rsidRPr="005B6AF6">
        <w:rPr>
          <w:color w:val="auto"/>
          <w:sz w:val="22"/>
          <w:szCs w:val="22"/>
        </w:rPr>
        <w:t xml:space="preserve">Figura </w:t>
      </w:r>
      <w:r w:rsidRPr="005B6AF6">
        <w:rPr>
          <w:color w:val="auto"/>
          <w:sz w:val="22"/>
          <w:szCs w:val="22"/>
        </w:rPr>
        <w:fldChar w:fldCharType="begin"/>
      </w:r>
      <w:r w:rsidRPr="005B6AF6">
        <w:rPr>
          <w:color w:val="auto"/>
          <w:sz w:val="22"/>
          <w:szCs w:val="22"/>
        </w:rPr>
        <w:instrText xml:space="preserve"> SEQ Figura \* ARABIC </w:instrText>
      </w:r>
      <w:r w:rsidRPr="005B6AF6">
        <w:rPr>
          <w:color w:val="auto"/>
          <w:sz w:val="22"/>
          <w:szCs w:val="22"/>
        </w:rPr>
        <w:fldChar w:fldCharType="separate"/>
      </w:r>
      <w:r>
        <w:rPr>
          <w:noProof/>
          <w:color w:val="auto"/>
          <w:sz w:val="22"/>
          <w:szCs w:val="22"/>
        </w:rPr>
        <w:t>8</w:t>
      </w:r>
      <w:r w:rsidRPr="005B6AF6">
        <w:rPr>
          <w:color w:val="auto"/>
          <w:sz w:val="22"/>
          <w:szCs w:val="22"/>
        </w:rPr>
        <w:fldChar w:fldCharType="end"/>
      </w:r>
      <w:r w:rsidRPr="005B6AF6">
        <w:rPr>
          <w:color w:val="auto"/>
          <w:sz w:val="22"/>
          <w:szCs w:val="22"/>
        </w:rPr>
        <w:t xml:space="preserve"> – </w:t>
      </w:r>
      <w:r>
        <w:rPr>
          <w:color w:val="auto"/>
          <w:sz w:val="22"/>
          <w:szCs w:val="22"/>
        </w:rPr>
        <w:t>Valor das Operações e Valor de Desembolso nas Operações de Apoio a Inovação e Total de Operações</w:t>
      </w:r>
      <w:r w:rsidRPr="006B4BB3">
        <w:rPr>
          <w:color w:val="auto"/>
          <w:sz w:val="22"/>
          <w:szCs w:val="22"/>
        </w:rPr>
        <w:t>: BNDES Automático</w:t>
      </w:r>
    </w:p>
    <w:p w14:paraId="0AAE88F0" w14:textId="37AE8D66" w:rsidR="00605774" w:rsidRPr="00605774" w:rsidRDefault="00605774" w:rsidP="00605774">
      <w:pPr>
        <w:jc w:val="center"/>
      </w:pPr>
      <w:r>
        <w:rPr>
          <w:noProof/>
        </w:rPr>
        <w:drawing>
          <wp:inline distT="0" distB="0" distL="0" distR="0" wp14:anchorId="6A38F8A9" wp14:editId="45E1F4C9">
            <wp:extent cx="4759604" cy="3293638"/>
            <wp:effectExtent l="0" t="0" r="3175"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1116" cy="3301604"/>
                    </a:xfrm>
                    <a:prstGeom prst="rect">
                      <a:avLst/>
                    </a:prstGeom>
                    <a:noFill/>
                  </pic:spPr>
                </pic:pic>
              </a:graphicData>
            </a:graphic>
          </wp:inline>
        </w:drawing>
      </w:r>
    </w:p>
    <w:p w14:paraId="550D46B3" w14:textId="77777777" w:rsidR="00605774" w:rsidRDefault="00605774" w:rsidP="00605774">
      <w:pPr>
        <w:ind w:firstLine="360"/>
        <w:jc w:val="both"/>
        <w:rPr>
          <w:sz w:val="24"/>
          <w:szCs w:val="24"/>
        </w:rPr>
      </w:pPr>
    </w:p>
    <w:p w14:paraId="01B07FD0" w14:textId="77777777" w:rsidR="004C0EA9" w:rsidRDefault="004C0EA9" w:rsidP="004C0EA9">
      <w:pPr>
        <w:pStyle w:val="Legenda"/>
        <w:ind w:firstLine="360"/>
        <w:jc w:val="both"/>
        <w:rPr>
          <w:b w:val="0"/>
          <w:bCs w:val="0"/>
          <w:color w:val="auto"/>
          <w:sz w:val="24"/>
          <w:szCs w:val="24"/>
        </w:rPr>
      </w:pPr>
      <w:r>
        <w:rPr>
          <w:b w:val="0"/>
          <w:bCs w:val="0"/>
          <w:color w:val="auto"/>
          <w:sz w:val="24"/>
          <w:szCs w:val="24"/>
        </w:rPr>
        <w:t>Não é possível observar nenhum padrão claro no comportamento da taxa de juros das operações classificadas como inovação nas modalidades de crédito não-automático. Talvez pela baixa quantidade de projetos classificados como inovação, não seja possível delinear nenhuma tendência clara de crescimento ou diminuição dos juros. A taxa de juros da totalidade de projetos apresenta uma leve tendencia de decrescimento, enquanto a taxa das operações não-automáticas classificadas como inovação parecem variar constantemente.</w:t>
      </w:r>
    </w:p>
    <w:p w14:paraId="5858973C" w14:textId="77777777" w:rsidR="00F151F4" w:rsidRDefault="00F151F4" w:rsidP="00813DDA">
      <w:pPr>
        <w:rPr>
          <w:sz w:val="24"/>
          <w:szCs w:val="24"/>
        </w:rPr>
      </w:pPr>
    </w:p>
    <w:p w14:paraId="614C35D6" w14:textId="77777777" w:rsidR="004C0EA9" w:rsidRDefault="004C0EA9" w:rsidP="00813DDA">
      <w:pPr>
        <w:rPr>
          <w:sz w:val="24"/>
          <w:szCs w:val="24"/>
        </w:rPr>
      </w:pPr>
    </w:p>
    <w:p w14:paraId="5CA86F9F" w14:textId="77777777" w:rsidR="004C0EA9" w:rsidRDefault="004C0EA9" w:rsidP="00813DDA">
      <w:pPr>
        <w:rPr>
          <w:sz w:val="24"/>
          <w:szCs w:val="24"/>
        </w:rPr>
      </w:pPr>
    </w:p>
    <w:p w14:paraId="561D112F" w14:textId="77777777" w:rsidR="004C0EA9" w:rsidRDefault="004C0EA9" w:rsidP="00813DDA">
      <w:pPr>
        <w:rPr>
          <w:sz w:val="24"/>
          <w:szCs w:val="24"/>
        </w:rPr>
      </w:pPr>
    </w:p>
    <w:p w14:paraId="26B80EA6" w14:textId="77777777" w:rsidR="004C0EA9" w:rsidRDefault="004C0EA9" w:rsidP="00813DDA">
      <w:pPr>
        <w:rPr>
          <w:sz w:val="24"/>
          <w:szCs w:val="24"/>
        </w:rPr>
      </w:pPr>
    </w:p>
    <w:p w14:paraId="3D836AE9" w14:textId="1555A8D6" w:rsidR="00CE292F" w:rsidRPr="005B6AF6" w:rsidRDefault="00CE292F" w:rsidP="00CE292F">
      <w:pPr>
        <w:pStyle w:val="Legenda"/>
        <w:jc w:val="center"/>
        <w:rPr>
          <w:color w:val="auto"/>
          <w:sz w:val="22"/>
          <w:szCs w:val="22"/>
        </w:rPr>
      </w:pPr>
      <w:r w:rsidRPr="005B6AF6">
        <w:rPr>
          <w:color w:val="auto"/>
          <w:sz w:val="22"/>
          <w:szCs w:val="22"/>
        </w:rPr>
        <w:t xml:space="preserve">Figura </w:t>
      </w:r>
      <w:r w:rsidRPr="005B6AF6">
        <w:rPr>
          <w:color w:val="auto"/>
          <w:sz w:val="22"/>
          <w:szCs w:val="22"/>
        </w:rPr>
        <w:fldChar w:fldCharType="begin"/>
      </w:r>
      <w:r w:rsidRPr="005B6AF6">
        <w:rPr>
          <w:color w:val="auto"/>
          <w:sz w:val="22"/>
          <w:szCs w:val="22"/>
        </w:rPr>
        <w:instrText xml:space="preserve"> SEQ Figura \* ARABIC </w:instrText>
      </w:r>
      <w:r w:rsidRPr="005B6AF6">
        <w:rPr>
          <w:color w:val="auto"/>
          <w:sz w:val="22"/>
          <w:szCs w:val="22"/>
        </w:rPr>
        <w:fldChar w:fldCharType="separate"/>
      </w:r>
      <w:r w:rsidR="00405F38">
        <w:rPr>
          <w:noProof/>
          <w:color w:val="auto"/>
          <w:sz w:val="22"/>
          <w:szCs w:val="22"/>
        </w:rPr>
        <w:t>9</w:t>
      </w:r>
      <w:r w:rsidRPr="005B6AF6">
        <w:rPr>
          <w:color w:val="auto"/>
          <w:sz w:val="22"/>
          <w:szCs w:val="22"/>
        </w:rPr>
        <w:fldChar w:fldCharType="end"/>
      </w:r>
      <w:r w:rsidRPr="005B6AF6">
        <w:rPr>
          <w:color w:val="auto"/>
          <w:sz w:val="22"/>
          <w:szCs w:val="22"/>
        </w:rPr>
        <w:t xml:space="preserve"> – </w:t>
      </w:r>
      <w:r>
        <w:rPr>
          <w:color w:val="auto"/>
          <w:sz w:val="22"/>
          <w:szCs w:val="22"/>
        </w:rPr>
        <w:t>Taxa de Juros nas Operações de Apoio a Inovação e Total de Operações</w:t>
      </w:r>
      <w:r w:rsidRPr="006B4BB3">
        <w:rPr>
          <w:color w:val="auto"/>
          <w:sz w:val="22"/>
          <w:szCs w:val="22"/>
        </w:rPr>
        <w:t xml:space="preserve">: BNDES </w:t>
      </w:r>
      <w:r>
        <w:rPr>
          <w:color w:val="auto"/>
          <w:sz w:val="22"/>
          <w:szCs w:val="22"/>
        </w:rPr>
        <w:t>Não-A</w:t>
      </w:r>
      <w:r w:rsidRPr="006B4BB3">
        <w:rPr>
          <w:color w:val="auto"/>
          <w:sz w:val="22"/>
          <w:szCs w:val="22"/>
        </w:rPr>
        <w:t>utomático</w:t>
      </w:r>
    </w:p>
    <w:p w14:paraId="20524E82" w14:textId="5FC8036A" w:rsidR="00F151F4" w:rsidRDefault="00A76A81" w:rsidP="00A76A81">
      <w:pPr>
        <w:jc w:val="center"/>
        <w:rPr>
          <w:sz w:val="24"/>
          <w:szCs w:val="24"/>
        </w:rPr>
      </w:pPr>
      <w:r>
        <w:rPr>
          <w:noProof/>
          <w:sz w:val="24"/>
          <w:szCs w:val="24"/>
        </w:rPr>
        <w:drawing>
          <wp:inline distT="0" distB="0" distL="0" distR="0" wp14:anchorId="0EBDFDDE" wp14:editId="64BC2AA4">
            <wp:extent cx="4175936" cy="2453636"/>
            <wp:effectExtent l="0" t="0" r="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101" cy="2462546"/>
                    </a:xfrm>
                    <a:prstGeom prst="rect">
                      <a:avLst/>
                    </a:prstGeom>
                    <a:noFill/>
                  </pic:spPr>
                </pic:pic>
              </a:graphicData>
            </a:graphic>
          </wp:inline>
        </w:drawing>
      </w:r>
    </w:p>
    <w:p w14:paraId="134EFA27" w14:textId="77777777" w:rsidR="00F151F4" w:rsidRPr="003C30F1" w:rsidRDefault="00F151F4" w:rsidP="00813DDA">
      <w:pPr>
        <w:rPr>
          <w:sz w:val="24"/>
          <w:szCs w:val="24"/>
        </w:rPr>
      </w:pPr>
    </w:p>
    <w:p w14:paraId="5429F9EE" w14:textId="15716756" w:rsidR="000D0BD1" w:rsidRPr="003C30F1" w:rsidRDefault="000D0BD1" w:rsidP="005B6AF6">
      <w:pPr>
        <w:pStyle w:val="PargrafodaLista"/>
        <w:numPr>
          <w:ilvl w:val="0"/>
          <w:numId w:val="11"/>
        </w:numPr>
        <w:rPr>
          <w:sz w:val="24"/>
          <w:szCs w:val="24"/>
        </w:rPr>
      </w:pPr>
      <w:r w:rsidRPr="003C30F1">
        <w:rPr>
          <w:b/>
          <w:sz w:val="24"/>
          <w:szCs w:val="24"/>
        </w:rPr>
        <w:t>Conclusão</w:t>
      </w:r>
      <w:r w:rsidRPr="003C30F1">
        <w:rPr>
          <w:sz w:val="24"/>
          <w:szCs w:val="24"/>
        </w:rPr>
        <w:t>:</w:t>
      </w:r>
    </w:p>
    <w:p w14:paraId="0EE9B85D" w14:textId="0A0F124A" w:rsidR="00813DDA" w:rsidRPr="00163495" w:rsidRDefault="00163495" w:rsidP="00163495">
      <w:pPr>
        <w:ind w:firstLine="360"/>
        <w:jc w:val="both"/>
        <w:rPr>
          <w:sz w:val="24"/>
          <w:szCs w:val="24"/>
        </w:rPr>
      </w:pPr>
      <w:r>
        <w:rPr>
          <w:sz w:val="24"/>
          <w:szCs w:val="24"/>
        </w:rPr>
        <w:t>Apresen</w:t>
      </w:r>
      <w:r w:rsidRPr="00163495">
        <w:rPr>
          <w:sz w:val="24"/>
          <w:szCs w:val="24"/>
        </w:rPr>
        <w:t xml:space="preserve">tamos uma avaliação das taxas de juros praticadas nas linhas de financiamento do Banco Nacional de Desenvolvimento Econômico e Social (BNDES), considerando as modalidades de crédito automático e não- automático. Mais especificamente, comparamos as operações voltadas para inovação tecnológica com a totalidade das operações. A recente expansão de crédito na economia nacional deu-se principalmente pelo crédito livre, e ao mesmo tempo as operações classificadas como inovação </w:t>
      </w:r>
      <w:r w:rsidR="008B5841">
        <w:rPr>
          <w:sz w:val="24"/>
          <w:szCs w:val="24"/>
        </w:rPr>
        <w:t xml:space="preserve">não </w:t>
      </w:r>
      <w:r w:rsidRPr="00163495">
        <w:rPr>
          <w:sz w:val="24"/>
          <w:szCs w:val="24"/>
        </w:rPr>
        <w:t xml:space="preserve">apresentam comportamento </w:t>
      </w:r>
      <w:r w:rsidR="008B5841">
        <w:rPr>
          <w:sz w:val="24"/>
          <w:szCs w:val="24"/>
        </w:rPr>
        <w:t>claro</w:t>
      </w:r>
      <w:r w:rsidRPr="00163495">
        <w:rPr>
          <w:sz w:val="24"/>
          <w:szCs w:val="24"/>
        </w:rPr>
        <w:t xml:space="preserve">, no que diz respeito a quantidade de operações contratadas e comportamento da taxa de juros. </w:t>
      </w:r>
    </w:p>
    <w:p w14:paraId="09630C4A" w14:textId="5B3660A1" w:rsidR="00163495" w:rsidRPr="00163495" w:rsidRDefault="00163495" w:rsidP="008B5841">
      <w:pPr>
        <w:ind w:firstLine="360"/>
        <w:jc w:val="both"/>
        <w:rPr>
          <w:sz w:val="24"/>
          <w:szCs w:val="24"/>
        </w:rPr>
      </w:pPr>
      <w:r>
        <w:rPr>
          <w:sz w:val="24"/>
          <w:szCs w:val="24"/>
        </w:rPr>
        <w:t xml:space="preserve">Considerando as operações automáticas, a </w:t>
      </w:r>
      <w:r w:rsidRPr="00163495">
        <w:rPr>
          <w:sz w:val="24"/>
          <w:szCs w:val="24"/>
        </w:rPr>
        <w:t xml:space="preserve">taxa de juros </w:t>
      </w:r>
      <w:r>
        <w:rPr>
          <w:sz w:val="24"/>
          <w:szCs w:val="24"/>
        </w:rPr>
        <w:t xml:space="preserve">das </w:t>
      </w:r>
      <w:r w:rsidRPr="00163495">
        <w:rPr>
          <w:sz w:val="24"/>
          <w:szCs w:val="24"/>
        </w:rPr>
        <w:t xml:space="preserve">operações </w:t>
      </w:r>
      <w:r>
        <w:rPr>
          <w:sz w:val="24"/>
          <w:szCs w:val="24"/>
        </w:rPr>
        <w:t xml:space="preserve">classificadas como </w:t>
      </w:r>
      <w:r w:rsidRPr="00163495">
        <w:rPr>
          <w:sz w:val="24"/>
          <w:szCs w:val="24"/>
        </w:rPr>
        <w:t xml:space="preserve">inovação seguem o mesmo padrão das demais operações. </w:t>
      </w:r>
      <w:r>
        <w:rPr>
          <w:sz w:val="24"/>
          <w:szCs w:val="24"/>
        </w:rPr>
        <w:t>Nas operações não-automáticas, a</w:t>
      </w:r>
      <w:r w:rsidR="008B5841">
        <w:rPr>
          <w:sz w:val="24"/>
          <w:szCs w:val="24"/>
        </w:rPr>
        <w:t>s</w:t>
      </w:r>
      <w:r>
        <w:rPr>
          <w:sz w:val="24"/>
          <w:szCs w:val="24"/>
        </w:rPr>
        <w:t xml:space="preserve"> </w:t>
      </w:r>
      <w:r w:rsidRPr="00163495">
        <w:rPr>
          <w:sz w:val="24"/>
          <w:szCs w:val="24"/>
        </w:rPr>
        <w:t>taxa</w:t>
      </w:r>
      <w:r w:rsidR="008B5841">
        <w:rPr>
          <w:sz w:val="24"/>
          <w:szCs w:val="24"/>
        </w:rPr>
        <w:t>s</w:t>
      </w:r>
      <w:r w:rsidRPr="00163495">
        <w:rPr>
          <w:sz w:val="24"/>
          <w:szCs w:val="24"/>
        </w:rPr>
        <w:t xml:space="preserve"> de juros </w:t>
      </w:r>
      <w:r>
        <w:rPr>
          <w:sz w:val="24"/>
          <w:szCs w:val="24"/>
        </w:rPr>
        <w:t xml:space="preserve">das </w:t>
      </w:r>
      <w:r w:rsidRPr="00163495">
        <w:rPr>
          <w:sz w:val="24"/>
          <w:szCs w:val="24"/>
        </w:rPr>
        <w:t xml:space="preserve">operações </w:t>
      </w:r>
      <w:r w:rsidR="008B5841">
        <w:rPr>
          <w:sz w:val="24"/>
          <w:szCs w:val="24"/>
        </w:rPr>
        <w:t xml:space="preserve">de </w:t>
      </w:r>
      <w:r w:rsidRPr="00163495">
        <w:rPr>
          <w:sz w:val="24"/>
          <w:szCs w:val="24"/>
        </w:rPr>
        <w:t xml:space="preserve">inovação </w:t>
      </w:r>
      <w:r w:rsidR="008B5841">
        <w:rPr>
          <w:sz w:val="24"/>
          <w:szCs w:val="24"/>
        </w:rPr>
        <w:t xml:space="preserve">não seguem nenhum </w:t>
      </w:r>
      <w:r w:rsidRPr="00163495">
        <w:rPr>
          <w:sz w:val="24"/>
          <w:szCs w:val="24"/>
        </w:rPr>
        <w:t xml:space="preserve">padrão </w:t>
      </w:r>
      <w:r w:rsidR="008B5841">
        <w:rPr>
          <w:sz w:val="24"/>
          <w:szCs w:val="24"/>
        </w:rPr>
        <w:t>claramente identificados</w:t>
      </w:r>
      <w:r w:rsidRPr="00163495">
        <w:rPr>
          <w:sz w:val="24"/>
          <w:szCs w:val="24"/>
        </w:rPr>
        <w:t xml:space="preserve">. </w:t>
      </w:r>
      <w:r w:rsidR="008B5841">
        <w:rPr>
          <w:sz w:val="24"/>
          <w:szCs w:val="24"/>
        </w:rPr>
        <w:t>De forma geral, o</w:t>
      </w:r>
      <w:r w:rsidRPr="00163495">
        <w:rPr>
          <w:sz w:val="24"/>
          <w:szCs w:val="24"/>
        </w:rPr>
        <w:t xml:space="preserve">bservamos grande flutuações na taxa de juros nas operações marcadas como “inovação”. A baixa quantidade de operações </w:t>
      </w:r>
      <w:r w:rsidR="008B5841">
        <w:rPr>
          <w:sz w:val="24"/>
          <w:szCs w:val="24"/>
        </w:rPr>
        <w:t xml:space="preserve">de </w:t>
      </w:r>
      <w:r w:rsidRPr="00163495">
        <w:rPr>
          <w:sz w:val="24"/>
          <w:szCs w:val="24"/>
        </w:rPr>
        <w:t xml:space="preserve">inovação, dificultam </w:t>
      </w:r>
      <w:r w:rsidR="008B5841">
        <w:rPr>
          <w:sz w:val="24"/>
          <w:szCs w:val="24"/>
        </w:rPr>
        <w:t xml:space="preserve">um diagnóstico claro na tendencia das </w:t>
      </w:r>
      <w:r w:rsidRPr="00163495">
        <w:rPr>
          <w:sz w:val="24"/>
          <w:szCs w:val="24"/>
        </w:rPr>
        <w:t>taxas voltadas para inovação tecnológica.</w:t>
      </w:r>
    </w:p>
    <w:p w14:paraId="53ED0485" w14:textId="46D34C44" w:rsidR="007F2195" w:rsidRDefault="007F2195" w:rsidP="00FA02B5">
      <w:pPr>
        <w:rPr>
          <w:b/>
          <w:i/>
        </w:rPr>
      </w:pPr>
    </w:p>
    <w:p w14:paraId="3321A066" w14:textId="5F58E5CB" w:rsidR="007F2195" w:rsidRDefault="007F2195" w:rsidP="00FA02B5">
      <w:pPr>
        <w:rPr>
          <w:b/>
          <w:i/>
        </w:rPr>
      </w:pPr>
    </w:p>
    <w:p w14:paraId="70747A41" w14:textId="3F8303D4" w:rsidR="00303593" w:rsidRDefault="00303593" w:rsidP="00FA02B5">
      <w:pPr>
        <w:rPr>
          <w:b/>
          <w:i/>
        </w:rPr>
      </w:pPr>
    </w:p>
    <w:p w14:paraId="2036AB5E" w14:textId="6C58F655" w:rsidR="00303593" w:rsidRDefault="00303593" w:rsidP="00FA02B5">
      <w:pPr>
        <w:rPr>
          <w:b/>
          <w:i/>
        </w:rPr>
      </w:pPr>
    </w:p>
    <w:p w14:paraId="39C67A79" w14:textId="0E553A18" w:rsidR="00303593" w:rsidRPr="00303593" w:rsidRDefault="00303593" w:rsidP="00FA02B5">
      <w:pPr>
        <w:rPr>
          <w:b/>
          <w:iCs/>
        </w:rPr>
      </w:pPr>
    </w:p>
    <w:p w14:paraId="200D6185" w14:textId="5025E9D6" w:rsidR="009B6356" w:rsidRPr="008B5841" w:rsidRDefault="00303593" w:rsidP="008B5841">
      <w:pPr>
        <w:rPr>
          <w:b/>
          <w:iCs/>
        </w:rPr>
      </w:pPr>
      <w:r w:rsidRPr="00303593">
        <w:rPr>
          <w:b/>
          <w:iCs/>
        </w:rPr>
        <w:t>Referencias:</w:t>
      </w:r>
    </w:p>
    <w:p w14:paraId="3DC78471" w14:textId="77777777" w:rsidR="009B6356" w:rsidRPr="00E064FB" w:rsidRDefault="009B6356" w:rsidP="008B5841">
      <w:pPr>
        <w:jc w:val="both"/>
        <w:rPr>
          <w:bCs/>
          <w:iCs/>
          <w:lang w:val="en-US"/>
        </w:rPr>
      </w:pPr>
      <w:r w:rsidRPr="009B6356">
        <w:rPr>
          <w:bCs/>
          <w:iCs/>
        </w:rPr>
        <w:t>BNDES</w:t>
      </w:r>
      <w:r>
        <w:rPr>
          <w:bCs/>
          <w:iCs/>
        </w:rPr>
        <w:t xml:space="preserve">, </w:t>
      </w:r>
      <w:r w:rsidRPr="009B6356">
        <w:rPr>
          <w:bCs/>
          <w:iCs/>
        </w:rPr>
        <w:t xml:space="preserve">Banco Nacional De Desenvolvimento Econômico. Apoio à inovação. Brasília: BNDES, 2010. </w:t>
      </w:r>
      <w:proofErr w:type="spellStart"/>
      <w:r w:rsidRPr="00E064FB">
        <w:rPr>
          <w:bCs/>
          <w:iCs/>
          <w:lang w:val="en-US"/>
        </w:rPr>
        <w:t>Disponível</w:t>
      </w:r>
      <w:proofErr w:type="spellEnd"/>
      <w:r w:rsidRPr="00E064FB">
        <w:rPr>
          <w:bCs/>
          <w:iCs/>
          <w:lang w:val="en-US"/>
        </w:rPr>
        <w:t xml:space="preserve"> </w:t>
      </w:r>
      <w:proofErr w:type="spellStart"/>
      <w:r w:rsidRPr="00E064FB">
        <w:rPr>
          <w:bCs/>
          <w:iCs/>
          <w:lang w:val="en-US"/>
        </w:rPr>
        <w:t>em</w:t>
      </w:r>
      <w:proofErr w:type="spellEnd"/>
      <w:r w:rsidRPr="00E064FB">
        <w:rPr>
          <w:bCs/>
          <w:iCs/>
          <w:lang w:val="en-US"/>
        </w:rPr>
        <w:t>: &lt;://twixar.me/</w:t>
      </w:r>
      <w:proofErr w:type="spellStart"/>
      <w:r w:rsidRPr="00E064FB">
        <w:rPr>
          <w:bCs/>
          <w:iCs/>
          <w:lang w:val="en-US"/>
        </w:rPr>
        <w:t>XLkn</w:t>
      </w:r>
      <w:proofErr w:type="spellEnd"/>
      <w:r w:rsidRPr="00E064FB">
        <w:rPr>
          <w:bCs/>
          <w:iCs/>
          <w:lang w:val="en-US"/>
        </w:rPr>
        <w:t xml:space="preserve">&gt;. </w:t>
      </w:r>
    </w:p>
    <w:p w14:paraId="565FE0ED" w14:textId="2A60ED49" w:rsidR="009775E9" w:rsidRPr="009775E9" w:rsidRDefault="009775E9" w:rsidP="008B5841">
      <w:pPr>
        <w:jc w:val="both"/>
        <w:rPr>
          <w:bCs/>
          <w:iCs/>
          <w:lang w:val="en-US"/>
        </w:rPr>
      </w:pPr>
      <w:r>
        <w:rPr>
          <w:bCs/>
          <w:iCs/>
          <w:lang w:val="en-US"/>
        </w:rPr>
        <w:t>Romer</w:t>
      </w:r>
      <w:r w:rsidRPr="009775E9">
        <w:rPr>
          <w:bCs/>
          <w:iCs/>
          <w:lang w:val="en-US"/>
        </w:rPr>
        <w:t>, P. M. Endogenous t</w:t>
      </w:r>
      <w:r w:rsidR="009B6356">
        <w:rPr>
          <w:bCs/>
          <w:iCs/>
          <w:lang w:val="en-US"/>
        </w:rPr>
        <w:t>e</w:t>
      </w:r>
      <w:r w:rsidRPr="009775E9">
        <w:rPr>
          <w:bCs/>
          <w:iCs/>
          <w:lang w:val="en-US"/>
        </w:rPr>
        <w:t>chnological change. The Journal of Politica</w:t>
      </w:r>
      <w:r w:rsidR="009B6356">
        <w:rPr>
          <w:bCs/>
          <w:iCs/>
          <w:lang w:val="en-US"/>
        </w:rPr>
        <w:t>l</w:t>
      </w:r>
      <w:r>
        <w:rPr>
          <w:bCs/>
          <w:iCs/>
          <w:lang w:val="en-US"/>
        </w:rPr>
        <w:t xml:space="preserve"> </w:t>
      </w:r>
      <w:r w:rsidRPr="009775E9">
        <w:rPr>
          <w:bCs/>
          <w:iCs/>
          <w:lang w:val="en-US"/>
        </w:rPr>
        <w:t>Economy, v. 98, n. 5, part 2, Oct. 1990, p. S71-S102.</w:t>
      </w:r>
    </w:p>
    <w:p w14:paraId="758CDD28" w14:textId="60A2889D" w:rsidR="007F2195" w:rsidRPr="007F2195" w:rsidRDefault="00303593" w:rsidP="008B5841">
      <w:pPr>
        <w:jc w:val="both"/>
        <w:rPr>
          <w:b/>
          <w:iCs/>
        </w:rPr>
      </w:pPr>
      <w:r w:rsidRPr="00303593">
        <w:rPr>
          <w:bCs/>
          <w:iCs/>
        </w:rPr>
        <w:t>Siqueira, L. Depois da Selic, é hora da TJLP, 2017.</w:t>
      </w:r>
      <w:r>
        <w:rPr>
          <w:bCs/>
          <w:iCs/>
        </w:rPr>
        <w:t xml:space="preserve"> Portal APEOP. Disponível em: </w:t>
      </w:r>
      <w:r w:rsidRPr="00303593">
        <w:rPr>
          <w:bCs/>
          <w:iCs/>
        </w:rPr>
        <w:t>http://www.portal.apeop.org.br/depois-da-selic-e-hora-da-tjlp</w:t>
      </w:r>
    </w:p>
    <w:sectPr w:rsidR="007F2195" w:rsidRPr="007F2195" w:rsidSect="008C791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35226" w14:textId="77777777" w:rsidR="00A914F3" w:rsidRDefault="00A914F3" w:rsidP="00594D69">
      <w:pPr>
        <w:spacing w:after="0" w:line="240" w:lineRule="auto"/>
      </w:pPr>
      <w:r>
        <w:separator/>
      </w:r>
    </w:p>
  </w:endnote>
  <w:endnote w:type="continuationSeparator" w:id="0">
    <w:p w14:paraId="040AF24F" w14:textId="77777777" w:rsidR="00A914F3" w:rsidRDefault="00A914F3" w:rsidP="00594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F57A1" w14:textId="77777777" w:rsidR="00A914F3" w:rsidRDefault="00A914F3" w:rsidP="00594D69">
      <w:pPr>
        <w:spacing w:after="0" w:line="240" w:lineRule="auto"/>
      </w:pPr>
      <w:r>
        <w:separator/>
      </w:r>
    </w:p>
  </w:footnote>
  <w:footnote w:type="continuationSeparator" w:id="0">
    <w:p w14:paraId="3C57016E" w14:textId="77777777" w:rsidR="00A914F3" w:rsidRDefault="00A914F3" w:rsidP="00594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76D"/>
    <w:multiLevelType w:val="multilevel"/>
    <w:tmpl w:val="55D8CB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DF54B7"/>
    <w:multiLevelType w:val="hybridMultilevel"/>
    <w:tmpl w:val="83DAB7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8F68CE"/>
    <w:multiLevelType w:val="multilevel"/>
    <w:tmpl w:val="6F48B3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39A512F"/>
    <w:multiLevelType w:val="hybridMultilevel"/>
    <w:tmpl w:val="8E3AA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606427"/>
    <w:multiLevelType w:val="multilevel"/>
    <w:tmpl w:val="6F48B3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EC42DA6"/>
    <w:multiLevelType w:val="multilevel"/>
    <w:tmpl w:val="CD8293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730FB7"/>
    <w:multiLevelType w:val="multilevel"/>
    <w:tmpl w:val="6F48B3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48C71E1"/>
    <w:multiLevelType w:val="hybridMultilevel"/>
    <w:tmpl w:val="67E683F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9182C6A"/>
    <w:multiLevelType w:val="hybridMultilevel"/>
    <w:tmpl w:val="E30254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2052430"/>
    <w:multiLevelType w:val="multilevel"/>
    <w:tmpl w:val="6F48B3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ADE1739"/>
    <w:multiLevelType w:val="hybridMultilevel"/>
    <w:tmpl w:val="08DE67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20910213">
    <w:abstractNumId w:val="3"/>
  </w:num>
  <w:num w:numId="2" w16cid:durableId="1309895879">
    <w:abstractNumId w:val="10"/>
  </w:num>
  <w:num w:numId="3" w16cid:durableId="1207647049">
    <w:abstractNumId w:val="4"/>
  </w:num>
  <w:num w:numId="4" w16cid:durableId="614562175">
    <w:abstractNumId w:val="2"/>
  </w:num>
  <w:num w:numId="5" w16cid:durableId="537937416">
    <w:abstractNumId w:val="5"/>
  </w:num>
  <w:num w:numId="6" w16cid:durableId="2118744683">
    <w:abstractNumId w:val="9"/>
  </w:num>
  <w:num w:numId="7" w16cid:durableId="371005340">
    <w:abstractNumId w:val="6"/>
  </w:num>
  <w:num w:numId="8" w16cid:durableId="1296375404">
    <w:abstractNumId w:val="8"/>
  </w:num>
  <w:num w:numId="9" w16cid:durableId="573395753">
    <w:abstractNumId w:val="1"/>
  </w:num>
  <w:num w:numId="10" w16cid:durableId="1969778322">
    <w:abstractNumId w:val="7"/>
  </w:num>
  <w:num w:numId="11" w16cid:durableId="1982273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592"/>
    <w:rsid w:val="00002A27"/>
    <w:rsid w:val="00007BE6"/>
    <w:rsid w:val="00016F98"/>
    <w:rsid w:val="00036925"/>
    <w:rsid w:val="0004466F"/>
    <w:rsid w:val="00067B48"/>
    <w:rsid w:val="00083565"/>
    <w:rsid w:val="000A2E04"/>
    <w:rsid w:val="000A44DE"/>
    <w:rsid w:val="000B12DC"/>
    <w:rsid w:val="000C53DA"/>
    <w:rsid w:val="000D0BD1"/>
    <w:rsid w:val="000E0DDD"/>
    <w:rsid w:val="0010724E"/>
    <w:rsid w:val="001107BC"/>
    <w:rsid w:val="00140D06"/>
    <w:rsid w:val="00152B94"/>
    <w:rsid w:val="001608E8"/>
    <w:rsid w:val="00163495"/>
    <w:rsid w:val="00164FED"/>
    <w:rsid w:val="00172F16"/>
    <w:rsid w:val="001828BC"/>
    <w:rsid w:val="001B0C4F"/>
    <w:rsid w:val="001B27C4"/>
    <w:rsid w:val="001C68F1"/>
    <w:rsid w:val="001D3B43"/>
    <w:rsid w:val="001E4D23"/>
    <w:rsid w:val="001E575D"/>
    <w:rsid w:val="00215A1B"/>
    <w:rsid w:val="0022607D"/>
    <w:rsid w:val="00251205"/>
    <w:rsid w:val="0026142C"/>
    <w:rsid w:val="002634E0"/>
    <w:rsid w:val="0027444D"/>
    <w:rsid w:val="0028097F"/>
    <w:rsid w:val="002A109B"/>
    <w:rsid w:val="002C17A6"/>
    <w:rsid w:val="002D6A33"/>
    <w:rsid w:val="002F3992"/>
    <w:rsid w:val="0030321C"/>
    <w:rsid w:val="00303593"/>
    <w:rsid w:val="00314E40"/>
    <w:rsid w:val="00327EDF"/>
    <w:rsid w:val="00351FD5"/>
    <w:rsid w:val="00354FBC"/>
    <w:rsid w:val="0035545C"/>
    <w:rsid w:val="00357D58"/>
    <w:rsid w:val="00380CDC"/>
    <w:rsid w:val="0038353F"/>
    <w:rsid w:val="00383A9B"/>
    <w:rsid w:val="0038438C"/>
    <w:rsid w:val="00390233"/>
    <w:rsid w:val="003911F9"/>
    <w:rsid w:val="003A5166"/>
    <w:rsid w:val="003B342E"/>
    <w:rsid w:val="003C30F1"/>
    <w:rsid w:val="003D11B1"/>
    <w:rsid w:val="003E420D"/>
    <w:rsid w:val="003E597F"/>
    <w:rsid w:val="003F11FA"/>
    <w:rsid w:val="003F7E92"/>
    <w:rsid w:val="00405F38"/>
    <w:rsid w:val="00424757"/>
    <w:rsid w:val="004255F2"/>
    <w:rsid w:val="00431F0D"/>
    <w:rsid w:val="00436599"/>
    <w:rsid w:val="004374C3"/>
    <w:rsid w:val="00454D68"/>
    <w:rsid w:val="00465186"/>
    <w:rsid w:val="004924CF"/>
    <w:rsid w:val="004B1480"/>
    <w:rsid w:val="004B15A0"/>
    <w:rsid w:val="004B209B"/>
    <w:rsid w:val="004C0EA9"/>
    <w:rsid w:val="004C61B8"/>
    <w:rsid w:val="004D33E8"/>
    <w:rsid w:val="00510D30"/>
    <w:rsid w:val="00536A6B"/>
    <w:rsid w:val="0054653C"/>
    <w:rsid w:val="00552A84"/>
    <w:rsid w:val="00555650"/>
    <w:rsid w:val="00594D69"/>
    <w:rsid w:val="005A0592"/>
    <w:rsid w:val="005A56C2"/>
    <w:rsid w:val="005B6AF6"/>
    <w:rsid w:val="005C1F5E"/>
    <w:rsid w:val="005C5A92"/>
    <w:rsid w:val="005D41E4"/>
    <w:rsid w:val="005D693D"/>
    <w:rsid w:val="005E2710"/>
    <w:rsid w:val="00605774"/>
    <w:rsid w:val="00614C40"/>
    <w:rsid w:val="006242EF"/>
    <w:rsid w:val="00671DFC"/>
    <w:rsid w:val="006A0E05"/>
    <w:rsid w:val="006B4BB3"/>
    <w:rsid w:val="006B7ECA"/>
    <w:rsid w:val="006D08DD"/>
    <w:rsid w:val="006D1AD4"/>
    <w:rsid w:val="006D7B30"/>
    <w:rsid w:val="006E1F48"/>
    <w:rsid w:val="006F6B6C"/>
    <w:rsid w:val="006F7193"/>
    <w:rsid w:val="0070434C"/>
    <w:rsid w:val="00706127"/>
    <w:rsid w:val="00716B2E"/>
    <w:rsid w:val="00744C3B"/>
    <w:rsid w:val="00751D7F"/>
    <w:rsid w:val="0076273E"/>
    <w:rsid w:val="00773D63"/>
    <w:rsid w:val="007920AE"/>
    <w:rsid w:val="00797F78"/>
    <w:rsid w:val="007B7A2E"/>
    <w:rsid w:val="007C430E"/>
    <w:rsid w:val="007F2195"/>
    <w:rsid w:val="007F7934"/>
    <w:rsid w:val="0080175C"/>
    <w:rsid w:val="00801BE2"/>
    <w:rsid w:val="00805FA3"/>
    <w:rsid w:val="0080739C"/>
    <w:rsid w:val="00813DDA"/>
    <w:rsid w:val="00823949"/>
    <w:rsid w:val="008270C9"/>
    <w:rsid w:val="00835E45"/>
    <w:rsid w:val="0084083A"/>
    <w:rsid w:val="008449A5"/>
    <w:rsid w:val="008942C1"/>
    <w:rsid w:val="008A6BE0"/>
    <w:rsid w:val="008B36AD"/>
    <w:rsid w:val="008B45AC"/>
    <w:rsid w:val="008B5841"/>
    <w:rsid w:val="008C478D"/>
    <w:rsid w:val="008C791B"/>
    <w:rsid w:val="008D3538"/>
    <w:rsid w:val="008D56CD"/>
    <w:rsid w:val="008E1FD5"/>
    <w:rsid w:val="00911967"/>
    <w:rsid w:val="0091719C"/>
    <w:rsid w:val="009337B4"/>
    <w:rsid w:val="00934B1A"/>
    <w:rsid w:val="00951C45"/>
    <w:rsid w:val="009530F3"/>
    <w:rsid w:val="009635AE"/>
    <w:rsid w:val="009744C2"/>
    <w:rsid w:val="009775E9"/>
    <w:rsid w:val="009834A6"/>
    <w:rsid w:val="00985022"/>
    <w:rsid w:val="00996F2A"/>
    <w:rsid w:val="009B281B"/>
    <w:rsid w:val="009B61E7"/>
    <w:rsid w:val="009B6356"/>
    <w:rsid w:val="009B7D4C"/>
    <w:rsid w:val="009C0A66"/>
    <w:rsid w:val="009D669D"/>
    <w:rsid w:val="009F00CA"/>
    <w:rsid w:val="009F40FF"/>
    <w:rsid w:val="009F7862"/>
    <w:rsid w:val="00A07DC0"/>
    <w:rsid w:val="00A16203"/>
    <w:rsid w:val="00A1735B"/>
    <w:rsid w:val="00A33EE6"/>
    <w:rsid w:val="00A57A38"/>
    <w:rsid w:val="00A677A1"/>
    <w:rsid w:val="00A76A81"/>
    <w:rsid w:val="00A914F3"/>
    <w:rsid w:val="00AA06F3"/>
    <w:rsid w:val="00AA54F2"/>
    <w:rsid w:val="00AB3ED2"/>
    <w:rsid w:val="00AB4D91"/>
    <w:rsid w:val="00AB5689"/>
    <w:rsid w:val="00AB7336"/>
    <w:rsid w:val="00AC730D"/>
    <w:rsid w:val="00AD6989"/>
    <w:rsid w:val="00AE42DF"/>
    <w:rsid w:val="00AF706E"/>
    <w:rsid w:val="00B04902"/>
    <w:rsid w:val="00B069D3"/>
    <w:rsid w:val="00B10DFD"/>
    <w:rsid w:val="00B1335D"/>
    <w:rsid w:val="00B14622"/>
    <w:rsid w:val="00B26375"/>
    <w:rsid w:val="00B33CB9"/>
    <w:rsid w:val="00B53883"/>
    <w:rsid w:val="00B65C62"/>
    <w:rsid w:val="00B717D6"/>
    <w:rsid w:val="00B75408"/>
    <w:rsid w:val="00B8237E"/>
    <w:rsid w:val="00B87FFD"/>
    <w:rsid w:val="00B91068"/>
    <w:rsid w:val="00BA11A8"/>
    <w:rsid w:val="00BC641F"/>
    <w:rsid w:val="00BD6A01"/>
    <w:rsid w:val="00BE4910"/>
    <w:rsid w:val="00BF123B"/>
    <w:rsid w:val="00C316F6"/>
    <w:rsid w:val="00C411F9"/>
    <w:rsid w:val="00C90FCA"/>
    <w:rsid w:val="00C96F44"/>
    <w:rsid w:val="00CA512C"/>
    <w:rsid w:val="00CB1141"/>
    <w:rsid w:val="00CE292F"/>
    <w:rsid w:val="00CE5B5E"/>
    <w:rsid w:val="00CE64A0"/>
    <w:rsid w:val="00CF7773"/>
    <w:rsid w:val="00D03B44"/>
    <w:rsid w:val="00D04921"/>
    <w:rsid w:val="00D0784D"/>
    <w:rsid w:val="00D11369"/>
    <w:rsid w:val="00D147AE"/>
    <w:rsid w:val="00D20DAA"/>
    <w:rsid w:val="00D4170E"/>
    <w:rsid w:val="00D42713"/>
    <w:rsid w:val="00D44E21"/>
    <w:rsid w:val="00D527F3"/>
    <w:rsid w:val="00D641B3"/>
    <w:rsid w:val="00D72EC7"/>
    <w:rsid w:val="00D864B5"/>
    <w:rsid w:val="00D873E1"/>
    <w:rsid w:val="00D90F56"/>
    <w:rsid w:val="00D97F6A"/>
    <w:rsid w:val="00DA7CF0"/>
    <w:rsid w:val="00DC3A2C"/>
    <w:rsid w:val="00DC5FDF"/>
    <w:rsid w:val="00DE6BD3"/>
    <w:rsid w:val="00DF55B5"/>
    <w:rsid w:val="00DF6B05"/>
    <w:rsid w:val="00E064FB"/>
    <w:rsid w:val="00E1309B"/>
    <w:rsid w:val="00E22E7D"/>
    <w:rsid w:val="00E372CD"/>
    <w:rsid w:val="00E413F5"/>
    <w:rsid w:val="00E70482"/>
    <w:rsid w:val="00E82582"/>
    <w:rsid w:val="00E9057C"/>
    <w:rsid w:val="00E960C5"/>
    <w:rsid w:val="00E96FF6"/>
    <w:rsid w:val="00EA1407"/>
    <w:rsid w:val="00EA7A1C"/>
    <w:rsid w:val="00EB05F6"/>
    <w:rsid w:val="00EB0DB3"/>
    <w:rsid w:val="00EC55F9"/>
    <w:rsid w:val="00F00947"/>
    <w:rsid w:val="00F05E4E"/>
    <w:rsid w:val="00F07F7B"/>
    <w:rsid w:val="00F151F4"/>
    <w:rsid w:val="00F173E9"/>
    <w:rsid w:val="00F22373"/>
    <w:rsid w:val="00F2573B"/>
    <w:rsid w:val="00F30450"/>
    <w:rsid w:val="00F30EEF"/>
    <w:rsid w:val="00F31D68"/>
    <w:rsid w:val="00F3267D"/>
    <w:rsid w:val="00F329EA"/>
    <w:rsid w:val="00F45EA7"/>
    <w:rsid w:val="00F47013"/>
    <w:rsid w:val="00F47EDE"/>
    <w:rsid w:val="00F64A4F"/>
    <w:rsid w:val="00F73DA3"/>
    <w:rsid w:val="00F82000"/>
    <w:rsid w:val="00F97DB2"/>
    <w:rsid w:val="00FA02B5"/>
    <w:rsid w:val="00FA452E"/>
    <w:rsid w:val="00FA63BB"/>
    <w:rsid w:val="00FB17CE"/>
    <w:rsid w:val="00FC1F20"/>
    <w:rsid w:val="00FE13F1"/>
    <w:rsid w:val="00FE7F47"/>
    <w:rsid w:val="00FF62BD"/>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9DD1A"/>
  <w15:docId w15:val="{491091C9-F018-4C2D-9616-F901C3320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A05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A0592"/>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har"/>
    <w:uiPriority w:val="10"/>
    <w:qFormat/>
    <w:rsid w:val="005A05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5A0592"/>
    <w:rPr>
      <w:rFonts w:asciiTheme="majorHAnsi" w:eastAsiaTheme="majorEastAsia" w:hAnsiTheme="majorHAnsi" w:cstheme="majorBidi"/>
      <w:color w:val="17365D" w:themeColor="text2" w:themeShade="BF"/>
      <w:spacing w:val="5"/>
      <w:kern w:val="28"/>
      <w:sz w:val="52"/>
      <w:szCs w:val="52"/>
    </w:rPr>
  </w:style>
  <w:style w:type="paragraph" w:styleId="PargrafodaLista">
    <w:name w:val="List Paragraph"/>
    <w:basedOn w:val="Normal"/>
    <w:uiPriority w:val="34"/>
    <w:qFormat/>
    <w:rsid w:val="005A0592"/>
    <w:pPr>
      <w:ind w:left="720"/>
      <w:contextualSpacing/>
    </w:pPr>
  </w:style>
  <w:style w:type="table" w:styleId="SombreamentoClaro-nfase1">
    <w:name w:val="Light Shading Accent 1"/>
    <w:basedOn w:val="Tabelanormal"/>
    <w:uiPriority w:val="60"/>
    <w:rsid w:val="00F47ED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
    <w:name w:val="Light Shading"/>
    <w:basedOn w:val="Tabelanormal"/>
    <w:uiPriority w:val="60"/>
    <w:rsid w:val="00671DF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bealho">
    <w:name w:val="header"/>
    <w:basedOn w:val="Normal"/>
    <w:link w:val="CabealhoChar"/>
    <w:uiPriority w:val="99"/>
    <w:unhideWhenUsed/>
    <w:rsid w:val="00594D6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94D69"/>
  </w:style>
  <w:style w:type="paragraph" w:styleId="Rodap">
    <w:name w:val="footer"/>
    <w:basedOn w:val="Normal"/>
    <w:link w:val="RodapChar"/>
    <w:uiPriority w:val="99"/>
    <w:unhideWhenUsed/>
    <w:rsid w:val="00594D69"/>
    <w:pPr>
      <w:tabs>
        <w:tab w:val="center" w:pos="4252"/>
        <w:tab w:val="right" w:pos="8504"/>
      </w:tabs>
      <w:spacing w:after="0" w:line="240" w:lineRule="auto"/>
    </w:pPr>
  </w:style>
  <w:style w:type="character" w:customStyle="1" w:styleId="RodapChar">
    <w:name w:val="Rodapé Char"/>
    <w:basedOn w:val="Fontepargpadro"/>
    <w:link w:val="Rodap"/>
    <w:uiPriority w:val="99"/>
    <w:rsid w:val="00594D69"/>
  </w:style>
  <w:style w:type="paragraph" w:styleId="Textodebalo">
    <w:name w:val="Balloon Text"/>
    <w:basedOn w:val="Normal"/>
    <w:link w:val="TextodebaloChar"/>
    <w:uiPriority w:val="99"/>
    <w:semiHidden/>
    <w:unhideWhenUsed/>
    <w:rsid w:val="00B717D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717D6"/>
    <w:rPr>
      <w:rFonts w:ascii="Tahoma" w:hAnsi="Tahoma" w:cs="Tahoma"/>
      <w:sz w:val="16"/>
      <w:szCs w:val="16"/>
    </w:rPr>
  </w:style>
  <w:style w:type="character" w:styleId="Hyperlink">
    <w:name w:val="Hyperlink"/>
    <w:basedOn w:val="Fontepargpadro"/>
    <w:uiPriority w:val="99"/>
    <w:unhideWhenUsed/>
    <w:rsid w:val="006D1AD4"/>
    <w:rPr>
      <w:color w:val="0000FF" w:themeColor="hyperlink"/>
      <w:u w:val="single"/>
    </w:rPr>
  </w:style>
  <w:style w:type="paragraph" w:styleId="Textodenotaderodap">
    <w:name w:val="footnote text"/>
    <w:basedOn w:val="Normal"/>
    <w:link w:val="TextodenotaderodapChar"/>
    <w:uiPriority w:val="99"/>
    <w:semiHidden/>
    <w:unhideWhenUsed/>
    <w:rsid w:val="00744C3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44C3B"/>
    <w:rPr>
      <w:sz w:val="20"/>
      <w:szCs w:val="20"/>
    </w:rPr>
  </w:style>
  <w:style w:type="character" w:styleId="Refdenotaderodap">
    <w:name w:val="footnote reference"/>
    <w:basedOn w:val="Fontepargpadro"/>
    <w:uiPriority w:val="99"/>
    <w:semiHidden/>
    <w:unhideWhenUsed/>
    <w:rsid w:val="00744C3B"/>
    <w:rPr>
      <w:vertAlign w:val="superscript"/>
    </w:rPr>
  </w:style>
  <w:style w:type="paragraph" w:styleId="Legenda">
    <w:name w:val="caption"/>
    <w:basedOn w:val="Normal"/>
    <w:next w:val="Normal"/>
    <w:uiPriority w:val="35"/>
    <w:unhideWhenUsed/>
    <w:qFormat/>
    <w:rsid w:val="006242EF"/>
    <w:pPr>
      <w:spacing w:line="240" w:lineRule="auto"/>
    </w:pPr>
    <w:rPr>
      <w:b/>
      <w:bCs/>
      <w:color w:val="4F81BD" w:themeColor="accent1"/>
      <w:sz w:val="18"/>
      <w:szCs w:val="18"/>
    </w:rPr>
  </w:style>
  <w:style w:type="table" w:styleId="Tabelacomgrade">
    <w:name w:val="Table Grid"/>
    <w:basedOn w:val="Tabelanormal"/>
    <w:uiPriority w:val="59"/>
    <w:rsid w:val="004B1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111">
      <w:bodyDiv w:val="1"/>
      <w:marLeft w:val="0"/>
      <w:marRight w:val="0"/>
      <w:marTop w:val="0"/>
      <w:marBottom w:val="0"/>
      <w:divBdr>
        <w:top w:val="none" w:sz="0" w:space="0" w:color="auto"/>
        <w:left w:val="none" w:sz="0" w:space="0" w:color="auto"/>
        <w:bottom w:val="none" w:sz="0" w:space="0" w:color="auto"/>
        <w:right w:val="none" w:sz="0" w:space="0" w:color="auto"/>
      </w:divBdr>
    </w:div>
    <w:div w:id="67925649">
      <w:bodyDiv w:val="1"/>
      <w:marLeft w:val="0"/>
      <w:marRight w:val="0"/>
      <w:marTop w:val="0"/>
      <w:marBottom w:val="0"/>
      <w:divBdr>
        <w:top w:val="none" w:sz="0" w:space="0" w:color="auto"/>
        <w:left w:val="none" w:sz="0" w:space="0" w:color="auto"/>
        <w:bottom w:val="none" w:sz="0" w:space="0" w:color="auto"/>
        <w:right w:val="none" w:sz="0" w:space="0" w:color="auto"/>
      </w:divBdr>
    </w:div>
    <w:div w:id="164444410">
      <w:bodyDiv w:val="1"/>
      <w:marLeft w:val="0"/>
      <w:marRight w:val="0"/>
      <w:marTop w:val="0"/>
      <w:marBottom w:val="0"/>
      <w:divBdr>
        <w:top w:val="none" w:sz="0" w:space="0" w:color="auto"/>
        <w:left w:val="none" w:sz="0" w:space="0" w:color="auto"/>
        <w:bottom w:val="none" w:sz="0" w:space="0" w:color="auto"/>
        <w:right w:val="none" w:sz="0" w:space="0" w:color="auto"/>
      </w:divBdr>
    </w:div>
    <w:div w:id="174459281">
      <w:bodyDiv w:val="1"/>
      <w:marLeft w:val="0"/>
      <w:marRight w:val="0"/>
      <w:marTop w:val="0"/>
      <w:marBottom w:val="0"/>
      <w:divBdr>
        <w:top w:val="none" w:sz="0" w:space="0" w:color="auto"/>
        <w:left w:val="none" w:sz="0" w:space="0" w:color="auto"/>
        <w:bottom w:val="none" w:sz="0" w:space="0" w:color="auto"/>
        <w:right w:val="none" w:sz="0" w:space="0" w:color="auto"/>
      </w:divBdr>
    </w:div>
    <w:div w:id="184635070">
      <w:bodyDiv w:val="1"/>
      <w:marLeft w:val="0"/>
      <w:marRight w:val="0"/>
      <w:marTop w:val="0"/>
      <w:marBottom w:val="0"/>
      <w:divBdr>
        <w:top w:val="none" w:sz="0" w:space="0" w:color="auto"/>
        <w:left w:val="none" w:sz="0" w:space="0" w:color="auto"/>
        <w:bottom w:val="none" w:sz="0" w:space="0" w:color="auto"/>
        <w:right w:val="none" w:sz="0" w:space="0" w:color="auto"/>
      </w:divBdr>
    </w:div>
    <w:div w:id="186456498">
      <w:bodyDiv w:val="1"/>
      <w:marLeft w:val="0"/>
      <w:marRight w:val="0"/>
      <w:marTop w:val="0"/>
      <w:marBottom w:val="0"/>
      <w:divBdr>
        <w:top w:val="none" w:sz="0" w:space="0" w:color="auto"/>
        <w:left w:val="none" w:sz="0" w:space="0" w:color="auto"/>
        <w:bottom w:val="none" w:sz="0" w:space="0" w:color="auto"/>
        <w:right w:val="none" w:sz="0" w:space="0" w:color="auto"/>
      </w:divBdr>
    </w:div>
    <w:div w:id="316494337">
      <w:bodyDiv w:val="1"/>
      <w:marLeft w:val="0"/>
      <w:marRight w:val="0"/>
      <w:marTop w:val="0"/>
      <w:marBottom w:val="0"/>
      <w:divBdr>
        <w:top w:val="none" w:sz="0" w:space="0" w:color="auto"/>
        <w:left w:val="none" w:sz="0" w:space="0" w:color="auto"/>
        <w:bottom w:val="none" w:sz="0" w:space="0" w:color="auto"/>
        <w:right w:val="none" w:sz="0" w:space="0" w:color="auto"/>
      </w:divBdr>
    </w:div>
    <w:div w:id="355546568">
      <w:bodyDiv w:val="1"/>
      <w:marLeft w:val="0"/>
      <w:marRight w:val="0"/>
      <w:marTop w:val="0"/>
      <w:marBottom w:val="0"/>
      <w:divBdr>
        <w:top w:val="none" w:sz="0" w:space="0" w:color="auto"/>
        <w:left w:val="none" w:sz="0" w:space="0" w:color="auto"/>
        <w:bottom w:val="none" w:sz="0" w:space="0" w:color="auto"/>
        <w:right w:val="none" w:sz="0" w:space="0" w:color="auto"/>
      </w:divBdr>
    </w:div>
    <w:div w:id="459541267">
      <w:bodyDiv w:val="1"/>
      <w:marLeft w:val="0"/>
      <w:marRight w:val="0"/>
      <w:marTop w:val="0"/>
      <w:marBottom w:val="0"/>
      <w:divBdr>
        <w:top w:val="none" w:sz="0" w:space="0" w:color="auto"/>
        <w:left w:val="none" w:sz="0" w:space="0" w:color="auto"/>
        <w:bottom w:val="none" w:sz="0" w:space="0" w:color="auto"/>
        <w:right w:val="none" w:sz="0" w:space="0" w:color="auto"/>
      </w:divBdr>
    </w:div>
    <w:div w:id="496195716">
      <w:bodyDiv w:val="1"/>
      <w:marLeft w:val="0"/>
      <w:marRight w:val="0"/>
      <w:marTop w:val="0"/>
      <w:marBottom w:val="0"/>
      <w:divBdr>
        <w:top w:val="none" w:sz="0" w:space="0" w:color="auto"/>
        <w:left w:val="none" w:sz="0" w:space="0" w:color="auto"/>
        <w:bottom w:val="none" w:sz="0" w:space="0" w:color="auto"/>
        <w:right w:val="none" w:sz="0" w:space="0" w:color="auto"/>
      </w:divBdr>
    </w:div>
    <w:div w:id="560870771">
      <w:bodyDiv w:val="1"/>
      <w:marLeft w:val="0"/>
      <w:marRight w:val="0"/>
      <w:marTop w:val="0"/>
      <w:marBottom w:val="0"/>
      <w:divBdr>
        <w:top w:val="none" w:sz="0" w:space="0" w:color="auto"/>
        <w:left w:val="none" w:sz="0" w:space="0" w:color="auto"/>
        <w:bottom w:val="none" w:sz="0" w:space="0" w:color="auto"/>
        <w:right w:val="none" w:sz="0" w:space="0" w:color="auto"/>
      </w:divBdr>
    </w:div>
    <w:div w:id="626353905">
      <w:bodyDiv w:val="1"/>
      <w:marLeft w:val="0"/>
      <w:marRight w:val="0"/>
      <w:marTop w:val="0"/>
      <w:marBottom w:val="0"/>
      <w:divBdr>
        <w:top w:val="none" w:sz="0" w:space="0" w:color="auto"/>
        <w:left w:val="none" w:sz="0" w:space="0" w:color="auto"/>
        <w:bottom w:val="none" w:sz="0" w:space="0" w:color="auto"/>
        <w:right w:val="none" w:sz="0" w:space="0" w:color="auto"/>
      </w:divBdr>
    </w:div>
    <w:div w:id="635918843">
      <w:bodyDiv w:val="1"/>
      <w:marLeft w:val="0"/>
      <w:marRight w:val="0"/>
      <w:marTop w:val="0"/>
      <w:marBottom w:val="0"/>
      <w:divBdr>
        <w:top w:val="none" w:sz="0" w:space="0" w:color="auto"/>
        <w:left w:val="none" w:sz="0" w:space="0" w:color="auto"/>
        <w:bottom w:val="none" w:sz="0" w:space="0" w:color="auto"/>
        <w:right w:val="none" w:sz="0" w:space="0" w:color="auto"/>
      </w:divBdr>
    </w:div>
    <w:div w:id="657805542">
      <w:bodyDiv w:val="1"/>
      <w:marLeft w:val="0"/>
      <w:marRight w:val="0"/>
      <w:marTop w:val="0"/>
      <w:marBottom w:val="0"/>
      <w:divBdr>
        <w:top w:val="none" w:sz="0" w:space="0" w:color="auto"/>
        <w:left w:val="none" w:sz="0" w:space="0" w:color="auto"/>
        <w:bottom w:val="none" w:sz="0" w:space="0" w:color="auto"/>
        <w:right w:val="none" w:sz="0" w:space="0" w:color="auto"/>
      </w:divBdr>
    </w:div>
    <w:div w:id="666517578">
      <w:bodyDiv w:val="1"/>
      <w:marLeft w:val="0"/>
      <w:marRight w:val="0"/>
      <w:marTop w:val="0"/>
      <w:marBottom w:val="0"/>
      <w:divBdr>
        <w:top w:val="none" w:sz="0" w:space="0" w:color="auto"/>
        <w:left w:val="none" w:sz="0" w:space="0" w:color="auto"/>
        <w:bottom w:val="none" w:sz="0" w:space="0" w:color="auto"/>
        <w:right w:val="none" w:sz="0" w:space="0" w:color="auto"/>
      </w:divBdr>
    </w:div>
    <w:div w:id="738600573">
      <w:bodyDiv w:val="1"/>
      <w:marLeft w:val="0"/>
      <w:marRight w:val="0"/>
      <w:marTop w:val="0"/>
      <w:marBottom w:val="0"/>
      <w:divBdr>
        <w:top w:val="none" w:sz="0" w:space="0" w:color="auto"/>
        <w:left w:val="none" w:sz="0" w:space="0" w:color="auto"/>
        <w:bottom w:val="none" w:sz="0" w:space="0" w:color="auto"/>
        <w:right w:val="none" w:sz="0" w:space="0" w:color="auto"/>
      </w:divBdr>
    </w:div>
    <w:div w:id="810486907">
      <w:bodyDiv w:val="1"/>
      <w:marLeft w:val="0"/>
      <w:marRight w:val="0"/>
      <w:marTop w:val="0"/>
      <w:marBottom w:val="0"/>
      <w:divBdr>
        <w:top w:val="none" w:sz="0" w:space="0" w:color="auto"/>
        <w:left w:val="none" w:sz="0" w:space="0" w:color="auto"/>
        <w:bottom w:val="none" w:sz="0" w:space="0" w:color="auto"/>
        <w:right w:val="none" w:sz="0" w:space="0" w:color="auto"/>
      </w:divBdr>
    </w:div>
    <w:div w:id="879901324">
      <w:bodyDiv w:val="1"/>
      <w:marLeft w:val="0"/>
      <w:marRight w:val="0"/>
      <w:marTop w:val="0"/>
      <w:marBottom w:val="0"/>
      <w:divBdr>
        <w:top w:val="none" w:sz="0" w:space="0" w:color="auto"/>
        <w:left w:val="none" w:sz="0" w:space="0" w:color="auto"/>
        <w:bottom w:val="none" w:sz="0" w:space="0" w:color="auto"/>
        <w:right w:val="none" w:sz="0" w:space="0" w:color="auto"/>
      </w:divBdr>
    </w:div>
    <w:div w:id="910623449">
      <w:bodyDiv w:val="1"/>
      <w:marLeft w:val="0"/>
      <w:marRight w:val="0"/>
      <w:marTop w:val="0"/>
      <w:marBottom w:val="0"/>
      <w:divBdr>
        <w:top w:val="none" w:sz="0" w:space="0" w:color="auto"/>
        <w:left w:val="none" w:sz="0" w:space="0" w:color="auto"/>
        <w:bottom w:val="none" w:sz="0" w:space="0" w:color="auto"/>
        <w:right w:val="none" w:sz="0" w:space="0" w:color="auto"/>
      </w:divBdr>
    </w:div>
    <w:div w:id="976452517">
      <w:bodyDiv w:val="1"/>
      <w:marLeft w:val="0"/>
      <w:marRight w:val="0"/>
      <w:marTop w:val="0"/>
      <w:marBottom w:val="0"/>
      <w:divBdr>
        <w:top w:val="none" w:sz="0" w:space="0" w:color="auto"/>
        <w:left w:val="none" w:sz="0" w:space="0" w:color="auto"/>
        <w:bottom w:val="none" w:sz="0" w:space="0" w:color="auto"/>
        <w:right w:val="none" w:sz="0" w:space="0" w:color="auto"/>
      </w:divBdr>
    </w:div>
    <w:div w:id="1031420266">
      <w:bodyDiv w:val="1"/>
      <w:marLeft w:val="0"/>
      <w:marRight w:val="0"/>
      <w:marTop w:val="0"/>
      <w:marBottom w:val="0"/>
      <w:divBdr>
        <w:top w:val="none" w:sz="0" w:space="0" w:color="auto"/>
        <w:left w:val="none" w:sz="0" w:space="0" w:color="auto"/>
        <w:bottom w:val="none" w:sz="0" w:space="0" w:color="auto"/>
        <w:right w:val="none" w:sz="0" w:space="0" w:color="auto"/>
      </w:divBdr>
    </w:div>
    <w:div w:id="1081368294">
      <w:bodyDiv w:val="1"/>
      <w:marLeft w:val="0"/>
      <w:marRight w:val="0"/>
      <w:marTop w:val="0"/>
      <w:marBottom w:val="0"/>
      <w:divBdr>
        <w:top w:val="none" w:sz="0" w:space="0" w:color="auto"/>
        <w:left w:val="none" w:sz="0" w:space="0" w:color="auto"/>
        <w:bottom w:val="none" w:sz="0" w:space="0" w:color="auto"/>
        <w:right w:val="none" w:sz="0" w:space="0" w:color="auto"/>
      </w:divBdr>
    </w:div>
    <w:div w:id="1085692484">
      <w:bodyDiv w:val="1"/>
      <w:marLeft w:val="0"/>
      <w:marRight w:val="0"/>
      <w:marTop w:val="0"/>
      <w:marBottom w:val="0"/>
      <w:divBdr>
        <w:top w:val="none" w:sz="0" w:space="0" w:color="auto"/>
        <w:left w:val="none" w:sz="0" w:space="0" w:color="auto"/>
        <w:bottom w:val="none" w:sz="0" w:space="0" w:color="auto"/>
        <w:right w:val="none" w:sz="0" w:space="0" w:color="auto"/>
      </w:divBdr>
    </w:div>
    <w:div w:id="1235243296">
      <w:bodyDiv w:val="1"/>
      <w:marLeft w:val="0"/>
      <w:marRight w:val="0"/>
      <w:marTop w:val="0"/>
      <w:marBottom w:val="0"/>
      <w:divBdr>
        <w:top w:val="none" w:sz="0" w:space="0" w:color="auto"/>
        <w:left w:val="none" w:sz="0" w:space="0" w:color="auto"/>
        <w:bottom w:val="none" w:sz="0" w:space="0" w:color="auto"/>
        <w:right w:val="none" w:sz="0" w:space="0" w:color="auto"/>
      </w:divBdr>
    </w:div>
    <w:div w:id="1238399147">
      <w:bodyDiv w:val="1"/>
      <w:marLeft w:val="0"/>
      <w:marRight w:val="0"/>
      <w:marTop w:val="0"/>
      <w:marBottom w:val="0"/>
      <w:divBdr>
        <w:top w:val="none" w:sz="0" w:space="0" w:color="auto"/>
        <w:left w:val="none" w:sz="0" w:space="0" w:color="auto"/>
        <w:bottom w:val="none" w:sz="0" w:space="0" w:color="auto"/>
        <w:right w:val="none" w:sz="0" w:space="0" w:color="auto"/>
      </w:divBdr>
    </w:div>
    <w:div w:id="1283419707">
      <w:bodyDiv w:val="1"/>
      <w:marLeft w:val="0"/>
      <w:marRight w:val="0"/>
      <w:marTop w:val="0"/>
      <w:marBottom w:val="0"/>
      <w:divBdr>
        <w:top w:val="none" w:sz="0" w:space="0" w:color="auto"/>
        <w:left w:val="none" w:sz="0" w:space="0" w:color="auto"/>
        <w:bottom w:val="none" w:sz="0" w:space="0" w:color="auto"/>
        <w:right w:val="none" w:sz="0" w:space="0" w:color="auto"/>
      </w:divBdr>
    </w:div>
    <w:div w:id="1306473370">
      <w:bodyDiv w:val="1"/>
      <w:marLeft w:val="0"/>
      <w:marRight w:val="0"/>
      <w:marTop w:val="0"/>
      <w:marBottom w:val="0"/>
      <w:divBdr>
        <w:top w:val="none" w:sz="0" w:space="0" w:color="auto"/>
        <w:left w:val="none" w:sz="0" w:space="0" w:color="auto"/>
        <w:bottom w:val="none" w:sz="0" w:space="0" w:color="auto"/>
        <w:right w:val="none" w:sz="0" w:space="0" w:color="auto"/>
      </w:divBdr>
    </w:div>
    <w:div w:id="1378432331">
      <w:bodyDiv w:val="1"/>
      <w:marLeft w:val="0"/>
      <w:marRight w:val="0"/>
      <w:marTop w:val="0"/>
      <w:marBottom w:val="0"/>
      <w:divBdr>
        <w:top w:val="none" w:sz="0" w:space="0" w:color="auto"/>
        <w:left w:val="none" w:sz="0" w:space="0" w:color="auto"/>
        <w:bottom w:val="none" w:sz="0" w:space="0" w:color="auto"/>
        <w:right w:val="none" w:sz="0" w:space="0" w:color="auto"/>
      </w:divBdr>
    </w:div>
    <w:div w:id="1481576121">
      <w:bodyDiv w:val="1"/>
      <w:marLeft w:val="0"/>
      <w:marRight w:val="0"/>
      <w:marTop w:val="0"/>
      <w:marBottom w:val="0"/>
      <w:divBdr>
        <w:top w:val="none" w:sz="0" w:space="0" w:color="auto"/>
        <w:left w:val="none" w:sz="0" w:space="0" w:color="auto"/>
        <w:bottom w:val="none" w:sz="0" w:space="0" w:color="auto"/>
        <w:right w:val="none" w:sz="0" w:space="0" w:color="auto"/>
      </w:divBdr>
    </w:div>
    <w:div w:id="1570119774">
      <w:bodyDiv w:val="1"/>
      <w:marLeft w:val="0"/>
      <w:marRight w:val="0"/>
      <w:marTop w:val="0"/>
      <w:marBottom w:val="0"/>
      <w:divBdr>
        <w:top w:val="none" w:sz="0" w:space="0" w:color="auto"/>
        <w:left w:val="none" w:sz="0" w:space="0" w:color="auto"/>
        <w:bottom w:val="none" w:sz="0" w:space="0" w:color="auto"/>
        <w:right w:val="none" w:sz="0" w:space="0" w:color="auto"/>
      </w:divBdr>
    </w:div>
    <w:div w:id="1570462255">
      <w:bodyDiv w:val="1"/>
      <w:marLeft w:val="0"/>
      <w:marRight w:val="0"/>
      <w:marTop w:val="0"/>
      <w:marBottom w:val="0"/>
      <w:divBdr>
        <w:top w:val="none" w:sz="0" w:space="0" w:color="auto"/>
        <w:left w:val="none" w:sz="0" w:space="0" w:color="auto"/>
        <w:bottom w:val="none" w:sz="0" w:space="0" w:color="auto"/>
        <w:right w:val="none" w:sz="0" w:space="0" w:color="auto"/>
      </w:divBdr>
    </w:div>
    <w:div w:id="1574268326">
      <w:bodyDiv w:val="1"/>
      <w:marLeft w:val="0"/>
      <w:marRight w:val="0"/>
      <w:marTop w:val="0"/>
      <w:marBottom w:val="0"/>
      <w:divBdr>
        <w:top w:val="none" w:sz="0" w:space="0" w:color="auto"/>
        <w:left w:val="none" w:sz="0" w:space="0" w:color="auto"/>
        <w:bottom w:val="none" w:sz="0" w:space="0" w:color="auto"/>
        <w:right w:val="none" w:sz="0" w:space="0" w:color="auto"/>
      </w:divBdr>
    </w:div>
    <w:div w:id="1638410036">
      <w:bodyDiv w:val="1"/>
      <w:marLeft w:val="0"/>
      <w:marRight w:val="0"/>
      <w:marTop w:val="0"/>
      <w:marBottom w:val="0"/>
      <w:divBdr>
        <w:top w:val="none" w:sz="0" w:space="0" w:color="auto"/>
        <w:left w:val="none" w:sz="0" w:space="0" w:color="auto"/>
        <w:bottom w:val="none" w:sz="0" w:space="0" w:color="auto"/>
        <w:right w:val="none" w:sz="0" w:space="0" w:color="auto"/>
      </w:divBdr>
    </w:div>
    <w:div w:id="1642032768">
      <w:bodyDiv w:val="1"/>
      <w:marLeft w:val="0"/>
      <w:marRight w:val="0"/>
      <w:marTop w:val="0"/>
      <w:marBottom w:val="0"/>
      <w:divBdr>
        <w:top w:val="none" w:sz="0" w:space="0" w:color="auto"/>
        <w:left w:val="none" w:sz="0" w:space="0" w:color="auto"/>
        <w:bottom w:val="none" w:sz="0" w:space="0" w:color="auto"/>
        <w:right w:val="none" w:sz="0" w:space="0" w:color="auto"/>
      </w:divBdr>
    </w:div>
    <w:div w:id="1792241407">
      <w:bodyDiv w:val="1"/>
      <w:marLeft w:val="0"/>
      <w:marRight w:val="0"/>
      <w:marTop w:val="0"/>
      <w:marBottom w:val="0"/>
      <w:divBdr>
        <w:top w:val="none" w:sz="0" w:space="0" w:color="auto"/>
        <w:left w:val="none" w:sz="0" w:space="0" w:color="auto"/>
        <w:bottom w:val="none" w:sz="0" w:space="0" w:color="auto"/>
        <w:right w:val="none" w:sz="0" w:space="0" w:color="auto"/>
      </w:divBdr>
    </w:div>
    <w:div w:id="1814637779">
      <w:bodyDiv w:val="1"/>
      <w:marLeft w:val="0"/>
      <w:marRight w:val="0"/>
      <w:marTop w:val="0"/>
      <w:marBottom w:val="0"/>
      <w:divBdr>
        <w:top w:val="none" w:sz="0" w:space="0" w:color="auto"/>
        <w:left w:val="none" w:sz="0" w:space="0" w:color="auto"/>
        <w:bottom w:val="none" w:sz="0" w:space="0" w:color="auto"/>
        <w:right w:val="none" w:sz="0" w:space="0" w:color="auto"/>
      </w:divBdr>
    </w:div>
    <w:div w:id="1833838296">
      <w:bodyDiv w:val="1"/>
      <w:marLeft w:val="0"/>
      <w:marRight w:val="0"/>
      <w:marTop w:val="0"/>
      <w:marBottom w:val="0"/>
      <w:divBdr>
        <w:top w:val="none" w:sz="0" w:space="0" w:color="auto"/>
        <w:left w:val="none" w:sz="0" w:space="0" w:color="auto"/>
        <w:bottom w:val="none" w:sz="0" w:space="0" w:color="auto"/>
        <w:right w:val="none" w:sz="0" w:space="0" w:color="auto"/>
      </w:divBdr>
    </w:div>
    <w:div w:id="1840460700">
      <w:bodyDiv w:val="1"/>
      <w:marLeft w:val="0"/>
      <w:marRight w:val="0"/>
      <w:marTop w:val="0"/>
      <w:marBottom w:val="0"/>
      <w:divBdr>
        <w:top w:val="none" w:sz="0" w:space="0" w:color="auto"/>
        <w:left w:val="none" w:sz="0" w:space="0" w:color="auto"/>
        <w:bottom w:val="none" w:sz="0" w:space="0" w:color="auto"/>
        <w:right w:val="none" w:sz="0" w:space="0" w:color="auto"/>
      </w:divBdr>
    </w:div>
    <w:div w:id="1920094905">
      <w:bodyDiv w:val="1"/>
      <w:marLeft w:val="0"/>
      <w:marRight w:val="0"/>
      <w:marTop w:val="0"/>
      <w:marBottom w:val="0"/>
      <w:divBdr>
        <w:top w:val="none" w:sz="0" w:space="0" w:color="auto"/>
        <w:left w:val="none" w:sz="0" w:space="0" w:color="auto"/>
        <w:bottom w:val="none" w:sz="0" w:space="0" w:color="auto"/>
        <w:right w:val="none" w:sz="0" w:space="0" w:color="auto"/>
      </w:divBdr>
    </w:div>
    <w:div w:id="1934628897">
      <w:bodyDiv w:val="1"/>
      <w:marLeft w:val="0"/>
      <w:marRight w:val="0"/>
      <w:marTop w:val="0"/>
      <w:marBottom w:val="0"/>
      <w:divBdr>
        <w:top w:val="none" w:sz="0" w:space="0" w:color="auto"/>
        <w:left w:val="none" w:sz="0" w:space="0" w:color="auto"/>
        <w:bottom w:val="none" w:sz="0" w:space="0" w:color="auto"/>
        <w:right w:val="none" w:sz="0" w:space="0" w:color="auto"/>
      </w:divBdr>
    </w:div>
    <w:div w:id="202586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atrick.franco\Documents\GitHub\pibmunic\CEPAL\produto2\bacen%20tax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r>
              <a:rPr lang="pt-BR">
                <a:latin typeface="Tahoma" panose="020B0604030504040204" pitchFamily="34" charset="0"/>
                <a:ea typeface="Tahoma" panose="020B0604030504040204" pitchFamily="34" charset="0"/>
                <a:cs typeface="Tahoma" panose="020B0604030504040204" pitchFamily="34" charset="0"/>
              </a:rPr>
              <a:t>Evolução da TJLP e da Taxa SELIC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endParaRPr lang="pt-BR"/>
        </a:p>
      </c:txPr>
    </c:title>
    <c:autoTitleDeleted val="0"/>
    <c:plotArea>
      <c:layout/>
      <c:lineChart>
        <c:grouping val="standard"/>
        <c:varyColors val="0"/>
        <c:ser>
          <c:idx val="0"/>
          <c:order val="0"/>
          <c:tx>
            <c:strRef>
              <c:f>Planilha2!$D$1</c:f>
              <c:strCache>
                <c:ptCount val="1"/>
                <c:pt idx="0">
                  <c:v>Taxa de juros de longo prazo - TJLP (% a.a.)</c:v>
                </c:pt>
              </c:strCache>
            </c:strRef>
          </c:tx>
          <c:spPr>
            <a:ln w="28575" cap="rnd">
              <a:solidFill>
                <a:schemeClr val="accent1"/>
              </a:solidFill>
              <a:round/>
            </a:ln>
            <a:effectLst/>
          </c:spPr>
          <c:marker>
            <c:symbol val="none"/>
          </c:marker>
          <c:cat>
            <c:numRef>
              <c:f>Planilha2!$A$2:$A$150</c:f>
              <c:numCache>
                <c:formatCode>mmm\-yy</c:formatCode>
                <c:ptCount val="149"/>
                <c:pt idx="0">
                  <c:v>40544</c:v>
                </c:pt>
                <c:pt idx="1">
                  <c:v>40575</c:v>
                </c:pt>
                <c:pt idx="2">
                  <c:v>40603</c:v>
                </c:pt>
                <c:pt idx="3">
                  <c:v>40634</c:v>
                </c:pt>
                <c:pt idx="4">
                  <c:v>40664</c:v>
                </c:pt>
                <c:pt idx="5">
                  <c:v>40695</c:v>
                </c:pt>
                <c:pt idx="6">
                  <c:v>40725</c:v>
                </c:pt>
                <c:pt idx="7">
                  <c:v>40756</c:v>
                </c:pt>
                <c:pt idx="8">
                  <c:v>40787</c:v>
                </c:pt>
                <c:pt idx="9">
                  <c:v>40817</c:v>
                </c:pt>
                <c:pt idx="10">
                  <c:v>40848</c:v>
                </c:pt>
                <c:pt idx="11">
                  <c:v>40878</c:v>
                </c:pt>
                <c:pt idx="12">
                  <c:v>40909</c:v>
                </c:pt>
                <c:pt idx="13">
                  <c:v>40940</c:v>
                </c:pt>
                <c:pt idx="14">
                  <c:v>40969</c:v>
                </c:pt>
                <c:pt idx="15">
                  <c:v>41000</c:v>
                </c:pt>
                <c:pt idx="16">
                  <c:v>41030</c:v>
                </c:pt>
                <c:pt idx="17">
                  <c:v>41061</c:v>
                </c:pt>
                <c:pt idx="18">
                  <c:v>41091</c:v>
                </c:pt>
                <c:pt idx="19">
                  <c:v>41122</c:v>
                </c:pt>
                <c:pt idx="20">
                  <c:v>41153</c:v>
                </c:pt>
                <c:pt idx="21">
                  <c:v>41183</c:v>
                </c:pt>
                <c:pt idx="22">
                  <c:v>41214</c:v>
                </c:pt>
                <c:pt idx="23">
                  <c:v>41244</c:v>
                </c:pt>
                <c:pt idx="24">
                  <c:v>41275</c:v>
                </c:pt>
                <c:pt idx="25">
                  <c:v>41306</c:v>
                </c:pt>
                <c:pt idx="26">
                  <c:v>41334</c:v>
                </c:pt>
                <c:pt idx="27">
                  <c:v>41365</c:v>
                </c:pt>
                <c:pt idx="28">
                  <c:v>41395</c:v>
                </c:pt>
                <c:pt idx="29">
                  <c:v>41426</c:v>
                </c:pt>
                <c:pt idx="30">
                  <c:v>41456</c:v>
                </c:pt>
                <c:pt idx="31">
                  <c:v>41487</c:v>
                </c:pt>
                <c:pt idx="32">
                  <c:v>41518</c:v>
                </c:pt>
                <c:pt idx="33">
                  <c:v>41548</c:v>
                </c:pt>
                <c:pt idx="34">
                  <c:v>41579</c:v>
                </c:pt>
                <c:pt idx="35">
                  <c:v>41609</c:v>
                </c:pt>
                <c:pt idx="36">
                  <c:v>41640</c:v>
                </c:pt>
                <c:pt idx="37">
                  <c:v>41671</c:v>
                </c:pt>
                <c:pt idx="38">
                  <c:v>41699</c:v>
                </c:pt>
                <c:pt idx="39">
                  <c:v>41730</c:v>
                </c:pt>
                <c:pt idx="40">
                  <c:v>41760</c:v>
                </c:pt>
                <c:pt idx="41">
                  <c:v>41791</c:v>
                </c:pt>
                <c:pt idx="42">
                  <c:v>41821</c:v>
                </c:pt>
                <c:pt idx="43">
                  <c:v>41852</c:v>
                </c:pt>
                <c:pt idx="44">
                  <c:v>41883</c:v>
                </c:pt>
                <c:pt idx="45">
                  <c:v>41913</c:v>
                </c:pt>
                <c:pt idx="46">
                  <c:v>41944</c:v>
                </c:pt>
                <c:pt idx="47">
                  <c:v>41974</c:v>
                </c:pt>
                <c:pt idx="48">
                  <c:v>42005</c:v>
                </c:pt>
                <c:pt idx="49">
                  <c:v>42036</c:v>
                </c:pt>
                <c:pt idx="50">
                  <c:v>42064</c:v>
                </c:pt>
                <c:pt idx="51">
                  <c:v>42095</c:v>
                </c:pt>
                <c:pt idx="52">
                  <c:v>42125</c:v>
                </c:pt>
                <c:pt idx="53">
                  <c:v>42156</c:v>
                </c:pt>
                <c:pt idx="54">
                  <c:v>42186</c:v>
                </c:pt>
                <c:pt idx="55">
                  <c:v>42217</c:v>
                </c:pt>
                <c:pt idx="56">
                  <c:v>42248</c:v>
                </c:pt>
                <c:pt idx="57">
                  <c:v>42278</c:v>
                </c:pt>
                <c:pt idx="58">
                  <c:v>42309</c:v>
                </c:pt>
                <c:pt idx="59">
                  <c:v>42339</c:v>
                </c:pt>
                <c:pt idx="60">
                  <c:v>42370</c:v>
                </c:pt>
                <c:pt idx="61">
                  <c:v>42401</c:v>
                </c:pt>
                <c:pt idx="62">
                  <c:v>42430</c:v>
                </c:pt>
                <c:pt idx="63">
                  <c:v>42461</c:v>
                </c:pt>
                <c:pt idx="64">
                  <c:v>42491</c:v>
                </c:pt>
                <c:pt idx="65">
                  <c:v>42522</c:v>
                </c:pt>
                <c:pt idx="66">
                  <c:v>42552</c:v>
                </c:pt>
                <c:pt idx="67">
                  <c:v>42583</c:v>
                </c:pt>
                <c:pt idx="68">
                  <c:v>42614</c:v>
                </c:pt>
                <c:pt idx="69">
                  <c:v>42644</c:v>
                </c:pt>
                <c:pt idx="70">
                  <c:v>42675</c:v>
                </c:pt>
                <c:pt idx="71">
                  <c:v>42705</c:v>
                </c:pt>
                <c:pt idx="72">
                  <c:v>42736</c:v>
                </c:pt>
                <c:pt idx="73">
                  <c:v>42767</c:v>
                </c:pt>
                <c:pt idx="74">
                  <c:v>42795</c:v>
                </c:pt>
                <c:pt idx="75">
                  <c:v>42826</c:v>
                </c:pt>
                <c:pt idx="76">
                  <c:v>42856</c:v>
                </c:pt>
                <c:pt idx="77">
                  <c:v>42887</c:v>
                </c:pt>
                <c:pt idx="78">
                  <c:v>42917</c:v>
                </c:pt>
                <c:pt idx="79">
                  <c:v>42948</c:v>
                </c:pt>
                <c:pt idx="80">
                  <c:v>42979</c:v>
                </c:pt>
                <c:pt idx="81">
                  <c:v>43009</c:v>
                </c:pt>
                <c:pt idx="82">
                  <c:v>43040</c:v>
                </c:pt>
                <c:pt idx="83">
                  <c:v>43070</c:v>
                </c:pt>
                <c:pt idx="84">
                  <c:v>43101</c:v>
                </c:pt>
                <c:pt idx="85">
                  <c:v>43132</c:v>
                </c:pt>
                <c:pt idx="86">
                  <c:v>43160</c:v>
                </c:pt>
                <c:pt idx="87">
                  <c:v>43191</c:v>
                </c:pt>
                <c:pt idx="88">
                  <c:v>43221</c:v>
                </c:pt>
                <c:pt idx="89">
                  <c:v>43252</c:v>
                </c:pt>
                <c:pt idx="90">
                  <c:v>43282</c:v>
                </c:pt>
                <c:pt idx="91">
                  <c:v>43313</c:v>
                </c:pt>
                <c:pt idx="92">
                  <c:v>43344</c:v>
                </c:pt>
                <c:pt idx="93">
                  <c:v>43374</c:v>
                </c:pt>
                <c:pt idx="94">
                  <c:v>43405</c:v>
                </c:pt>
                <c:pt idx="95">
                  <c:v>43435</c:v>
                </c:pt>
                <c:pt idx="96">
                  <c:v>43466</c:v>
                </c:pt>
                <c:pt idx="97">
                  <c:v>43497</c:v>
                </c:pt>
                <c:pt idx="98">
                  <c:v>43525</c:v>
                </c:pt>
                <c:pt idx="99">
                  <c:v>43556</c:v>
                </c:pt>
                <c:pt idx="100">
                  <c:v>43586</c:v>
                </c:pt>
                <c:pt idx="101">
                  <c:v>43617</c:v>
                </c:pt>
                <c:pt idx="102">
                  <c:v>43647</c:v>
                </c:pt>
                <c:pt idx="103">
                  <c:v>43678</c:v>
                </c:pt>
                <c:pt idx="104">
                  <c:v>43709</c:v>
                </c:pt>
                <c:pt idx="105">
                  <c:v>43739</c:v>
                </c:pt>
                <c:pt idx="106">
                  <c:v>43770</c:v>
                </c:pt>
                <c:pt idx="107">
                  <c:v>43800</c:v>
                </c:pt>
                <c:pt idx="108">
                  <c:v>43831</c:v>
                </c:pt>
                <c:pt idx="109">
                  <c:v>43862</c:v>
                </c:pt>
                <c:pt idx="110">
                  <c:v>43891</c:v>
                </c:pt>
                <c:pt idx="111">
                  <c:v>43922</c:v>
                </c:pt>
                <c:pt idx="112">
                  <c:v>43952</c:v>
                </c:pt>
                <c:pt idx="113">
                  <c:v>43983</c:v>
                </c:pt>
                <c:pt idx="114">
                  <c:v>44013</c:v>
                </c:pt>
                <c:pt idx="115">
                  <c:v>44044</c:v>
                </c:pt>
                <c:pt idx="116">
                  <c:v>44075</c:v>
                </c:pt>
                <c:pt idx="117">
                  <c:v>44105</c:v>
                </c:pt>
                <c:pt idx="118">
                  <c:v>44136</c:v>
                </c:pt>
                <c:pt idx="119">
                  <c:v>44166</c:v>
                </c:pt>
                <c:pt idx="120">
                  <c:v>44197</c:v>
                </c:pt>
                <c:pt idx="121">
                  <c:v>44228</c:v>
                </c:pt>
                <c:pt idx="122">
                  <c:v>44256</c:v>
                </c:pt>
                <c:pt idx="123">
                  <c:v>44287</c:v>
                </c:pt>
                <c:pt idx="124">
                  <c:v>44317</c:v>
                </c:pt>
                <c:pt idx="125">
                  <c:v>44348</c:v>
                </c:pt>
                <c:pt idx="126">
                  <c:v>44378</c:v>
                </c:pt>
                <c:pt idx="127">
                  <c:v>44409</c:v>
                </c:pt>
                <c:pt idx="128">
                  <c:v>44440</c:v>
                </c:pt>
                <c:pt idx="129">
                  <c:v>44470</c:v>
                </c:pt>
                <c:pt idx="130">
                  <c:v>44501</c:v>
                </c:pt>
                <c:pt idx="131">
                  <c:v>44531</c:v>
                </c:pt>
                <c:pt idx="132">
                  <c:v>44562</c:v>
                </c:pt>
                <c:pt idx="133">
                  <c:v>44593</c:v>
                </c:pt>
                <c:pt idx="134">
                  <c:v>44621</c:v>
                </c:pt>
                <c:pt idx="135">
                  <c:v>44652</c:v>
                </c:pt>
                <c:pt idx="136">
                  <c:v>44682</c:v>
                </c:pt>
                <c:pt idx="137">
                  <c:v>44713</c:v>
                </c:pt>
                <c:pt idx="138">
                  <c:v>44743</c:v>
                </c:pt>
                <c:pt idx="139">
                  <c:v>44774</c:v>
                </c:pt>
                <c:pt idx="140">
                  <c:v>44805</c:v>
                </c:pt>
                <c:pt idx="141">
                  <c:v>44835</c:v>
                </c:pt>
                <c:pt idx="142">
                  <c:v>44866</c:v>
                </c:pt>
                <c:pt idx="143">
                  <c:v>44896</c:v>
                </c:pt>
                <c:pt idx="144">
                  <c:v>44927</c:v>
                </c:pt>
                <c:pt idx="145">
                  <c:v>44958</c:v>
                </c:pt>
                <c:pt idx="146">
                  <c:v>44986</c:v>
                </c:pt>
                <c:pt idx="147">
                  <c:v>45017</c:v>
                </c:pt>
                <c:pt idx="148">
                  <c:v>45047</c:v>
                </c:pt>
              </c:numCache>
            </c:numRef>
          </c:cat>
          <c:val>
            <c:numRef>
              <c:f>Planilha2!$D$2:$D$150</c:f>
              <c:numCache>
                <c:formatCode>General</c:formatCode>
                <c:ptCount val="149"/>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5.5</c:v>
                </c:pt>
                <c:pt idx="19">
                  <c:v>5.5</c:v>
                </c:pt>
                <c:pt idx="20">
                  <c:v>5.5</c:v>
                </c:pt>
                <c:pt idx="21">
                  <c:v>5.5</c:v>
                </c:pt>
                <c:pt idx="22">
                  <c:v>5.5</c:v>
                </c:pt>
                <c:pt idx="23">
                  <c:v>5.5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5.5</c:v>
                </c:pt>
                <c:pt idx="49">
                  <c:v>5.5</c:v>
                </c:pt>
                <c:pt idx="50">
                  <c:v>5.5</c:v>
                </c:pt>
                <c:pt idx="51">
                  <c:v>6</c:v>
                </c:pt>
                <c:pt idx="52">
                  <c:v>6</c:v>
                </c:pt>
                <c:pt idx="53">
                  <c:v>6</c:v>
                </c:pt>
                <c:pt idx="54">
                  <c:v>6.5</c:v>
                </c:pt>
                <c:pt idx="55">
                  <c:v>6.5</c:v>
                </c:pt>
                <c:pt idx="56">
                  <c:v>6.5</c:v>
                </c:pt>
                <c:pt idx="57">
                  <c:v>7</c:v>
                </c:pt>
                <c:pt idx="58">
                  <c:v>7</c:v>
                </c:pt>
                <c:pt idx="59">
                  <c:v>7</c:v>
                </c:pt>
                <c:pt idx="60">
                  <c:v>7.5</c:v>
                </c:pt>
                <c:pt idx="61">
                  <c:v>7.5</c:v>
                </c:pt>
                <c:pt idx="62">
                  <c:v>7.5</c:v>
                </c:pt>
                <c:pt idx="63">
                  <c:v>7.5</c:v>
                </c:pt>
                <c:pt idx="64">
                  <c:v>7.5</c:v>
                </c:pt>
                <c:pt idx="65">
                  <c:v>7.5</c:v>
                </c:pt>
                <c:pt idx="66">
                  <c:v>7.5</c:v>
                </c:pt>
                <c:pt idx="67">
                  <c:v>7.5</c:v>
                </c:pt>
                <c:pt idx="68">
                  <c:v>7.5</c:v>
                </c:pt>
                <c:pt idx="69">
                  <c:v>7.5</c:v>
                </c:pt>
                <c:pt idx="70">
                  <c:v>7.5</c:v>
                </c:pt>
                <c:pt idx="71">
                  <c:v>7.5</c:v>
                </c:pt>
                <c:pt idx="72">
                  <c:v>7.5</c:v>
                </c:pt>
                <c:pt idx="73">
                  <c:v>7.5</c:v>
                </c:pt>
                <c:pt idx="74">
                  <c:v>7.5</c:v>
                </c:pt>
                <c:pt idx="75">
                  <c:v>7</c:v>
                </c:pt>
                <c:pt idx="76">
                  <c:v>7</c:v>
                </c:pt>
                <c:pt idx="77">
                  <c:v>7</c:v>
                </c:pt>
                <c:pt idx="78">
                  <c:v>7</c:v>
                </c:pt>
                <c:pt idx="79">
                  <c:v>7</c:v>
                </c:pt>
                <c:pt idx="80">
                  <c:v>7</c:v>
                </c:pt>
                <c:pt idx="81">
                  <c:v>7</c:v>
                </c:pt>
                <c:pt idx="82">
                  <c:v>7</c:v>
                </c:pt>
                <c:pt idx="83">
                  <c:v>7</c:v>
                </c:pt>
                <c:pt idx="84">
                  <c:v>6.75</c:v>
                </c:pt>
                <c:pt idx="85">
                  <c:v>6.75</c:v>
                </c:pt>
                <c:pt idx="86">
                  <c:v>6.75</c:v>
                </c:pt>
                <c:pt idx="87">
                  <c:v>6.6</c:v>
                </c:pt>
                <c:pt idx="88">
                  <c:v>6.6</c:v>
                </c:pt>
                <c:pt idx="89">
                  <c:v>6.6</c:v>
                </c:pt>
                <c:pt idx="90">
                  <c:v>6.56</c:v>
                </c:pt>
                <c:pt idx="91">
                  <c:v>6.56</c:v>
                </c:pt>
                <c:pt idx="92">
                  <c:v>6.56</c:v>
                </c:pt>
                <c:pt idx="93">
                  <c:v>6.98</c:v>
                </c:pt>
                <c:pt idx="94">
                  <c:v>6.98</c:v>
                </c:pt>
                <c:pt idx="95">
                  <c:v>6.98</c:v>
                </c:pt>
                <c:pt idx="96">
                  <c:v>7.03</c:v>
                </c:pt>
                <c:pt idx="97">
                  <c:v>7.03</c:v>
                </c:pt>
                <c:pt idx="98">
                  <c:v>7.03</c:v>
                </c:pt>
                <c:pt idx="99">
                  <c:v>6.26</c:v>
                </c:pt>
                <c:pt idx="100">
                  <c:v>6.26</c:v>
                </c:pt>
                <c:pt idx="101">
                  <c:v>6.26</c:v>
                </c:pt>
                <c:pt idx="102">
                  <c:v>5.95</c:v>
                </c:pt>
                <c:pt idx="103">
                  <c:v>5.95</c:v>
                </c:pt>
                <c:pt idx="104">
                  <c:v>5.95</c:v>
                </c:pt>
                <c:pt idx="105">
                  <c:v>5.57</c:v>
                </c:pt>
                <c:pt idx="106">
                  <c:v>5.57</c:v>
                </c:pt>
                <c:pt idx="107">
                  <c:v>5.57</c:v>
                </c:pt>
                <c:pt idx="108">
                  <c:v>5.09</c:v>
                </c:pt>
                <c:pt idx="109">
                  <c:v>5.09</c:v>
                </c:pt>
                <c:pt idx="110">
                  <c:v>5.09</c:v>
                </c:pt>
                <c:pt idx="111">
                  <c:v>4.9400000000000004</c:v>
                </c:pt>
                <c:pt idx="112">
                  <c:v>4.9400000000000004</c:v>
                </c:pt>
                <c:pt idx="113">
                  <c:v>4.9400000000000004</c:v>
                </c:pt>
                <c:pt idx="114">
                  <c:v>4.91</c:v>
                </c:pt>
                <c:pt idx="115">
                  <c:v>4.91</c:v>
                </c:pt>
                <c:pt idx="116">
                  <c:v>4.91</c:v>
                </c:pt>
                <c:pt idx="117">
                  <c:v>4.55</c:v>
                </c:pt>
                <c:pt idx="118">
                  <c:v>4.55</c:v>
                </c:pt>
                <c:pt idx="119">
                  <c:v>4.55</c:v>
                </c:pt>
                <c:pt idx="120">
                  <c:v>4.3899999999999997</c:v>
                </c:pt>
                <c:pt idx="121">
                  <c:v>4.3899999999999997</c:v>
                </c:pt>
                <c:pt idx="122">
                  <c:v>4.3899999999999997</c:v>
                </c:pt>
                <c:pt idx="123">
                  <c:v>4.6100000000000003</c:v>
                </c:pt>
                <c:pt idx="124">
                  <c:v>4.6100000000000003</c:v>
                </c:pt>
                <c:pt idx="125">
                  <c:v>4.6100000000000003</c:v>
                </c:pt>
                <c:pt idx="126">
                  <c:v>4.88</c:v>
                </c:pt>
                <c:pt idx="127">
                  <c:v>4.88</c:v>
                </c:pt>
                <c:pt idx="128">
                  <c:v>4.88</c:v>
                </c:pt>
                <c:pt idx="129">
                  <c:v>5.32</c:v>
                </c:pt>
                <c:pt idx="130">
                  <c:v>5.32</c:v>
                </c:pt>
                <c:pt idx="131">
                  <c:v>5.32</c:v>
                </c:pt>
                <c:pt idx="132">
                  <c:v>6.08</c:v>
                </c:pt>
                <c:pt idx="133">
                  <c:v>6.08</c:v>
                </c:pt>
                <c:pt idx="134">
                  <c:v>6.08</c:v>
                </c:pt>
                <c:pt idx="135">
                  <c:v>6.82</c:v>
                </c:pt>
                <c:pt idx="136">
                  <c:v>6.82</c:v>
                </c:pt>
                <c:pt idx="137">
                  <c:v>6.82</c:v>
                </c:pt>
                <c:pt idx="138">
                  <c:v>7.01</c:v>
                </c:pt>
                <c:pt idx="139">
                  <c:v>7.01</c:v>
                </c:pt>
                <c:pt idx="140">
                  <c:v>7.01</c:v>
                </c:pt>
                <c:pt idx="141">
                  <c:v>7.2</c:v>
                </c:pt>
                <c:pt idx="142">
                  <c:v>7.2</c:v>
                </c:pt>
                <c:pt idx="143">
                  <c:v>7.2</c:v>
                </c:pt>
                <c:pt idx="144">
                  <c:v>7.37</c:v>
                </c:pt>
                <c:pt idx="145">
                  <c:v>7.37</c:v>
                </c:pt>
                <c:pt idx="146">
                  <c:v>7.37</c:v>
                </c:pt>
                <c:pt idx="147">
                  <c:v>7.28</c:v>
                </c:pt>
                <c:pt idx="148">
                  <c:v>7.28</c:v>
                </c:pt>
              </c:numCache>
            </c:numRef>
          </c:val>
          <c:smooth val="0"/>
          <c:extLst>
            <c:ext xmlns:c16="http://schemas.microsoft.com/office/drawing/2014/chart" uri="{C3380CC4-5D6E-409C-BE32-E72D297353CC}">
              <c16:uniqueId val="{00000000-209F-401C-B80D-0949C2E43FBF}"/>
            </c:ext>
          </c:extLst>
        </c:ser>
        <c:ser>
          <c:idx val="1"/>
          <c:order val="1"/>
          <c:tx>
            <c:strRef>
              <c:f>Planilha2!$E$1</c:f>
              <c:strCache>
                <c:ptCount val="1"/>
                <c:pt idx="0">
                  <c:v>Selic acumulada no mês (% a.m.)</c:v>
                </c:pt>
              </c:strCache>
            </c:strRef>
          </c:tx>
          <c:spPr>
            <a:ln w="28575" cap="rnd">
              <a:solidFill>
                <a:schemeClr val="accent2"/>
              </a:solidFill>
              <a:round/>
            </a:ln>
            <a:effectLst/>
          </c:spPr>
          <c:marker>
            <c:symbol val="none"/>
          </c:marker>
          <c:cat>
            <c:numRef>
              <c:f>Planilha2!$A$2:$A$150</c:f>
              <c:numCache>
                <c:formatCode>mmm\-yy</c:formatCode>
                <c:ptCount val="149"/>
                <c:pt idx="0">
                  <c:v>40544</c:v>
                </c:pt>
                <c:pt idx="1">
                  <c:v>40575</c:v>
                </c:pt>
                <c:pt idx="2">
                  <c:v>40603</c:v>
                </c:pt>
                <c:pt idx="3">
                  <c:v>40634</c:v>
                </c:pt>
                <c:pt idx="4">
                  <c:v>40664</c:v>
                </c:pt>
                <c:pt idx="5">
                  <c:v>40695</c:v>
                </c:pt>
                <c:pt idx="6">
                  <c:v>40725</c:v>
                </c:pt>
                <c:pt idx="7">
                  <c:v>40756</c:v>
                </c:pt>
                <c:pt idx="8">
                  <c:v>40787</c:v>
                </c:pt>
                <c:pt idx="9">
                  <c:v>40817</c:v>
                </c:pt>
                <c:pt idx="10">
                  <c:v>40848</c:v>
                </c:pt>
                <c:pt idx="11">
                  <c:v>40878</c:v>
                </c:pt>
                <c:pt idx="12">
                  <c:v>40909</c:v>
                </c:pt>
                <c:pt idx="13">
                  <c:v>40940</c:v>
                </c:pt>
                <c:pt idx="14">
                  <c:v>40969</c:v>
                </c:pt>
                <c:pt idx="15">
                  <c:v>41000</c:v>
                </c:pt>
                <c:pt idx="16">
                  <c:v>41030</c:v>
                </c:pt>
                <c:pt idx="17">
                  <c:v>41061</c:v>
                </c:pt>
                <c:pt idx="18">
                  <c:v>41091</c:v>
                </c:pt>
                <c:pt idx="19">
                  <c:v>41122</c:v>
                </c:pt>
                <c:pt idx="20">
                  <c:v>41153</c:v>
                </c:pt>
                <c:pt idx="21">
                  <c:v>41183</c:v>
                </c:pt>
                <c:pt idx="22">
                  <c:v>41214</c:v>
                </c:pt>
                <c:pt idx="23">
                  <c:v>41244</c:v>
                </c:pt>
                <c:pt idx="24">
                  <c:v>41275</c:v>
                </c:pt>
                <c:pt idx="25">
                  <c:v>41306</c:v>
                </c:pt>
                <c:pt idx="26">
                  <c:v>41334</c:v>
                </c:pt>
                <c:pt idx="27">
                  <c:v>41365</c:v>
                </c:pt>
                <c:pt idx="28">
                  <c:v>41395</c:v>
                </c:pt>
                <c:pt idx="29">
                  <c:v>41426</c:v>
                </c:pt>
                <c:pt idx="30">
                  <c:v>41456</c:v>
                </c:pt>
                <c:pt idx="31">
                  <c:v>41487</c:v>
                </c:pt>
                <c:pt idx="32">
                  <c:v>41518</c:v>
                </c:pt>
                <c:pt idx="33">
                  <c:v>41548</c:v>
                </c:pt>
                <c:pt idx="34">
                  <c:v>41579</c:v>
                </c:pt>
                <c:pt idx="35">
                  <c:v>41609</c:v>
                </c:pt>
                <c:pt idx="36">
                  <c:v>41640</c:v>
                </c:pt>
                <c:pt idx="37">
                  <c:v>41671</c:v>
                </c:pt>
                <c:pt idx="38">
                  <c:v>41699</c:v>
                </c:pt>
                <c:pt idx="39">
                  <c:v>41730</c:v>
                </c:pt>
                <c:pt idx="40">
                  <c:v>41760</c:v>
                </c:pt>
                <c:pt idx="41">
                  <c:v>41791</c:v>
                </c:pt>
                <c:pt idx="42">
                  <c:v>41821</c:v>
                </c:pt>
                <c:pt idx="43">
                  <c:v>41852</c:v>
                </c:pt>
                <c:pt idx="44">
                  <c:v>41883</c:v>
                </c:pt>
                <c:pt idx="45">
                  <c:v>41913</c:v>
                </c:pt>
                <c:pt idx="46">
                  <c:v>41944</c:v>
                </c:pt>
                <c:pt idx="47">
                  <c:v>41974</c:v>
                </c:pt>
                <c:pt idx="48">
                  <c:v>42005</c:v>
                </c:pt>
                <c:pt idx="49">
                  <c:v>42036</c:v>
                </c:pt>
                <c:pt idx="50">
                  <c:v>42064</c:v>
                </c:pt>
                <c:pt idx="51">
                  <c:v>42095</c:v>
                </c:pt>
                <c:pt idx="52">
                  <c:v>42125</c:v>
                </c:pt>
                <c:pt idx="53">
                  <c:v>42156</c:v>
                </c:pt>
                <c:pt idx="54">
                  <c:v>42186</c:v>
                </c:pt>
                <c:pt idx="55">
                  <c:v>42217</c:v>
                </c:pt>
                <c:pt idx="56">
                  <c:v>42248</c:v>
                </c:pt>
                <c:pt idx="57">
                  <c:v>42278</c:v>
                </c:pt>
                <c:pt idx="58">
                  <c:v>42309</c:v>
                </c:pt>
                <c:pt idx="59">
                  <c:v>42339</c:v>
                </c:pt>
                <c:pt idx="60">
                  <c:v>42370</c:v>
                </c:pt>
                <c:pt idx="61">
                  <c:v>42401</c:v>
                </c:pt>
                <c:pt idx="62">
                  <c:v>42430</c:v>
                </c:pt>
                <c:pt idx="63">
                  <c:v>42461</c:v>
                </c:pt>
                <c:pt idx="64">
                  <c:v>42491</c:v>
                </c:pt>
                <c:pt idx="65">
                  <c:v>42522</c:v>
                </c:pt>
                <c:pt idx="66">
                  <c:v>42552</c:v>
                </c:pt>
                <c:pt idx="67">
                  <c:v>42583</c:v>
                </c:pt>
                <c:pt idx="68">
                  <c:v>42614</c:v>
                </c:pt>
                <c:pt idx="69">
                  <c:v>42644</c:v>
                </c:pt>
                <c:pt idx="70">
                  <c:v>42675</c:v>
                </c:pt>
                <c:pt idx="71">
                  <c:v>42705</c:v>
                </c:pt>
                <c:pt idx="72">
                  <c:v>42736</c:v>
                </c:pt>
                <c:pt idx="73">
                  <c:v>42767</c:v>
                </c:pt>
                <c:pt idx="74">
                  <c:v>42795</c:v>
                </c:pt>
                <c:pt idx="75">
                  <c:v>42826</c:v>
                </c:pt>
                <c:pt idx="76">
                  <c:v>42856</c:v>
                </c:pt>
                <c:pt idx="77">
                  <c:v>42887</c:v>
                </c:pt>
                <c:pt idx="78">
                  <c:v>42917</c:v>
                </c:pt>
                <c:pt idx="79">
                  <c:v>42948</c:v>
                </c:pt>
                <c:pt idx="80">
                  <c:v>42979</c:v>
                </c:pt>
                <c:pt idx="81">
                  <c:v>43009</c:v>
                </c:pt>
                <c:pt idx="82">
                  <c:v>43040</c:v>
                </c:pt>
                <c:pt idx="83">
                  <c:v>43070</c:v>
                </c:pt>
                <c:pt idx="84">
                  <c:v>43101</c:v>
                </c:pt>
                <c:pt idx="85">
                  <c:v>43132</c:v>
                </c:pt>
                <c:pt idx="86">
                  <c:v>43160</c:v>
                </c:pt>
                <c:pt idx="87">
                  <c:v>43191</c:v>
                </c:pt>
                <c:pt idx="88">
                  <c:v>43221</c:v>
                </c:pt>
                <c:pt idx="89">
                  <c:v>43252</c:v>
                </c:pt>
                <c:pt idx="90">
                  <c:v>43282</c:v>
                </c:pt>
                <c:pt idx="91">
                  <c:v>43313</c:v>
                </c:pt>
                <c:pt idx="92">
                  <c:v>43344</c:v>
                </c:pt>
                <c:pt idx="93">
                  <c:v>43374</c:v>
                </c:pt>
                <c:pt idx="94">
                  <c:v>43405</c:v>
                </c:pt>
                <c:pt idx="95">
                  <c:v>43435</c:v>
                </c:pt>
                <c:pt idx="96">
                  <c:v>43466</c:v>
                </c:pt>
                <c:pt idx="97">
                  <c:v>43497</c:v>
                </c:pt>
                <c:pt idx="98">
                  <c:v>43525</c:v>
                </c:pt>
                <c:pt idx="99">
                  <c:v>43556</c:v>
                </c:pt>
                <c:pt idx="100">
                  <c:v>43586</c:v>
                </c:pt>
                <c:pt idx="101">
                  <c:v>43617</c:v>
                </c:pt>
                <c:pt idx="102">
                  <c:v>43647</c:v>
                </c:pt>
                <c:pt idx="103">
                  <c:v>43678</c:v>
                </c:pt>
                <c:pt idx="104">
                  <c:v>43709</c:v>
                </c:pt>
                <c:pt idx="105">
                  <c:v>43739</c:v>
                </c:pt>
                <c:pt idx="106">
                  <c:v>43770</c:v>
                </c:pt>
                <c:pt idx="107">
                  <c:v>43800</c:v>
                </c:pt>
                <c:pt idx="108">
                  <c:v>43831</c:v>
                </c:pt>
                <c:pt idx="109">
                  <c:v>43862</c:v>
                </c:pt>
                <c:pt idx="110">
                  <c:v>43891</c:v>
                </c:pt>
                <c:pt idx="111">
                  <c:v>43922</c:v>
                </c:pt>
                <c:pt idx="112">
                  <c:v>43952</c:v>
                </c:pt>
                <c:pt idx="113">
                  <c:v>43983</c:v>
                </c:pt>
                <c:pt idx="114">
                  <c:v>44013</c:v>
                </c:pt>
                <c:pt idx="115">
                  <c:v>44044</c:v>
                </c:pt>
                <c:pt idx="116">
                  <c:v>44075</c:v>
                </c:pt>
                <c:pt idx="117">
                  <c:v>44105</c:v>
                </c:pt>
                <c:pt idx="118">
                  <c:v>44136</c:v>
                </c:pt>
                <c:pt idx="119">
                  <c:v>44166</c:v>
                </c:pt>
                <c:pt idx="120">
                  <c:v>44197</c:v>
                </c:pt>
                <c:pt idx="121">
                  <c:v>44228</c:v>
                </c:pt>
                <c:pt idx="122">
                  <c:v>44256</c:v>
                </c:pt>
                <c:pt idx="123">
                  <c:v>44287</c:v>
                </c:pt>
                <c:pt idx="124">
                  <c:v>44317</c:v>
                </c:pt>
                <c:pt idx="125">
                  <c:v>44348</c:v>
                </c:pt>
                <c:pt idx="126">
                  <c:v>44378</c:v>
                </c:pt>
                <c:pt idx="127">
                  <c:v>44409</c:v>
                </c:pt>
                <c:pt idx="128">
                  <c:v>44440</c:v>
                </c:pt>
                <c:pt idx="129">
                  <c:v>44470</c:v>
                </c:pt>
                <c:pt idx="130">
                  <c:v>44501</c:v>
                </c:pt>
                <c:pt idx="131">
                  <c:v>44531</c:v>
                </c:pt>
                <c:pt idx="132">
                  <c:v>44562</c:v>
                </c:pt>
                <c:pt idx="133">
                  <c:v>44593</c:v>
                </c:pt>
                <c:pt idx="134">
                  <c:v>44621</c:v>
                </c:pt>
                <c:pt idx="135">
                  <c:v>44652</c:v>
                </c:pt>
                <c:pt idx="136">
                  <c:v>44682</c:v>
                </c:pt>
                <c:pt idx="137">
                  <c:v>44713</c:v>
                </c:pt>
                <c:pt idx="138">
                  <c:v>44743</c:v>
                </c:pt>
                <c:pt idx="139">
                  <c:v>44774</c:v>
                </c:pt>
                <c:pt idx="140">
                  <c:v>44805</c:v>
                </c:pt>
                <c:pt idx="141">
                  <c:v>44835</c:v>
                </c:pt>
                <c:pt idx="142">
                  <c:v>44866</c:v>
                </c:pt>
                <c:pt idx="143">
                  <c:v>44896</c:v>
                </c:pt>
                <c:pt idx="144">
                  <c:v>44927</c:v>
                </c:pt>
                <c:pt idx="145">
                  <c:v>44958</c:v>
                </c:pt>
                <c:pt idx="146">
                  <c:v>44986</c:v>
                </c:pt>
                <c:pt idx="147">
                  <c:v>45017</c:v>
                </c:pt>
                <c:pt idx="148">
                  <c:v>45047</c:v>
                </c:pt>
              </c:numCache>
            </c:numRef>
          </c:cat>
          <c:val>
            <c:numRef>
              <c:f>Planilha2!$E$2:$E$150</c:f>
              <c:numCache>
                <c:formatCode>General</c:formatCode>
                <c:ptCount val="149"/>
                <c:pt idx="0">
                  <c:v>0.86</c:v>
                </c:pt>
                <c:pt idx="1">
                  <c:v>0.84</c:v>
                </c:pt>
                <c:pt idx="2">
                  <c:v>0.92</c:v>
                </c:pt>
                <c:pt idx="3">
                  <c:v>0.84</c:v>
                </c:pt>
                <c:pt idx="4">
                  <c:v>0.99</c:v>
                </c:pt>
                <c:pt idx="5">
                  <c:v>0.96</c:v>
                </c:pt>
                <c:pt idx="6">
                  <c:v>0.97</c:v>
                </c:pt>
                <c:pt idx="7">
                  <c:v>1.07</c:v>
                </c:pt>
                <c:pt idx="8">
                  <c:v>0.94</c:v>
                </c:pt>
                <c:pt idx="9">
                  <c:v>0.88</c:v>
                </c:pt>
                <c:pt idx="10">
                  <c:v>0.86</c:v>
                </c:pt>
                <c:pt idx="11">
                  <c:v>0.91</c:v>
                </c:pt>
                <c:pt idx="12">
                  <c:v>0.89</c:v>
                </c:pt>
                <c:pt idx="13">
                  <c:v>0.75</c:v>
                </c:pt>
                <c:pt idx="14">
                  <c:v>0.82</c:v>
                </c:pt>
                <c:pt idx="15">
                  <c:v>0.71</c:v>
                </c:pt>
                <c:pt idx="16">
                  <c:v>0.74</c:v>
                </c:pt>
                <c:pt idx="17">
                  <c:v>0.64</c:v>
                </c:pt>
                <c:pt idx="18">
                  <c:v>0.68</c:v>
                </c:pt>
                <c:pt idx="19">
                  <c:v>0.69</c:v>
                </c:pt>
                <c:pt idx="20">
                  <c:v>0.54</c:v>
                </c:pt>
                <c:pt idx="21">
                  <c:v>0.61</c:v>
                </c:pt>
                <c:pt idx="22">
                  <c:v>0.55000000000000004</c:v>
                </c:pt>
                <c:pt idx="23">
                  <c:v>0.55000000000000004</c:v>
                </c:pt>
                <c:pt idx="24">
                  <c:v>0.6</c:v>
                </c:pt>
                <c:pt idx="25">
                  <c:v>0.49</c:v>
                </c:pt>
                <c:pt idx="26">
                  <c:v>0.55000000000000004</c:v>
                </c:pt>
                <c:pt idx="27">
                  <c:v>0.61</c:v>
                </c:pt>
                <c:pt idx="28">
                  <c:v>0.6</c:v>
                </c:pt>
                <c:pt idx="29">
                  <c:v>0.61</c:v>
                </c:pt>
                <c:pt idx="30">
                  <c:v>0.72</c:v>
                </c:pt>
                <c:pt idx="31">
                  <c:v>0.71</c:v>
                </c:pt>
                <c:pt idx="32">
                  <c:v>0.71</c:v>
                </c:pt>
                <c:pt idx="33">
                  <c:v>0.81</c:v>
                </c:pt>
                <c:pt idx="34">
                  <c:v>0.72</c:v>
                </c:pt>
                <c:pt idx="35">
                  <c:v>0.79</c:v>
                </c:pt>
                <c:pt idx="36">
                  <c:v>0.85</c:v>
                </c:pt>
                <c:pt idx="37">
                  <c:v>0.79</c:v>
                </c:pt>
                <c:pt idx="38">
                  <c:v>0.77</c:v>
                </c:pt>
                <c:pt idx="39">
                  <c:v>0.82</c:v>
                </c:pt>
                <c:pt idx="40">
                  <c:v>0.87</c:v>
                </c:pt>
                <c:pt idx="41">
                  <c:v>0.82</c:v>
                </c:pt>
                <c:pt idx="42">
                  <c:v>0.95</c:v>
                </c:pt>
                <c:pt idx="43">
                  <c:v>0.87</c:v>
                </c:pt>
                <c:pt idx="44">
                  <c:v>0.91</c:v>
                </c:pt>
                <c:pt idx="45">
                  <c:v>0.95</c:v>
                </c:pt>
                <c:pt idx="46">
                  <c:v>0.84</c:v>
                </c:pt>
                <c:pt idx="47">
                  <c:v>0.96</c:v>
                </c:pt>
                <c:pt idx="48">
                  <c:v>0.94</c:v>
                </c:pt>
                <c:pt idx="49">
                  <c:v>0.82</c:v>
                </c:pt>
                <c:pt idx="50">
                  <c:v>1.04</c:v>
                </c:pt>
                <c:pt idx="51">
                  <c:v>0.95</c:v>
                </c:pt>
                <c:pt idx="52">
                  <c:v>0.99</c:v>
                </c:pt>
                <c:pt idx="53">
                  <c:v>1.07</c:v>
                </c:pt>
                <c:pt idx="54">
                  <c:v>1.18</c:v>
                </c:pt>
                <c:pt idx="55">
                  <c:v>1.1100000000000001</c:v>
                </c:pt>
                <c:pt idx="56">
                  <c:v>1.1100000000000001</c:v>
                </c:pt>
                <c:pt idx="57">
                  <c:v>1.1100000000000001</c:v>
                </c:pt>
                <c:pt idx="58">
                  <c:v>1.06</c:v>
                </c:pt>
                <c:pt idx="59">
                  <c:v>1.1599999999999999</c:v>
                </c:pt>
                <c:pt idx="60">
                  <c:v>1.06</c:v>
                </c:pt>
                <c:pt idx="61">
                  <c:v>1</c:v>
                </c:pt>
                <c:pt idx="62">
                  <c:v>1.1599999999999999</c:v>
                </c:pt>
                <c:pt idx="63">
                  <c:v>1.06</c:v>
                </c:pt>
                <c:pt idx="64">
                  <c:v>1.1100000000000001</c:v>
                </c:pt>
                <c:pt idx="65">
                  <c:v>1.1599999999999999</c:v>
                </c:pt>
                <c:pt idx="66">
                  <c:v>1.1100000000000001</c:v>
                </c:pt>
                <c:pt idx="67">
                  <c:v>1.22</c:v>
                </c:pt>
                <c:pt idx="68">
                  <c:v>1.1100000000000001</c:v>
                </c:pt>
                <c:pt idx="69">
                  <c:v>1.05</c:v>
                </c:pt>
                <c:pt idx="70">
                  <c:v>1.04</c:v>
                </c:pt>
                <c:pt idx="71">
                  <c:v>1.1200000000000001</c:v>
                </c:pt>
                <c:pt idx="72">
                  <c:v>1.0900000000000001</c:v>
                </c:pt>
                <c:pt idx="73">
                  <c:v>0.87</c:v>
                </c:pt>
                <c:pt idx="74">
                  <c:v>1.05</c:v>
                </c:pt>
                <c:pt idx="75">
                  <c:v>0.79</c:v>
                </c:pt>
                <c:pt idx="76">
                  <c:v>0.93</c:v>
                </c:pt>
                <c:pt idx="77">
                  <c:v>0.81</c:v>
                </c:pt>
                <c:pt idx="78">
                  <c:v>0.8</c:v>
                </c:pt>
                <c:pt idx="79">
                  <c:v>0.8</c:v>
                </c:pt>
                <c:pt idx="80">
                  <c:v>0.64</c:v>
                </c:pt>
                <c:pt idx="81">
                  <c:v>0.64</c:v>
                </c:pt>
                <c:pt idx="82">
                  <c:v>0.56999999999999995</c:v>
                </c:pt>
                <c:pt idx="83">
                  <c:v>0.54</c:v>
                </c:pt>
                <c:pt idx="84">
                  <c:v>0.57999999999999996</c:v>
                </c:pt>
                <c:pt idx="85">
                  <c:v>0.47</c:v>
                </c:pt>
                <c:pt idx="86">
                  <c:v>0.53</c:v>
                </c:pt>
                <c:pt idx="87">
                  <c:v>0.52</c:v>
                </c:pt>
                <c:pt idx="88">
                  <c:v>0.52</c:v>
                </c:pt>
                <c:pt idx="89">
                  <c:v>0.52</c:v>
                </c:pt>
                <c:pt idx="90">
                  <c:v>0.54</c:v>
                </c:pt>
                <c:pt idx="91">
                  <c:v>0.56999999999999995</c:v>
                </c:pt>
                <c:pt idx="92">
                  <c:v>0.47</c:v>
                </c:pt>
                <c:pt idx="93">
                  <c:v>0.54</c:v>
                </c:pt>
                <c:pt idx="94">
                  <c:v>0.49</c:v>
                </c:pt>
                <c:pt idx="95">
                  <c:v>0.49</c:v>
                </c:pt>
                <c:pt idx="96">
                  <c:v>0.54</c:v>
                </c:pt>
                <c:pt idx="97">
                  <c:v>0.49</c:v>
                </c:pt>
                <c:pt idx="98">
                  <c:v>0.47</c:v>
                </c:pt>
                <c:pt idx="99">
                  <c:v>0.52</c:v>
                </c:pt>
                <c:pt idx="100">
                  <c:v>0.54</c:v>
                </c:pt>
                <c:pt idx="101">
                  <c:v>0.47</c:v>
                </c:pt>
                <c:pt idx="102">
                  <c:v>0.56999999999999995</c:v>
                </c:pt>
                <c:pt idx="103">
                  <c:v>0.5</c:v>
                </c:pt>
                <c:pt idx="104">
                  <c:v>0.46</c:v>
                </c:pt>
                <c:pt idx="105">
                  <c:v>0.48</c:v>
                </c:pt>
                <c:pt idx="106">
                  <c:v>0.38</c:v>
                </c:pt>
                <c:pt idx="107">
                  <c:v>0.37</c:v>
                </c:pt>
                <c:pt idx="108">
                  <c:v>0.38</c:v>
                </c:pt>
                <c:pt idx="109">
                  <c:v>0.28999999999999998</c:v>
                </c:pt>
                <c:pt idx="110">
                  <c:v>0.34</c:v>
                </c:pt>
                <c:pt idx="111">
                  <c:v>0.28000000000000003</c:v>
                </c:pt>
                <c:pt idx="112">
                  <c:v>0.24</c:v>
                </c:pt>
                <c:pt idx="113">
                  <c:v>0.21</c:v>
                </c:pt>
                <c:pt idx="114">
                  <c:v>0.19</c:v>
                </c:pt>
                <c:pt idx="115">
                  <c:v>0.16</c:v>
                </c:pt>
                <c:pt idx="116">
                  <c:v>0.16</c:v>
                </c:pt>
                <c:pt idx="117">
                  <c:v>0.16</c:v>
                </c:pt>
                <c:pt idx="118">
                  <c:v>0.15</c:v>
                </c:pt>
                <c:pt idx="119">
                  <c:v>0.16</c:v>
                </c:pt>
                <c:pt idx="120">
                  <c:v>0.15</c:v>
                </c:pt>
                <c:pt idx="121">
                  <c:v>0.13</c:v>
                </c:pt>
                <c:pt idx="122">
                  <c:v>0.2</c:v>
                </c:pt>
                <c:pt idx="123">
                  <c:v>0.21</c:v>
                </c:pt>
                <c:pt idx="124">
                  <c:v>0.27</c:v>
                </c:pt>
                <c:pt idx="125">
                  <c:v>0.31</c:v>
                </c:pt>
                <c:pt idx="126">
                  <c:v>0.36</c:v>
                </c:pt>
                <c:pt idx="127">
                  <c:v>0.43</c:v>
                </c:pt>
                <c:pt idx="128">
                  <c:v>0.44</c:v>
                </c:pt>
                <c:pt idx="129">
                  <c:v>0.49</c:v>
                </c:pt>
                <c:pt idx="130">
                  <c:v>0.59</c:v>
                </c:pt>
                <c:pt idx="131">
                  <c:v>0.77</c:v>
                </c:pt>
                <c:pt idx="132">
                  <c:v>0.73</c:v>
                </c:pt>
                <c:pt idx="133">
                  <c:v>0.76</c:v>
                </c:pt>
                <c:pt idx="134">
                  <c:v>0.93</c:v>
                </c:pt>
                <c:pt idx="135">
                  <c:v>0.83</c:v>
                </c:pt>
                <c:pt idx="136">
                  <c:v>1.03</c:v>
                </c:pt>
                <c:pt idx="137">
                  <c:v>1.02</c:v>
                </c:pt>
                <c:pt idx="138">
                  <c:v>1.03</c:v>
                </c:pt>
                <c:pt idx="139">
                  <c:v>1.17</c:v>
                </c:pt>
                <c:pt idx="140">
                  <c:v>1.07</c:v>
                </c:pt>
                <c:pt idx="141">
                  <c:v>1.02</c:v>
                </c:pt>
                <c:pt idx="142">
                  <c:v>1.02</c:v>
                </c:pt>
                <c:pt idx="143">
                  <c:v>1.1200000000000001</c:v>
                </c:pt>
                <c:pt idx="144">
                  <c:v>1.1200000000000001</c:v>
                </c:pt>
                <c:pt idx="145">
                  <c:v>0.92</c:v>
                </c:pt>
                <c:pt idx="146">
                  <c:v>1.17</c:v>
                </c:pt>
                <c:pt idx="147">
                  <c:v>0.92</c:v>
                </c:pt>
                <c:pt idx="148">
                  <c:v>0.46</c:v>
                </c:pt>
              </c:numCache>
            </c:numRef>
          </c:val>
          <c:smooth val="0"/>
          <c:extLst>
            <c:ext xmlns:c16="http://schemas.microsoft.com/office/drawing/2014/chart" uri="{C3380CC4-5D6E-409C-BE32-E72D297353CC}">
              <c16:uniqueId val="{00000001-209F-401C-B80D-0949C2E43FBF}"/>
            </c:ext>
          </c:extLst>
        </c:ser>
        <c:ser>
          <c:idx val="2"/>
          <c:order val="2"/>
          <c:tx>
            <c:strRef>
              <c:f>Planilha2!$F$1</c:f>
              <c:strCache>
                <c:ptCount val="1"/>
                <c:pt idx="0">
                  <c:v>Taxa de Longo Prazo (TLP)</c:v>
                </c:pt>
              </c:strCache>
            </c:strRef>
          </c:tx>
          <c:spPr>
            <a:ln w="28575" cap="rnd">
              <a:solidFill>
                <a:schemeClr val="accent3"/>
              </a:solidFill>
              <a:round/>
            </a:ln>
            <a:effectLst/>
          </c:spPr>
          <c:marker>
            <c:symbol val="none"/>
          </c:marker>
          <c:cat>
            <c:numRef>
              <c:f>Planilha2!$A$2:$A$150</c:f>
              <c:numCache>
                <c:formatCode>mmm\-yy</c:formatCode>
                <c:ptCount val="149"/>
                <c:pt idx="0">
                  <c:v>40544</c:v>
                </c:pt>
                <c:pt idx="1">
                  <c:v>40575</c:v>
                </c:pt>
                <c:pt idx="2">
                  <c:v>40603</c:v>
                </c:pt>
                <c:pt idx="3">
                  <c:v>40634</c:v>
                </c:pt>
                <c:pt idx="4">
                  <c:v>40664</c:v>
                </c:pt>
                <c:pt idx="5">
                  <c:v>40695</c:v>
                </c:pt>
                <c:pt idx="6">
                  <c:v>40725</c:v>
                </c:pt>
                <c:pt idx="7">
                  <c:v>40756</c:v>
                </c:pt>
                <c:pt idx="8">
                  <c:v>40787</c:v>
                </c:pt>
                <c:pt idx="9">
                  <c:v>40817</c:v>
                </c:pt>
                <c:pt idx="10">
                  <c:v>40848</c:v>
                </c:pt>
                <c:pt idx="11">
                  <c:v>40878</c:v>
                </c:pt>
                <c:pt idx="12">
                  <c:v>40909</c:v>
                </c:pt>
                <c:pt idx="13">
                  <c:v>40940</c:v>
                </c:pt>
                <c:pt idx="14">
                  <c:v>40969</c:v>
                </c:pt>
                <c:pt idx="15">
                  <c:v>41000</c:v>
                </c:pt>
                <c:pt idx="16">
                  <c:v>41030</c:v>
                </c:pt>
                <c:pt idx="17">
                  <c:v>41061</c:v>
                </c:pt>
                <c:pt idx="18">
                  <c:v>41091</c:v>
                </c:pt>
                <c:pt idx="19">
                  <c:v>41122</c:v>
                </c:pt>
                <c:pt idx="20">
                  <c:v>41153</c:v>
                </c:pt>
                <c:pt idx="21">
                  <c:v>41183</c:v>
                </c:pt>
                <c:pt idx="22">
                  <c:v>41214</c:v>
                </c:pt>
                <c:pt idx="23">
                  <c:v>41244</c:v>
                </c:pt>
                <c:pt idx="24">
                  <c:v>41275</c:v>
                </c:pt>
                <c:pt idx="25">
                  <c:v>41306</c:v>
                </c:pt>
                <c:pt idx="26">
                  <c:v>41334</c:v>
                </c:pt>
                <c:pt idx="27">
                  <c:v>41365</c:v>
                </c:pt>
                <c:pt idx="28">
                  <c:v>41395</c:v>
                </c:pt>
                <c:pt idx="29">
                  <c:v>41426</c:v>
                </c:pt>
                <c:pt idx="30">
                  <c:v>41456</c:v>
                </c:pt>
                <c:pt idx="31">
                  <c:v>41487</c:v>
                </c:pt>
                <c:pt idx="32">
                  <c:v>41518</c:v>
                </c:pt>
                <c:pt idx="33">
                  <c:v>41548</c:v>
                </c:pt>
                <c:pt idx="34">
                  <c:v>41579</c:v>
                </c:pt>
                <c:pt idx="35">
                  <c:v>41609</c:v>
                </c:pt>
                <c:pt idx="36">
                  <c:v>41640</c:v>
                </c:pt>
                <c:pt idx="37">
                  <c:v>41671</c:v>
                </c:pt>
                <c:pt idx="38">
                  <c:v>41699</c:v>
                </c:pt>
                <c:pt idx="39">
                  <c:v>41730</c:v>
                </c:pt>
                <c:pt idx="40">
                  <c:v>41760</c:v>
                </c:pt>
                <c:pt idx="41">
                  <c:v>41791</c:v>
                </c:pt>
                <c:pt idx="42">
                  <c:v>41821</c:v>
                </c:pt>
                <c:pt idx="43">
                  <c:v>41852</c:v>
                </c:pt>
                <c:pt idx="44">
                  <c:v>41883</c:v>
                </c:pt>
                <c:pt idx="45">
                  <c:v>41913</c:v>
                </c:pt>
                <c:pt idx="46">
                  <c:v>41944</c:v>
                </c:pt>
                <c:pt idx="47">
                  <c:v>41974</c:v>
                </c:pt>
                <c:pt idx="48">
                  <c:v>42005</c:v>
                </c:pt>
                <c:pt idx="49">
                  <c:v>42036</c:v>
                </c:pt>
                <c:pt idx="50">
                  <c:v>42064</c:v>
                </c:pt>
                <c:pt idx="51">
                  <c:v>42095</c:v>
                </c:pt>
                <c:pt idx="52">
                  <c:v>42125</c:v>
                </c:pt>
                <c:pt idx="53">
                  <c:v>42156</c:v>
                </c:pt>
                <c:pt idx="54">
                  <c:v>42186</c:v>
                </c:pt>
                <c:pt idx="55">
                  <c:v>42217</c:v>
                </c:pt>
                <c:pt idx="56">
                  <c:v>42248</c:v>
                </c:pt>
                <c:pt idx="57">
                  <c:v>42278</c:v>
                </c:pt>
                <c:pt idx="58">
                  <c:v>42309</c:v>
                </c:pt>
                <c:pt idx="59">
                  <c:v>42339</c:v>
                </c:pt>
                <c:pt idx="60">
                  <c:v>42370</c:v>
                </c:pt>
                <c:pt idx="61">
                  <c:v>42401</c:v>
                </c:pt>
                <c:pt idx="62">
                  <c:v>42430</c:v>
                </c:pt>
                <c:pt idx="63">
                  <c:v>42461</c:v>
                </c:pt>
                <c:pt idx="64">
                  <c:v>42491</c:v>
                </c:pt>
                <c:pt idx="65">
                  <c:v>42522</c:v>
                </c:pt>
                <c:pt idx="66">
                  <c:v>42552</c:v>
                </c:pt>
                <c:pt idx="67">
                  <c:v>42583</c:v>
                </c:pt>
                <c:pt idx="68">
                  <c:v>42614</c:v>
                </c:pt>
                <c:pt idx="69">
                  <c:v>42644</c:v>
                </c:pt>
                <c:pt idx="70">
                  <c:v>42675</c:v>
                </c:pt>
                <c:pt idx="71">
                  <c:v>42705</c:v>
                </c:pt>
                <c:pt idx="72">
                  <c:v>42736</c:v>
                </c:pt>
                <c:pt idx="73">
                  <c:v>42767</c:v>
                </c:pt>
                <c:pt idx="74">
                  <c:v>42795</c:v>
                </c:pt>
                <c:pt idx="75">
                  <c:v>42826</c:v>
                </c:pt>
                <c:pt idx="76">
                  <c:v>42856</c:v>
                </c:pt>
                <c:pt idx="77">
                  <c:v>42887</c:v>
                </c:pt>
                <c:pt idx="78">
                  <c:v>42917</c:v>
                </c:pt>
                <c:pt idx="79">
                  <c:v>42948</c:v>
                </c:pt>
                <c:pt idx="80">
                  <c:v>42979</c:v>
                </c:pt>
                <c:pt idx="81">
                  <c:v>43009</c:v>
                </c:pt>
                <c:pt idx="82">
                  <c:v>43040</c:v>
                </c:pt>
                <c:pt idx="83">
                  <c:v>43070</c:v>
                </c:pt>
                <c:pt idx="84">
                  <c:v>43101</c:v>
                </c:pt>
                <c:pt idx="85">
                  <c:v>43132</c:v>
                </c:pt>
                <c:pt idx="86">
                  <c:v>43160</c:v>
                </c:pt>
                <c:pt idx="87">
                  <c:v>43191</c:v>
                </c:pt>
                <c:pt idx="88">
                  <c:v>43221</c:v>
                </c:pt>
                <c:pt idx="89">
                  <c:v>43252</c:v>
                </c:pt>
                <c:pt idx="90">
                  <c:v>43282</c:v>
                </c:pt>
                <c:pt idx="91">
                  <c:v>43313</c:v>
                </c:pt>
                <c:pt idx="92">
                  <c:v>43344</c:v>
                </c:pt>
                <c:pt idx="93">
                  <c:v>43374</c:v>
                </c:pt>
                <c:pt idx="94">
                  <c:v>43405</c:v>
                </c:pt>
                <c:pt idx="95">
                  <c:v>43435</c:v>
                </c:pt>
                <c:pt idx="96">
                  <c:v>43466</c:v>
                </c:pt>
                <c:pt idx="97">
                  <c:v>43497</c:v>
                </c:pt>
                <c:pt idx="98">
                  <c:v>43525</c:v>
                </c:pt>
                <c:pt idx="99">
                  <c:v>43556</c:v>
                </c:pt>
                <c:pt idx="100">
                  <c:v>43586</c:v>
                </c:pt>
                <c:pt idx="101">
                  <c:v>43617</c:v>
                </c:pt>
                <c:pt idx="102">
                  <c:v>43647</c:v>
                </c:pt>
                <c:pt idx="103">
                  <c:v>43678</c:v>
                </c:pt>
                <c:pt idx="104">
                  <c:v>43709</c:v>
                </c:pt>
                <c:pt idx="105">
                  <c:v>43739</c:v>
                </c:pt>
                <c:pt idx="106">
                  <c:v>43770</c:v>
                </c:pt>
                <c:pt idx="107">
                  <c:v>43800</c:v>
                </c:pt>
                <c:pt idx="108">
                  <c:v>43831</c:v>
                </c:pt>
                <c:pt idx="109">
                  <c:v>43862</c:v>
                </c:pt>
                <c:pt idx="110">
                  <c:v>43891</c:v>
                </c:pt>
                <c:pt idx="111">
                  <c:v>43922</c:v>
                </c:pt>
                <c:pt idx="112">
                  <c:v>43952</c:v>
                </c:pt>
                <c:pt idx="113">
                  <c:v>43983</c:v>
                </c:pt>
                <c:pt idx="114">
                  <c:v>44013</c:v>
                </c:pt>
                <c:pt idx="115">
                  <c:v>44044</c:v>
                </c:pt>
                <c:pt idx="116">
                  <c:v>44075</c:v>
                </c:pt>
                <c:pt idx="117">
                  <c:v>44105</c:v>
                </c:pt>
                <c:pt idx="118">
                  <c:v>44136</c:v>
                </c:pt>
                <c:pt idx="119">
                  <c:v>44166</c:v>
                </c:pt>
                <c:pt idx="120">
                  <c:v>44197</c:v>
                </c:pt>
                <c:pt idx="121">
                  <c:v>44228</c:v>
                </c:pt>
                <c:pt idx="122">
                  <c:v>44256</c:v>
                </c:pt>
                <c:pt idx="123">
                  <c:v>44287</c:v>
                </c:pt>
                <c:pt idx="124">
                  <c:v>44317</c:v>
                </c:pt>
                <c:pt idx="125">
                  <c:v>44348</c:v>
                </c:pt>
                <c:pt idx="126">
                  <c:v>44378</c:v>
                </c:pt>
                <c:pt idx="127">
                  <c:v>44409</c:v>
                </c:pt>
                <c:pt idx="128">
                  <c:v>44440</c:v>
                </c:pt>
                <c:pt idx="129">
                  <c:v>44470</c:v>
                </c:pt>
                <c:pt idx="130">
                  <c:v>44501</c:v>
                </c:pt>
                <c:pt idx="131">
                  <c:v>44531</c:v>
                </c:pt>
                <c:pt idx="132">
                  <c:v>44562</c:v>
                </c:pt>
                <c:pt idx="133">
                  <c:v>44593</c:v>
                </c:pt>
                <c:pt idx="134">
                  <c:v>44621</c:v>
                </c:pt>
                <c:pt idx="135">
                  <c:v>44652</c:v>
                </c:pt>
                <c:pt idx="136">
                  <c:v>44682</c:v>
                </c:pt>
                <c:pt idx="137">
                  <c:v>44713</c:v>
                </c:pt>
                <c:pt idx="138">
                  <c:v>44743</c:v>
                </c:pt>
                <c:pt idx="139">
                  <c:v>44774</c:v>
                </c:pt>
                <c:pt idx="140">
                  <c:v>44805</c:v>
                </c:pt>
                <c:pt idx="141">
                  <c:v>44835</c:v>
                </c:pt>
                <c:pt idx="142">
                  <c:v>44866</c:v>
                </c:pt>
                <c:pt idx="143">
                  <c:v>44896</c:v>
                </c:pt>
                <c:pt idx="144">
                  <c:v>44927</c:v>
                </c:pt>
                <c:pt idx="145">
                  <c:v>44958</c:v>
                </c:pt>
                <c:pt idx="146">
                  <c:v>44986</c:v>
                </c:pt>
                <c:pt idx="147">
                  <c:v>45017</c:v>
                </c:pt>
                <c:pt idx="148">
                  <c:v>45047</c:v>
                </c:pt>
              </c:numCache>
            </c:numRef>
          </c:cat>
          <c:val>
            <c:numRef>
              <c:f>Planilha2!$F$2:$F$150</c:f>
              <c:numCache>
                <c:formatCode>General</c:formatCode>
                <c:ptCount val="149"/>
                <c:pt idx="84">
                  <c:v>4.74</c:v>
                </c:pt>
                <c:pt idx="85">
                  <c:v>4.8099999999999996</c:v>
                </c:pt>
                <c:pt idx="86">
                  <c:v>4.75</c:v>
                </c:pt>
                <c:pt idx="87">
                  <c:v>4.59</c:v>
                </c:pt>
                <c:pt idx="88">
                  <c:v>4.47</c:v>
                </c:pt>
                <c:pt idx="89">
                  <c:v>4.5199999999999996</c:v>
                </c:pt>
                <c:pt idx="90">
                  <c:v>4.87</c:v>
                </c:pt>
                <c:pt idx="91">
                  <c:v>5.27</c:v>
                </c:pt>
                <c:pt idx="92">
                  <c:v>5.49</c:v>
                </c:pt>
                <c:pt idx="93">
                  <c:v>5.56</c:v>
                </c:pt>
                <c:pt idx="94">
                  <c:v>5.43</c:v>
                </c:pt>
                <c:pt idx="95">
                  <c:v>5.22</c:v>
                </c:pt>
                <c:pt idx="96">
                  <c:v>4.84</c:v>
                </c:pt>
                <c:pt idx="97">
                  <c:v>4.5199999999999996</c:v>
                </c:pt>
                <c:pt idx="98">
                  <c:v>4.3099999999999996</c:v>
                </c:pt>
                <c:pt idx="99">
                  <c:v>4.09</c:v>
                </c:pt>
                <c:pt idx="100">
                  <c:v>4.04</c:v>
                </c:pt>
                <c:pt idx="101">
                  <c:v>4</c:v>
                </c:pt>
                <c:pt idx="102">
                  <c:v>3.83</c:v>
                </c:pt>
                <c:pt idx="103">
                  <c:v>3.41</c:v>
                </c:pt>
                <c:pt idx="104">
                  <c:v>3.08</c:v>
                </c:pt>
                <c:pt idx="105">
                  <c:v>2.9</c:v>
                </c:pt>
                <c:pt idx="106">
                  <c:v>2.72</c:v>
                </c:pt>
                <c:pt idx="107">
                  <c:v>2.54</c:v>
                </c:pt>
                <c:pt idx="108">
                  <c:v>2.4</c:v>
                </c:pt>
                <c:pt idx="109">
                  <c:v>2.42</c:v>
                </c:pt>
                <c:pt idx="110">
                  <c:v>2.4700000000000002</c:v>
                </c:pt>
                <c:pt idx="111">
                  <c:v>2.67</c:v>
                </c:pt>
                <c:pt idx="112">
                  <c:v>2.86</c:v>
                </c:pt>
                <c:pt idx="113">
                  <c:v>3.05</c:v>
                </c:pt>
                <c:pt idx="114">
                  <c:v>2.79</c:v>
                </c:pt>
                <c:pt idx="115">
                  <c:v>2.4</c:v>
                </c:pt>
                <c:pt idx="116">
                  <c:v>2.0699999999999998</c:v>
                </c:pt>
                <c:pt idx="117">
                  <c:v>2.02</c:v>
                </c:pt>
                <c:pt idx="118">
                  <c:v>2.21</c:v>
                </c:pt>
                <c:pt idx="119">
                  <c:v>2.4700000000000002</c:v>
                </c:pt>
                <c:pt idx="120">
                  <c:v>2.5299999999999998</c:v>
                </c:pt>
                <c:pt idx="121">
                  <c:v>2.52</c:v>
                </c:pt>
                <c:pt idx="122">
                  <c:v>2.5</c:v>
                </c:pt>
                <c:pt idx="123">
                  <c:v>2.81</c:v>
                </c:pt>
                <c:pt idx="124">
                  <c:v>3.19</c:v>
                </c:pt>
                <c:pt idx="125">
                  <c:v>3.46</c:v>
                </c:pt>
                <c:pt idx="126">
                  <c:v>3.6</c:v>
                </c:pt>
                <c:pt idx="127">
                  <c:v>3.65</c:v>
                </c:pt>
                <c:pt idx="128">
                  <c:v>3.95</c:v>
                </c:pt>
                <c:pt idx="129">
                  <c:v>4.26</c:v>
                </c:pt>
                <c:pt idx="130">
                  <c:v>4.62</c:v>
                </c:pt>
                <c:pt idx="131">
                  <c:v>4.9400000000000004</c:v>
                </c:pt>
                <c:pt idx="132">
                  <c:v>5.09</c:v>
                </c:pt>
                <c:pt idx="133">
                  <c:v>5.22</c:v>
                </c:pt>
                <c:pt idx="134">
                  <c:v>5.24</c:v>
                </c:pt>
                <c:pt idx="135">
                  <c:v>5.43</c:v>
                </c:pt>
                <c:pt idx="136">
                  <c:v>5.44</c:v>
                </c:pt>
                <c:pt idx="137">
                  <c:v>5.5</c:v>
                </c:pt>
                <c:pt idx="138">
                  <c:v>5.48</c:v>
                </c:pt>
                <c:pt idx="139">
                  <c:v>5.7</c:v>
                </c:pt>
                <c:pt idx="140">
                  <c:v>5.75</c:v>
                </c:pt>
                <c:pt idx="141">
                  <c:v>5.79</c:v>
                </c:pt>
                <c:pt idx="142">
                  <c:v>5.68</c:v>
                </c:pt>
                <c:pt idx="143">
                  <c:v>5.75</c:v>
                </c:pt>
                <c:pt idx="144">
                  <c:v>5.93</c:v>
                </c:pt>
                <c:pt idx="145">
                  <c:v>6.08</c:v>
                </c:pt>
                <c:pt idx="146">
                  <c:v>6.15</c:v>
                </c:pt>
                <c:pt idx="147">
                  <c:v>6.05</c:v>
                </c:pt>
                <c:pt idx="148">
                  <c:v>5.93</c:v>
                </c:pt>
              </c:numCache>
            </c:numRef>
          </c:val>
          <c:smooth val="0"/>
          <c:extLst>
            <c:ext xmlns:c16="http://schemas.microsoft.com/office/drawing/2014/chart" uri="{C3380CC4-5D6E-409C-BE32-E72D297353CC}">
              <c16:uniqueId val="{00000002-209F-401C-B80D-0949C2E43FBF}"/>
            </c:ext>
          </c:extLst>
        </c:ser>
        <c:dLbls>
          <c:showLegendKey val="0"/>
          <c:showVal val="0"/>
          <c:showCatName val="0"/>
          <c:showSerName val="0"/>
          <c:showPercent val="0"/>
          <c:showBubbleSize val="0"/>
        </c:dLbls>
        <c:smooth val="0"/>
        <c:axId val="1511578431"/>
        <c:axId val="1501851263"/>
      </c:lineChart>
      <c:dateAx>
        <c:axId val="1511578431"/>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endParaRPr lang="pt-BR"/>
          </a:p>
        </c:txPr>
        <c:crossAx val="1501851263"/>
        <c:crosses val="autoZero"/>
        <c:auto val="1"/>
        <c:lblOffset val="100"/>
        <c:baseTimeUnit val="months"/>
      </c:dateAx>
      <c:valAx>
        <c:axId val="150185126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endParaRPr lang="pt-BR"/>
          </a:p>
        </c:txPr>
        <c:crossAx val="1511578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F76F8-53DC-493F-9AFD-69D736562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TotalTime>
  <Pages>13</Pages>
  <Words>3368</Words>
  <Characters>18188</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Lima de Morais</dc:creator>
  <cp:lastModifiedBy>Patrick Franco Alves</cp:lastModifiedBy>
  <cp:revision>31</cp:revision>
  <cp:lastPrinted>2017-05-11T00:57:00Z</cp:lastPrinted>
  <dcterms:created xsi:type="dcterms:W3CDTF">2023-05-07T21:41:00Z</dcterms:created>
  <dcterms:modified xsi:type="dcterms:W3CDTF">2023-05-15T12:56:00Z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2023-03-13T00:45:43Z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09e6152f-e753-4608-94a8-2dbe105c3065</vt:lpwstr>
  </property>
  <property fmtid="{D5CDD505-2E9C-101B-9397-08002B2CF9AE}" pid="8" name="MSIP_Label_6459b2e0-2ec4-47e6-afc1-6e3f8b684f6a_ContentBits">
    <vt:lpwstr>0</vt:lpwstr>
  </property>
</Properties>
</file>