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8CF1" w14:textId="7F7CFDE3" w:rsidR="00F22EA9" w:rsidRDefault="00F22EA9" w:rsidP="00FB706E">
      <w:pPr>
        <w:pStyle w:val="Ttul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Product 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- </w:t>
      </w:r>
      <w:r w:rsidR="00FB706E" w:rsidRPr="00FB706E">
        <w:rPr>
          <w:sz w:val="24"/>
          <w:szCs w:val="24"/>
          <w:lang w:val="en-US"/>
        </w:rPr>
        <w:t xml:space="preserve">-Product 3 - Technical document containing evaluations and analyzes of Credit Risk and Banking Spread. </w:t>
      </w:r>
      <w:r w:rsidR="00FB706E" w:rsidRPr="00FB706E">
        <w:rPr>
          <w:sz w:val="24"/>
          <w:szCs w:val="24"/>
          <w:lang w:val="en-US"/>
        </w:rPr>
        <w:cr/>
      </w:r>
    </w:p>
    <w:p w14:paraId="2857E513" w14:textId="77777777" w:rsidR="00F22EA9" w:rsidRDefault="00F22EA9" w:rsidP="00F22EA9">
      <w:pPr>
        <w:rPr>
          <w:lang w:val="en-US"/>
        </w:rPr>
      </w:pPr>
    </w:p>
    <w:p w14:paraId="4EFBD68E" w14:textId="42ED7530" w:rsidR="00F22EA9" w:rsidRDefault="00F22EA9" w:rsidP="00F22EA9">
      <w:pPr>
        <w:pStyle w:val="Ttul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Avaliação do Risco de Crédito das Operações </w:t>
      </w:r>
      <w:r>
        <w:rPr>
          <w:sz w:val="24"/>
          <w:szCs w:val="24"/>
        </w:rPr>
        <w:t xml:space="preserve">do BNDES </w:t>
      </w:r>
    </w:p>
    <w:p w14:paraId="2E62D875" w14:textId="77777777" w:rsidR="00F22EA9" w:rsidRDefault="00F22EA9" w:rsidP="00F22EA9">
      <w:pPr>
        <w:pStyle w:val="Ttulo"/>
        <w:jc w:val="center"/>
        <w:rPr>
          <w:sz w:val="24"/>
          <w:szCs w:val="24"/>
        </w:rPr>
      </w:pPr>
    </w:p>
    <w:p w14:paraId="2116D64D" w14:textId="77777777" w:rsidR="00F22EA9" w:rsidRDefault="00F22EA9" w:rsidP="00F22EA9">
      <w:pPr>
        <w:jc w:val="right"/>
      </w:pPr>
      <w:r>
        <w:t>Patrick Alves</w:t>
      </w:r>
    </w:p>
    <w:p w14:paraId="0427FAA1" w14:textId="77777777" w:rsidR="00F22EA9" w:rsidRDefault="00F22EA9" w:rsidP="00F22EA9">
      <w:r>
        <w:rPr>
          <w:b/>
          <w:sz w:val="24"/>
          <w:szCs w:val="24"/>
        </w:rPr>
        <w:t>Resumo</w:t>
      </w:r>
      <w:r>
        <w:t>:</w:t>
      </w:r>
    </w:p>
    <w:p w14:paraId="1420E175" w14:textId="172B2336" w:rsidR="003C3D7C" w:rsidRDefault="00F22EA9" w:rsidP="00F22EA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Utilizando o cadastro de informações da Receita Federal, propomos uma metodologia de mensuração </w:t>
      </w:r>
      <w:r w:rsidR="003C3D7C">
        <w:rPr>
          <w:sz w:val="24"/>
          <w:szCs w:val="24"/>
        </w:rPr>
        <w:t xml:space="preserve">da inadimplência e consequentemente do </w:t>
      </w:r>
      <w:r>
        <w:rPr>
          <w:sz w:val="24"/>
          <w:szCs w:val="24"/>
        </w:rPr>
        <w:t xml:space="preserve">risco de crédito nas operações de financiamento do </w:t>
      </w:r>
      <w:r>
        <w:rPr>
          <w:sz w:val="24"/>
          <w:szCs w:val="24"/>
        </w:rPr>
        <w:t>Banco Nacional de Desenvolvimento Econômico e Social (BNDES).</w:t>
      </w:r>
      <w:r w:rsidR="003C3D7C">
        <w:rPr>
          <w:sz w:val="24"/>
          <w:szCs w:val="24"/>
        </w:rPr>
        <w:t xml:space="preserve"> Utilizamos modelos de aprendizado de máquina para mensurar a probabilidade de inadimplência e categorizamos as probabilidades enquadrar as empresas nos respectivos riscos de crédito. </w:t>
      </w:r>
    </w:p>
    <w:p w14:paraId="6B606267" w14:textId="77777777" w:rsidR="00456DDA" w:rsidRDefault="00456DDA" w:rsidP="00456DDA"/>
    <w:p w14:paraId="18BF81D4" w14:textId="77777777" w:rsidR="003C3D7C" w:rsidRDefault="003C3D7C" w:rsidP="00456DDA"/>
    <w:p w14:paraId="502A9E6D" w14:textId="2CC4E630" w:rsidR="00456DDA" w:rsidRDefault="00456DDA" w:rsidP="00456DDA">
      <w:r>
        <w:t xml:space="preserve">    </w:t>
      </w:r>
    </w:p>
    <w:p w14:paraId="5184F8C3" w14:textId="45F9A25F" w:rsidR="003C3D7C" w:rsidRPr="003C3D7C" w:rsidRDefault="003C3D7C" w:rsidP="003C3D7C">
      <w:pPr>
        <w:jc w:val="both"/>
        <w:rPr>
          <w:b/>
          <w:bCs/>
          <w:sz w:val="24"/>
          <w:szCs w:val="24"/>
        </w:rPr>
      </w:pPr>
      <w:r w:rsidRPr="003C3D7C">
        <w:rPr>
          <w:b/>
          <w:bCs/>
          <w:sz w:val="24"/>
          <w:szCs w:val="24"/>
        </w:rPr>
        <w:t xml:space="preserve">Introdução </w:t>
      </w:r>
    </w:p>
    <w:p w14:paraId="30EE07F1" w14:textId="77777777" w:rsidR="003C3D7C" w:rsidRDefault="003C3D7C" w:rsidP="003C3D7C">
      <w:pPr>
        <w:jc w:val="both"/>
        <w:rPr>
          <w:sz w:val="24"/>
          <w:szCs w:val="24"/>
        </w:rPr>
      </w:pPr>
    </w:p>
    <w:p w14:paraId="4070BDC2" w14:textId="234ED8D8" w:rsidR="00456DDA" w:rsidRPr="003C3D7C" w:rsidRDefault="00456DDA" w:rsidP="003C3D7C">
      <w:pPr>
        <w:jc w:val="both"/>
        <w:rPr>
          <w:sz w:val="24"/>
          <w:szCs w:val="24"/>
        </w:rPr>
      </w:pPr>
      <w:r w:rsidRPr="003C3D7C">
        <w:rPr>
          <w:sz w:val="24"/>
          <w:szCs w:val="24"/>
        </w:rPr>
        <w:t>O crédito é necessário para financiar diversos iniciativas e negócios. Recentemente, credores e empresas de tecnologia financeira (“</w:t>
      </w:r>
      <w:proofErr w:type="spellStart"/>
      <w:r w:rsidRPr="003C3D7C">
        <w:rPr>
          <w:sz w:val="24"/>
          <w:szCs w:val="24"/>
        </w:rPr>
        <w:t>fintech</w:t>
      </w:r>
      <w:proofErr w:type="spellEnd"/>
      <w:r w:rsidRPr="003C3D7C">
        <w:rPr>
          <w:sz w:val="24"/>
          <w:szCs w:val="24"/>
        </w:rPr>
        <w:t>”) estão procurando usar fontes alternativas de dados e formas inovativas de análise de risco de crédito. Essas inovações podem ampliar o acesso ao crédito, especialmente para pessoas com históricos de crédito escassos. No mercado financeiro do consumidor, dados alternativos referem-se a informações usadas para avaliar a qualidade de crédito que geralmente não fazem parte de um relatório de crédito. Alguns exemplos incluem:</w:t>
      </w:r>
    </w:p>
    <w:p w14:paraId="07DF47D2" w14:textId="605622A5" w:rsidR="00456DDA" w:rsidRPr="003C3D7C" w:rsidRDefault="00456DDA" w:rsidP="003C3D7C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3C3D7C">
        <w:rPr>
          <w:sz w:val="24"/>
          <w:szCs w:val="24"/>
        </w:rPr>
        <w:t>Pagamentos de aluguel.</w:t>
      </w:r>
    </w:p>
    <w:p w14:paraId="1BD2EB74" w14:textId="40A3A0A1" w:rsidR="00456DDA" w:rsidRPr="003C3D7C" w:rsidRDefault="00456DDA" w:rsidP="003C3D7C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3C3D7C">
        <w:rPr>
          <w:sz w:val="24"/>
          <w:szCs w:val="24"/>
        </w:rPr>
        <w:t>Pagamentos por celular.</w:t>
      </w:r>
    </w:p>
    <w:p w14:paraId="059F8268" w14:textId="107DAEB2" w:rsidR="00456DDA" w:rsidRPr="003C3D7C" w:rsidRDefault="00456DDA" w:rsidP="003C3D7C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3C3D7C">
        <w:rPr>
          <w:sz w:val="24"/>
          <w:szCs w:val="24"/>
        </w:rPr>
        <w:t>Pagamentos de TV a cabo.</w:t>
      </w:r>
    </w:p>
    <w:p w14:paraId="597A17C5" w14:textId="78B4B89C" w:rsidR="00456DDA" w:rsidRPr="003C3D7C" w:rsidRDefault="00456DDA" w:rsidP="003C3D7C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3C3D7C">
        <w:rPr>
          <w:sz w:val="24"/>
          <w:szCs w:val="24"/>
        </w:rPr>
        <w:t>Sites de reputação on-line.</w:t>
      </w:r>
    </w:p>
    <w:p w14:paraId="0DC025C0" w14:textId="29A246A6" w:rsidR="00456DDA" w:rsidRPr="003C3D7C" w:rsidRDefault="00F11728" w:rsidP="003C3D7C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3C3D7C">
        <w:rPr>
          <w:sz w:val="24"/>
          <w:szCs w:val="24"/>
        </w:rPr>
        <w:t>Métricas de análise de sentimento de mídias sociais.</w:t>
      </w:r>
    </w:p>
    <w:p w14:paraId="4685E720" w14:textId="77777777" w:rsidR="00F11728" w:rsidRPr="003C3D7C" w:rsidRDefault="00F11728" w:rsidP="003C3D7C">
      <w:pPr>
        <w:jc w:val="both"/>
        <w:rPr>
          <w:sz w:val="24"/>
          <w:szCs w:val="24"/>
        </w:rPr>
      </w:pPr>
    </w:p>
    <w:p w14:paraId="55C8E196" w14:textId="398490D2" w:rsidR="00456DDA" w:rsidRPr="003C3D7C" w:rsidRDefault="00456DDA" w:rsidP="003C3D7C">
      <w:pPr>
        <w:jc w:val="both"/>
        <w:rPr>
          <w:sz w:val="24"/>
          <w:szCs w:val="24"/>
        </w:rPr>
      </w:pPr>
    </w:p>
    <w:p w14:paraId="3D8FCEF8" w14:textId="7805C71A" w:rsidR="00F11728" w:rsidRPr="003C3D7C" w:rsidRDefault="00456DDA" w:rsidP="003C3D7C">
      <w:pPr>
        <w:jc w:val="both"/>
        <w:rPr>
          <w:sz w:val="24"/>
          <w:szCs w:val="24"/>
        </w:rPr>
      </w:pPr>
      <w:r w:rsidRPr="003C3D7C">
        <w:rPr>
          <w:sz w:val="24"/>
          <w:szCs w:val="24"/>
        </w:rPr>
        <w:t xml:space="preserve">O uso de dados alternativos </w:t>
      </w:r>
      <w:r w:rsidR="003C3D7C">
        <w:rPr>
          <w:sz w:val="24"/>
          <w:szCs w:val="24"/>
        </w:rPr>
        <w:t xml:space="preserve">pode </w:t>
      </w:r>
      <w:r w:rsidRPr="003C3D7C">
        <w:rPr>
          <w:sz w:val="24"/>
          <w:szCs w:val="24"/>
        </w:rPr>
        <w:t>expandir o acesso ao crédito</w:t>
      </w:r>
      <w:r w:rsidR="003C3D7C">
        <w:rPr>
          <w:sz w:val="24"/>
          <w:szCs w:val="24"/>
        </w:rPr>
        <w:t xml:space="preserve">, onde mesmo os clientes sem </w:t>
      </w:r>
      <w:r w:rsidRPr="003C3D7C">
        <w:rPr>
          <w:sz w:val="24"/>
          <w:szCs w:val="24"/>
        </w:rPr>
        <w:t>histórico de pagamento</w:t>
      </w:r>
      <w:r w:rsidR="003C3D7C">
        <w:rPr>
          <w:sz w:val="24"/>
          <w:szCs w:val="24"/>
        </w:rPr>
        <w:t>s</w:t>
      </w:r>
      <w:r w:rsidRPr="003C3D7C">
        <w:rPr>
          <w:sz w:val="24"/>
          <w:szCs w:val="24"/>
        </w:rPr>
        <w:t xml:space="preserve"> </w:t>
      </w:r>
      <w:r w:rsidR="003C3D7C">
        <w:rPr>
          <w:sz w:val="24"/>
          <w:szCs w:val="24"/>
        </w:rPr>
        <w:t xml:space="preserve">podem ter uma avaliação de risco de crédito com precisão, </w:t>
      </w:r>
      <w:r w:rsidR="003C3D7C">
        <w:rPr>
          <w:sz w:val="24"/>
          <w:szCs w:val="24"/>
        </w:rPr>
        <w:lastRenderedPageBreak/>
        <w:t>desde que as fontes alternativas apresentem variabilidade</w:t>
      </w:r>
      <w:r w:rsidRPr="003C3D7C">
        <w:rPr>
          <w:sz w:val="24"/>
          <w:szCs w:val="24"/>
        </w:rPr>
        <w:t xml:space="preserve">. </w:t>
      </w:r>
      <w:r w:rsidR="00F11728" w:rsidRPr="003C3D7C">
        <w:rPr>
          <w:sz w:val="24"/>
          <w:szCs w:val="24"/>
        </w:rPr>
        <w:t>Outra vantagem é disponibilizar escores alternativos de risco de crédito</w:t>
      </w:r>
      <w:r w:rsidR="003C3D7C">
        <w:rPr>
          <w:sz w:val="24"/>
          <w:szCs w:val="24"/>
        </w:rPr>
        <w:t xml:space="preserve">, que podem ser combinados com escores de </w:t>
      </w:r>
      <w:proofErr w:type="spellStart"/>
      <w:r w:rsidR="003C3D7C">
        <w:rPr>
          <w:sz w:val="24"/>
          <w:szCs w:val="24"/>
        </w:rPr>
        <w:t>bureaus</w:t>
      </w:r>
      <w:proofErr w:type="spellEnd"/>
      <w:r w:rsidR="003C3D7C">
        <w:rPr>
          <w:sz w:val="24"/>
          <w:szCs w:val="24"/>
        </w:rPr>
        <w:t xml:space="preserve"> de crédito tradicionais, adicionando fontes de informação na gestão de risco</w:t>
      </w:r>
      <w:r w:rsidR="00F11728" w:rsidRPr="003C3D7C">
        <w:rPr>
          <w:sz w:val="24"/>
          <w:szCs w:val="24"/>
        </w:rPr>
        <w:t xml:space="preserve">. </w:t>
      </w:r>
    </w:p>
    <w:p w14:paraId="1545CA39" w14:textId="4AED80CC" w:rsidR="00456DDA" w:rsidRPr="003C3D7C" w:rsidRDefault="003C3D7C" w:rsidP="003C3D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Atualmente alguns credores adotam </w:t>
      </w:r>
      <w:r w:rsidR="00F11728" w:rsidRPr="003C3D7C">
        <w:rPr>
          <w:sz w:val="24"/>
          <w:szCs w:val="24"/>
        </w:rPr>
        <w:t xml:space="preserve">políticas contratuais </w:t>
      </w:r>
      <w:r>
        <w:rPr>
          <w:sz w:val="24"/>
          <w:szCs w:val="24"/>
        </w:rPr>
        <w:t xml:space="preserve">que </w:t>
      </w:r>
      <w:r w:rsidR="00F11728" w:rsidRPr="003C3D7C">
        <w:rPr>
          <w:sz w:val="24"/>
          <w:szCs w:val="24"/>
        </w:rPr>
        <w:t xml:space="preserve">exigem escores de crédito acima de determinado limiar, mas sem restringir que sejam escores de </w:t>
      </w:r>
      <w:proofErr w:type="spellStart"/>
      <w:r w:rsidR="00F11728" w:rsidRPr="003C3D7C">
        <w:rPr>
          <w:i/>
          <w:iCs/>
          <w:sz w:val="24"/>
          <w:szCs w:val="24"/>
        </w:rPr>
        <w:t>bureaus</w:t>
      </w:r>
      <w:proofErr w:type="spellEnd"/>
      <w:r w:rsidR="00F11728" w:rsidRPr="003C3D7C">
        <w:rPr>
          <w:sz w:val="24"/>
          <w:szCs w:val="24"/>
        </w:rPr>
        <w:t xml:space="preserve"> de crédito tradicionais</w:t>
      </w:r>
      <w:r w:rsidR="00456DDA" w:rsidRPr="003C3D7C">
        <w:rPr>
          <w:sz w:val="24"/>
          <w:szCs w:val="24"/>
        </w:rPr>
        <w:t xml:space="preserve">. Alguns desses credores podem estar dispostos a </w:t>
      </w:r>
      <w:r w:rsidR="00F11728" w:rsidRPr="003C3D7C">
        <w:rPr>
          <w:sz w:val="24"/>
          <w:szCs w:val="24"/>
        </w:rPr>
        <w:t xml:space="preserve">conceder o empréstimo, se encontrarem critérios objetivos </w:t>
      </w:r>
      <w:r>
        <w:rPr>
          <w:sz w:val="24"/>
          <w:szCs w:val="24"/>
        </w:rPr>
        <w:t xml:space="preserve">confiáveis </w:t>
      </w:r>
      <w:r w:rsidR="00F11728" w:rsidRPr="003C3D7C">
        <w:rPr>
          <w:sz w:val="24"/>
          <w:szCs w:val="24"/>
        </w:rPr>
        <w:t xml:space="preserve">para </w:t>
      </w:r>
      <w:r w:rsidR="00456DDA" w:rsidRPr="003C3D7C">
        <w:rPr>
          <w:sz w:val="24"/>
          <w:szCs w:val="24"/>
        </w:rPr>
        <w:t xml:space="preserve">determinar quais pessoas têm menos probabilidade de inadimplência no empréstimo, </w:t>
      </w:r>
      <w:r>
        <w:rPr>
          <w:sz w:val="24"/>
          <w:szCs w:val="24"/>
        </w:rPr>
        <w:t>com base em fontes de dados alternativas ()</w:t>
      </w:r>
      <w:r w:rsidR="00456DDA" w:rsidRPr="003C3D7C">
        <w:rPr>
          <w:sz w:val="24"/>
          <w:szCs w:val="24"/>
        </w:rPr>
        <w:t>.</w:t>
      </w:r>
    </w:p>
    <w:p w14:paraId="16B71626" w14:textId="0E111741" w:rsidR="001E5F99" w:rsidRDefault="00456DDA" w:rsidP="001E5F99">
      <w:pPr>
        <w:jc w:val="both"/>
        <w:rPr>
          <w:sz w:val="24"/>
          <w:szCs w:val="24"/>
        </w:rPr>
      </w:pPr>
      <w:r w:rsidRPr="003C3D7C">
        <w:rPr>
          <w:sz w:val="24"/>
          <w:szCs w:val="24"/>
        </w:rPr>
        <w:t xml:space="preserve">Os dados tradicionalmente usados pelos credores </w:t>
      </w:r>
      <w:r w:rsidR="00F11728" w:rsidRPr="003C3D7C">
        <w:rPr>
          <w:sz w:val="24"/>
          <w:szCs w:val="24"/>
        </w:rPr>
        <w:t xml:space="preserve">e </w:t>
      </w:r>
      <w:proofErr w:type="spellStart"/>
      <w:r w:rsidR="00F11728" w:rsidRPr="003C3D7C">
        <w:rPr>
          <w:i/>
          <w:iCs/>
          <w:sz w:val="24"/>
          <w:szCs w:val="24"/>
        </w:rPr>
        <w:t>bureaus</w:t>
      </w:r>
      <w:proofErr w:type="spellEnd"/>
      <w:r w:rsidR="00F11728" w:rsidRPr="003C3D7C">
        <w:rPr>
          <w:sz w:val="24"/>
          <w:szCs w:val="24"/>
        </w:rPr>
        <w:t xml:space="preserve"> de crédito, podem não refletir todas as </w:t>
      </w:r>
      <w:r w:rsidRPr="003C3D7C">
        <w:rPr>
          <w:sz w:val="24"/>
          <w:szCs w:val="24"/>
        </w:rPr>
        <w:t xml:space="preserve">atividades </w:t>
      </w:r>
      <w:r w:rsidR="00F11728" w:rsidRPr="003C3D7C">
        <w:rPr>
          <w:sz w:val="24"/>
          <w:szCs w:val="24"/>
        </w:rPr>
        <w:t>que a empresa se envolve</w:t>
      </w:r>
      <w:r w:rsidRPr="003C3D7C">
        <w:rPr>
          <w:sz w:val="24"/>
          <w:szCs w:val="24"/>
        </w:rPr>
        <w:t>. Dados alternativos podem fornecer informações mais atualizadas e em tempo real.</w:t>
      </w:r>
      <w:r w:rsidR="003C3D7C">
        <w:rPr>
          <w:sz w:val="24"/>
          <w:szCs w:val="24"/>
        </w:rPr>
        <w:t xml:space="preserve"> Por exemplo, </w:t>
      </w:r>
      <w:r w:rsidR="001E5F99">
        <w:rPr>
          <w:sz w:val="24"/>
          <w:szCs w:val="24"/>
        </w:rPr>
        <w:t>podem existir cadastros desatualizados ou informações incompletas mesmo em dados tradicionais</w:t>
      </w:r>
      <w:r w:rsidRPr="003C3D7C">
        <w:rPr>
          <w:sz w:val="24"/>
          <w:szCs w:val="24"/>
        </w:rPr>
        <w:t xml:space="preserve">. </w:t>
      </w:r>
    </w:p>
    <w:p w14:paraId="1389A903" w14:textId="73CD3E75" w:rsidR="00456DDA" w:rsidRPr="003C3D7C" w:rsidRDefault="001E5F99" w:rsidP="003C3D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escores </w:t>
      </w:r>
      <w:r w:rsidR="00456DDA" w:rsidRPr="003C3D7C">
        <w:rPr>
          <w:sz w:val="24"/>
          <w:szCs w:val="24"/>
        </w:rPr>
        <w:t xml:space="preserve">de crédito tradicionais são fortemente influenciados pela própria conduta financeira </w:t>
      </w:r>
      <w:r>
        <w:rPr>
          <w:sz w:val="24"/>
          <w:szCs w:val="24"/>
        </w:rPr>
        <w:t xml:space="preserve">da </w:t>
      </w:r>
      <w:r w:rsidR="00456DDA" w:rsidRPr="003C3D7C">
        <w:rPr>
          <w:sz w:val="24"/>
          <w:szCs w:val="24"/>
        </w:rPr>
        <w:t>pessoa</w:t>
      </w:r>
      <w:r>
        <w:rPr>
          <w:sz w:val="24"/>
          <w:szCs w:val="24"/>
        </w:rPr>
        <w:t xml:space="preserve"> física ou jurídica</w:t>
      </w:r>
      <w:r w:rsidR="00456DDA" w:rsidRPr="003C3D7C">
        <w:rPr>
          <w:sz w:val="24"/>
          <w:szCs w:val="24"/>
        </w:rPr>
        <w:t xml:space="preserve">. </w:t>
      </w:r>
      <w:r>
        <w:rPr>
          <w:sz w:val="24"/>
          <w:szCs w:val="24"/>
        </w:rPr>
        <w:t>E a</w:t>
      </w:r>
      <w:r w:rsidR="00456DDA" w:rsidRPr="003C3D7C">
        <w:rPr>
          <w:sz w:val="24"/>
          <w:szCs w:val="24"/>
        </w:rPr>
        <w:t xml:space="preserve">lguns dados alternativos </w:t>
      </w:r>
      <w:r>
        <w:rPr>
          <w:sz w:val="24"/>
          <w:szCs w:val="24"/>
        </w:rPr>
        <w:t xml:space="preserve">não são tão intimamente </w:t>
      </w:r>
      <w:r w:rsidR="00456DDA" w:rsidRPr="003C3D7C">
        <w:rPr>
          <w:sz w:val="24"/>
          <w:szCs w:val="24"/>
        </w:rPr>
        <w:t xml:space="preserve">relacionados </w:t>
      </w:r>
      <w:r>
        <w:rPr>
          <w:sz w:val="24"/>
          <w:szCs w:val="24"/>
        </w:rPr>
        <w:t xml:space="preserve">a </w:t>
      </w:r>
      <w:r w:rsidR="00456DDA" w:rsidRPr="003C3D7C">
        <w:rPr>
          <w:sz w:val="24"/>
          <w:szCs w:val="24"/>
        </w:rPr>
        <w:t xml:space="preserve">conduta financeira </w:t>
      </w:r>
      <w:r>
        <w:rPr>
          <w:sz w:val="24"/>
          <w:szCs w:val="24"/>
        </w:rPr>
        <w:t>propriamente dita, fazendo tais fontes de informação interessantes para concessão de crédito com objetivos sociais ou para financiar projetos de maior risco, tais como linhas voltadas para inovação tecnologia</w:t>
      </w:r>
      <w:r w:rsidR="00456DDA" w:rsidRPr="003C3D7C">
        <w:rPr>
          <w:sz w:val="24"/>
          <w:szCs w:val="24"/>
        </w:rPr>
        <w:t xml:space="preserve">. </w:t>
      </w:r>
    </w:p>
    <w:p w14:paraId="2325A5DE" w14:textId="65619B3F" w:rsidR="00456DDA" w:rsidRPr="003C3D7C" w:rsidRDefault="001E5F99" w:rsidP="003C3D7C">
      <w:pPr>
        <w:jc w:val="both"/>
        <w:rPr>
          <w:sz w:val="24"/>
          <w:szCs w:val="24"/>
        </w:rPr>
      </w:pPr>
      <w:r>
        <w:rPr>
          <w:sz w:val="24"/>
          <w:szCs w:val="24"/>
        </w:rPr>
        <w:t>Entretanto, o</w:t>
      </w:r>
      <w:r w:rsidR="00456DDA" w:rsidRPr="003C3D7C">
        <w:rPr>
          <w:sz w:val="24"/>
          <w:szCs w:val="24"/>
        </w:rPr>
        <w:t xml:space="preserve"> uso de </w:t>
      </w:r>
      <w:r>
        <w:rPr>
          <w:sz w:val="24"/>
          <w:szCs w:val="24"/>
        </w:rPr>
        <w:t xml:space="preserve">fontes de dados </w:t>
      </w:r>
      <w:r w:rsidR="00456DDA" w:rsidRPr="003C3D7C">
        <w:rPr>
          <w:sz w:val="24"/>
          <w:szCs w:val="24"/>
        </w:rPr>
        <w:t>alternativ</w:t>
      </w:r>
      <w:r>
        <w:rPr>
          <w:sz w:val="24"/>
          <w:szCs w:val="24"/>
        </w:rPr>
        <w:t xml:space="preserve">as </w:t>
      </w:r>
      <w:r w:rsidR="00456DDA" w:rsidRPr="003C3D7C">
        <w:rPr>
          <w:sz w:val="24"/>
          <w:szCs w:val="24"/>
        </w:rPr>
        <w:t xml:space="preserve">pode penalizar ou recompensar certos grupos ou comportamentos de maneiras difíceis de prever. Por exemplo, </w:t>
      </w:r>
      <w:r>
        <w:rPr>
          <w:sz w:val="24"/>
          <w:szCs w:val="24"/>
        </w:rPr>
        <w:t xml:space="preserve">empresas de cujos processos de produção utilizam solução em nuvem e que adotaram de trabalho remoto universal. Essas empresas </w:t>
      </w:r>
      <w:r w:rsidR="00456DDA" w:rsidRPr="003C3D7C">
        <w:rPr>
          <w:sz w:val="24"/>
          <w:szCs w:val="24"/>
        </w:rPr>
        <w:t xml:space="preserve">podem </w:t>
      </w:r>
      <w:r>
        <w:rPr>
          <w:sz w:val="24"/>
          <w:szCs w:val="24"/>
        </w:rPr>
        <w:t xml:space="preserve">mudar o endereço de seu estabelecimento sem impactar suas atividades produtivas, e </w:t>
      </w:r>
      <w:r w:rsidR="00456DDA" w:rsidRPr="003C3D7C">
        <w:rPr>
          <w:sz w:val="24"/>
          <w:szCs w:val="24"/>
        </w:rPr>
        <w:t>isso pode dar uma falsa impressão de instabilidade que pode afetar seu acesso ao crédito.</w:t>
      </w:r>
    </w:p>
    <w:p w14:paraId="7658FDF4" w14:textId="5F2A4844" w:rsidR="00456DDA" w:rsidRPr="003C3D7C" w:rsidRDefault="00456DDA" w:rsidP="003C3D7C">
      <w:pPr>
        <w:jc w:val="both"/>
        <w:rPr>
          <w:sz w:val="24"/>
          <w:szCs w:val="24"/>
        </w:rPr>
      </w:pPr>
    </w:p>
    <w:p w14:paraId="0F80240C" w14:textId="77777777" w:rsidR="001E5F99" w:rsidRDefault="001E5F99" w:rsidP="00360636">
      <w:pPr>
        <w:rPr>
          <w:sz w:val="24"/>
          <w:szCs w:val="24"/>
        </w:rPr>
      </w:pPr>
    </w:p>
    <w:p w14:paraId="669158EE" w14:textId="0009B49B" w:rsidR="00456DDA" w:rsidRPr="001E5F99" w:rsidRDefault="001E5F99" w:rsidP="00360636">
      <w:pPr>
        <w:rPr>
          <w:b/>
          <w:bCs/>
        </w:rPr>
      </w:pPr>
      <w:r w:rsidRPr="001E5F99">
        <w:rPr>
          <w:b/>
          <w:bCs/>
          <w:sz w:val="24"/>
          <w:szCs w:val="24"/>
        </w:rPr>
        <w:t xml:space="preserve">Fontes de </w:t>
      </w:r>
      <w:r w:rsidR="003C3D7C" w:rsidRPr="001E5F99">
        <w:rPr>
          <w:b/>
          <w:bCs/>
        </w:rPr>
        <w:t>Dados</w:t>
      </w:r>
    </w:p>
    <w:p w14:paraId="758413C7" w14:textId="77777777" w:rsidR="003C3D7C" w:rsidRPr="003A5166" w:rsidRDefault="003C3D7C" w:rsidP="003C3D7C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>Apresentamos a organização em formato SAS dos dados abertos da Receita Federal (RF) e do Banco Nacional de Desenvolvimento Econômico e Social (BNDES). Essas informações são microdados de empresas disponibilizados, respectivamente, pelo portal de dados abertos</w:t>
      </w:r>
      <w:r w:rsidRPr="003A5166">
        <w:rPr>
          <w:rStyle w:val="Refdenotaderodap"/>
          <w:sz w:val="24"/>
          <w:szCs w:val="24"/>
        </w:rPr>
        <w:footnoteReference w:id="1"/>
      </w:r>
      <w:r w:rsidRPr="003A5166">
        <w:rPr>
          <w:sz w:val="24"/>
          <w:szCs w:val="24"/>
        </w:rPr>
        <w:t xml:space="preserve"> do Governo Federal e pelo portal da Transparência</w:t>
      </w:r>
      <w:r w:rsidRPr="003A5166">
        <w:rPr>
          <w:rStyle w:val="Refdenotaderodap"/>
          <w:sz w:val="24"/>
          <w:szCs w:val="24"/>
        </w:rPr>
        <w:footnoteReference w:id="2"/>
      </w:r>
      <w:r w:rsidRPr="003A5166">
        <w:rPr>
          <w:sz w:val="24"/>
          <w:szCs w:val="24"/>
        </w:rPr>
        <w:t xml:space="preserve"> do BNDES. A organização e documentação desses microdados é uma etapa importante em avaliações de financiamentos do BNDES, performance econômica de empresas e probabilidade de inadimplência. </w:t>
      </w:r>
    </w:p>
    <w:p w14:paraId="66F79FDE" w14:textId="77777777" w:rsidR="003C3D7C" w:rsidRPr="003A5166" w:rsidRDefault="003C3D7C" w:rsidP="003C3D7C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 xml:space="preserve">Neste documento apresentamos em cada uma das tabelas existentes, os campos disponíveis e os relacionamentos existente entre as tabelas. Será detalhado também o </w:t>
      </w:r>
      <w:r w:rsidRPr="003A5166">
        <w:rPr>
          <w:sz w:val="24"/>
          <w:szCs w:val="24"/>
        </w:rPr>
        <w:lastRenderedPageBreak/>
        <w:t xml:space="preserve">processo de recuperação dos </w:t>
      </w:r>
      <w:proofErr w:type="spellStart"/>
      <w:r w:rsidRPr="003A5166">
        <w:rPr>
          <w:sz w:val="24"/>
          <w:szCs w:val="24"/>
        </w:rPr>
        <w:t>CNPJs</w:t>
      </w:r>
      <w:proofErr w:type="spellEnd"/>
      <w:r w:rsidRPr="003A5166">
        <w:rPr>
          <w:sz w:val="24"/>
          <w:szCs w:val="24"/>
        </w:rPr>
        <w:t xml:space="preserve"> que estão censurados na base de dados de operações indiretas do BNDES. Por fim, apresentados algumas estatísticas descritas advindas do cruzamento de informações entre o BNDES e Receita Federal.</w:t>
      </w:r>
    </w:p>
    <w:p w14:paraId="44BCFB1D" w14:textId="77777777" w:rsidR="003C3D7C" w:rsidRDefault="003C3D7C" w:rsidP="003C3D7C">
      <w:pPr>
        <w:ind w:firstLine="360"/>
        <w:jc w:val="both"/>
      </w:pPr>
    </w:p>
    <w:p w14:paraId="20FA5DDB" w14:textId="77777777" w:rsidR="003C3D7C" w:rsidRPr="003A5166" w:rsidRDefault="003C3D7C" w:rsidP="003C3D7C">
      <w:pPr>
        <w:jc w:val="both"/>
        <w:rPr>
          <w:b/>
          <w:sz w:val="24"/>
          <w:szCs w:val="24"/>
        </w:rPr>
      </w:pPr>
      <w:r w:rsidRPr="003A5166">
        <w:rPr>
          <w:b/>
          <w:sz w:val="24"/>
          <w:szCs w:val="24"/>
        </w:rPr>
        <w:t>Introdução</w:t>
      </w:r>
    </w:p>
    <w:p w14:paraId="3FEF57A0" w14:textId="77777777" w:rsidR="003C3D7C" w:rsidRPr="003A5166" w:rsidRDefault="003C3D7C" w:rsidP="003C3D7C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 xml:space="preserve">A necessidade de maior </w:t>
      </w:r>
      <w:proofErr w:type="spellStart"/>
      <w:r w:rsidRPr="003A5166">
        <w:rPr>
          <w:i/>
          <w:iCs/>
          <w:sz w:val="24"/>
          <w:szCs w:val="24"/>
        </w:rPr>
        <w:t>accountability</w:t>
      </w:r>
      <w:proofErr w:type="spellEnd"/>
      <w:r w:rsidRPr="003A5166">
        <w:rPr>
          <w:sz w:val="24"/>
          <w:szCs w:val="24"/>
        </w:rPr>
        <w:t xml:space="preserve"> tem estimulado as iniciativas de bases de dados abertos contendo microdados de interesse público. Entre essas iniciativas, podemos citar portal o Cadastro Nacional de Pessoas Jurídicas da Receita Federal </w:t>
      </w:r>
      <w:r w:rsidRPr="003A5166">
        <w:rPr>
          <w:iCs/>
          <w:sz w:val="24"/>
          <w:szCs w:val="24"/>
        </w:rPr>
        <w:t xml:space="preserve">e o Portal </w:t>
      </w:r>
      <w:r w:rsidRPr="003A5166">
        <w:rPr>
          <w:sz w:val="24"/>
          <w:szCs w:val="24"/>
        </w:rPr>
        <w:t xml:space="preserve">Transparência do BNDES, contendo microdados de empresas. A unidade observacional dos dados disponibilizados é a operação de crédito, contendo o CNPJ censurado das empresas e as condições da operação de crédito (taxa de juros, prazo, amortização, valor do contrato). A unidade observacional das informações da Receita Federal é a matriz empresa, a empresa final e o sócio da empresa, dependendo da tabela relacional. Nosso na concatenação desses dados é desenvolver uma proxy para o risco de crédito dessas operações, relacionando esta medida de risco com as operações do BNDES. </w:t>
      </w:r>
    </w:p>
    <w:p w14:paraId="5C017063" w14:textId="77777777" w:rsidR="003C3D7C" w:rsidRPr="003A5166" w:rsidRDefault="003C3D7C" w:rsidP="003C3D7C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>A Receita Federal disponibiliza 03 tabelas da microdados: Empresa, Filiais e Sócios (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_Ref129964323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6242EF">
        <w:t xml:space="preserve">Tabela </w:t>
      </w:r>
      <w:r>
        <w:rPr>
          <w:noProof/>
        </w:rPr>
        <w:t>1</w:t>
      </w:r>
      <w:r>
        <w:rPr>
          <w:sz w:val="24"/>
          <w:szCs w:val="24"/>
        </w:rPr>
        <w:fldChar w:fldCharType="end"/>
      </w:r>
      <w:r w:rsidRPr="003A5166">
        <w:rPr>
          <w:sz w:val="24"/>
          <w:szCs w:val="24"/>
        </w:rPr>
        <w:t xml:space="preserve">). A tabela de empresas (RF_EMPRESA) possui aproximadamente 40 milhões registros correspondendo a matriz das empresas, os dados de filiais (RF_FILIAIS) possuem aproximadamente 42 milhões de observações correspondendo as plantas locais, e a tabela de sócios (RF_SOCIOS) possuem aproximadamente 18 milhões de observações, correspondendo a estrutura societárias das empresas. As informações de empresas (RF_EMPRESA), filiais (RF_FILIAIS) e sócios (RF_SOCIOS) possuem como chave comum o CNPJ raiz da empresa (08 primeiros dígitos do CNPJ). </w:t>
      </w:r>
    </w:p>
    <w:p w14:paraId="3E4168F2" w14:textId="77777777" w:rsidR="003C3D7C" w:rsidRPr="003A5166" w:rsidRDefault="003C3D7C" w:rsidP="003C3D7C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>A tabela de operações indiretas (BNDES_INDIR_AUTO) do BNDES possui em torno de 269 mil observações, correspondendo a todas as operações de crédito indiretas no período de 2017 a 2022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_Ref129964323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6242EF">
        <w:t xml:space="preserve">Tabela </w:t>
      </w:r>
      <w:r>
        <w:rPr>
          <w:noProof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)</w:t>
      </w:r>
      <w:r w:rsidRPr="003A5166">
        <w:rPr>
          <w:sz w:val="24"/>
          <w:szCs w:val="24"/>
        </w:rPr>
        <w:t xml:space="preserve">. A tabela de operações não-automáticas (BNDES_NAOAUTO) possuem aproximadamente 20 mil observações, onde o CNPJ não se encontra censurado. A tabela de operações </w:t>
      </w:r>
      <w:r>
        <w:rPr>
          <w:sz w:val="24"/>
          <w:szCs w:val="24"/>
        </w:rPr>
        <w:t xml:space="preserve">da </w:t>
      </w:r>
      <w:r w:rsidRPr="003A5166">
        <w:rPr>
          <w:sz w:val="24"/>
          <w:szCs w:val="24"/>
        </w:rPr>
        <w:t xml:space="preserve">administração pública (BNDES_ADM_PUB), tais como prefeituras, e autarquias, possuindo aproximadamente 4 mil observações. As informações do BNDES possuem como chave comum o CNPJ raiz da empresa (08 primeiros dígitos do CNPJ), o qual pode ser utilizado também para concatenar informações da Receita Federal. </w:t>
      </w:r>
    </w:p>
    <w:p w14:paraId="052C4E4B" w14:textId="77777777" w:rsidR="003C3D7C" w:rsidRPr="00456DDA" w:rsidRDefault="003C3D7C" w:rsidP="00360636"/>
    <w:p w14:paraId="3051C605" w14:textId="77777777" w:rsidR="00456DDA" w:rsidRPr="00456DDA" w:rsidRDefault="00456DDA" w:rsidP="00360636"/>
    <w:p w14:paraId="7D8B0590" w14:textId="77777777" w:rsidR="00456DDA" w:rsidRPr="00456DDA" w:rsidRDefault="00456DDA" w:rsidP="00360636"/>
    <w:p w14:paraId="05EB2873" w14:textId="77777777" w:rsidR="00456DDA" w:rsidRPr="00456DDA" w:rsidRDefault="00456DDA" w:rsidP="00360636"/>
    <w:p w14:paraId="7FE5B26E" w14:textId="77777777" w:rsidR="00456DDA" w:rsidRPr="00456DDA" w:rsidRDefault="00456DDA" w:rsidP="00360636"/>
    <w:p w14:paraId="218C9B3F" w14:textId="77777777" w:rsidR="00456DDA" w:rsidRPr="00456DDA" w:rsidRDefault="00456DDA" w:rsidP="00360636"/>
    <w:p w14:paraId="7039440F" w14:textId="29FB1CCD" w:rsidR="00360636" w:rsidRDefault="00ED014B" w:rsidP="00360636">
      <w:r>
        <w:lastRenderedPageBreak/>
        <w:t>Com a introdução das diretrizes de conformidade de Basel II e Basel III, e a necessidade de mais acurácia nas mensurações de risco de crédito, os modelos de análise de sobrevivência ganharam maior importância ao longo dos anos (</w:t>
      </w:r>
      <w:proofErr w:type="spellStart"/>
      <w:r>
        <w:t>Dirick</w:t>
      </w:r>
      <w:proofErr w:type="spellEnd"/>
      <w:r>
        <w:t xml:space="preserve">, 2012). Historicamente, a análise de sobrevivência tem sido utilizada principalmente em medicina e engenharia, onde o tempo de duração até ocorrência de um evento é analisada. </w:t>
      </w:r>
    </w:p>
    <w:p w14:paraId="420EC1CD" w14:textId="00628E5C" w:rsidR="00ED014B" w:rsidRPr="00D82F60" w:rsidRDefault="00ED014B" w:rsidP="00360636">
      <w:pPr>
        <w:rPr>
          <w:lang w:val="en-US"/>
        </w:rPr>
      </w:pPr>
      <w:r>
        <w:t xml:space="preserve">Narain (1992) foi a primeira pessoa que sugeriu a utilização de análise de sobrevivência no contexto de risco de crédito. </w:t>
      </w:r>
      <w:r w:rsidRPr="00D82F60">
        <w:rPr>
          <w:lang w:val="en-US"/>
        </w:rPr>
        <w:t xml:space="preserve">A </w:t>
      </w:r>
      <w:proofErr w:type="spellStart"/>
      <w:r w:rsidRPr="00D82F60">
        <w:rPr>
          <w:lang w:val="en-US"/>
        </w:rPr>
        <w:t>vantagem</w:t>
      </w:r>
      <w:proofErr w:type="spellEnd"/>
      <w:r w:rsidRPr="00D82F60">
        <w:rPr>
          <w:lang w:val="en-US"/>
        </w:rPr>
        <w:t xml:space="preserve"> da </w:t>
      </w:r>
      <w:proofErr w:type="spellStart"/>
      <w:r w:rsidRPr="00D82F60">
        <w:rPr>
          <w:lang w:val="en-US"/>
        </w:rPr>
        <w:t>utilização</w:t>
      </w:r>
      <w:proofErr w:type="spellEnd"/>
      <w:r w:rsidRPr="00D82F60">
        <w:rPr>
          <w:lang w:val="en-US"/>
        </w:rPr>
        <w:t xml:space="preserve"> </w:t>
      </w:r>
    </w:p>
    <w:p w14:paraId="6EC8BD84" w14:textId="261B6176" w:rsidR="00ED014B" w:rsidRPr="00D82F60" w:rsidRDefault="00ED014B" w:rsidP="00360636">
      <w:pPr>
        <w:rPr>
          <w:lang w:val="en-US"/>
        </w:rPr>
      </w:pPr>
    </w:p>
    <w:p w14:paraId="0376A857" w14:textId="7A24B51E" w:rsidR="00ED014B" w:rsidRPr="00D82F60" w:rsidRDefault="00ED014B" w:rsidP="00360636">
      <w:pPr>
        <w:rPr>
          <w:lang w:val="en-US"/>
        </w:rPr>
      </w:pPr>
    </w:p>
    <w:p w14:paraId="6D4543D8" w14:textId="20C6879D" w:rsidR="00ED014B" w:rsidRPr="00F22EA9" w:rsidRDefault="00ED014B" w:rsidP="00360636">
      <w:r w:rsidRPr="00ED014B">
        <w:rPr>
          <w:lang w:val="en-US"/>
        </w:rPr>
        <w:t xml:space="preserve">Time </w:t>
      </w:r>
      <w:r>
        <w:rPr>
          <w:lang w:val="en-US"/>
        </w:rPr>
        <w:t>to</w:t>
      </w:r>
      <w:r w:rsidRPr="00ED014B">
        <w:rPr>
          <w:lang w:val="en-US"/>
        </w:rPr>
        <w:t xml:space="preserve"> Default in Credit S</w:t>
      </w:r>
      <w:r>
        <w:rPr>
          <w:lang w:val="en-US"/>
        </w:rPr>
        <w:t xml:space="preserve">coring Using Survival Analysis: A benchmark study. </w:t>
      </w:r>
      <w:proofErr w:type="spellStart"/>
      <w:r w:rsidRPr="00F22EA9">
        <w:t>Journal</w:t>
      </w:r>
      <w:proofErr w:type="spellEnd"/>
      <w:r w:rsidRPr="00F22EA9">
        <w:t xml:space="preserve"> </w:t>
      </w:r>
      <w:proofErr w:type="spellStart"/>
      <w:r w:rsidRPr="00F22EA9">
        <w:t>of</w:t>
      </w:r>
      <w:proofErr w:type="spellEnd"/>
      <w:r w:rsidRPr="00F22EA9">
        <w:t xml:space="preserve"> The </w:t>
      </w:r>
      <w:proofErr w:type="spellStart"/>
      <w:r w:rsidRPr="00F22EA9">
        <w:t>Operational</w:t>
      </w:r>
      <w:proofErr w:type="spellEnd"/>
      <w:r w:rsidRPr="00F22EA9">
        <w:t xml:space="preserve"> </w:t>
      </w:r>
      <w:proofErr w:type="spellStart"/>
      <w:r w:rsidRPr="00F22EA9">
        <w:t>Research</w:t>
      </w:r>
      <w:proofErr w:type="spellEnd"/>
      <w:r w:rsidRPr="00F22EA9">
        <w:t xml:space="preserve"> Society, v. 68, p. 652-665. </w:t>
      </w:r>
    </w:p>
    <w:p w14:paraId="7B4D60A2" w14:textId="62811572" w:rsidR="00456DDA" w:rsidRPr="00F22EA9" w:rsidRDefault="00456DDA" w:rsidP="00360636"/>
    <w:p w14:paraId="0D209427" w14:textId="35E05890" w:rsidR="00456DDA" w:rsidRPr="00F22EA9" w:rsidRDefault="00456DDA" w:rsidP="00360636"/>
    <w:p w14:paraId="7AB24F38" w14:textId="25961F6A" w:rsidR="00456DDA" w:rsidRPr="00F22EA9" w:rsidRDefault="00456DDA" w:rsidP="00360636"/>
    <w:p w14:paraId="0B3FF9F5" w14:textId="3064D451" w:rsidR="00456DDA" w:rsidRPr="00F22EA9" w:rsidRDefault="00456DDA" w:rsidP="00360636"/>
    <w:p w14:paraId="2731F6A0" w14:textId="42CF31BD" w:rsidR="00456DDA" w:rsidRPr="00F22EA9" w:rsidRDefault="00456DDA" w:rsidP="00360636"/>
    <w:p w14:paraId="21B402CB" w14:textId="11DBE523" w:rsidR="00456DDA" w:rsidRPr="00F22EA9" w:rsidRDefault="00456DDA" w:rsidP="00360636"/>
    <w:p w14:paraId="43E8BDD5" w14:textId="77777777" w:rsidR="00D82F60" w:rsidRPr="00D82F60" w:rsidRDefault="00D82F60" w:rsidP="00D82F60">
      <w:r w:rsidRPr="00D82F60">
        <w:t>SHAP e LIME: Uma Avaliação do Poder Discriminativo no Risco de Crédito</w:t>
      </w:r>
    </w:p>
    <w:p w14:paraId="52C76899" w14:textId="77777777" w:rsidR="00D82F60" w:rsidRPr="00D82F60" w:rsidRDefault="00D82F60" w:rsidP="00D82F60"/>
    <w:p w14:paraId="470495B7" w14:textId="77777777" w:rsidR="00D82F60" w:rsidRPr="00D82F60" w:rsidRDefault="00D82F60" w:rsidP="00D82F60"/>
    <w:p w14:paraId="15F0690C" w14:textId="77777777" w:rsidR="00D82F60" w:rsidRPr="00D82F60" w:rsidRDefault="00D82F60" w:rsidP="00D82F60">
      <w:r w:rsidRPr="00D82F60">
        <w:t xml:space="preserve">Esses modelos são geralmente chamados de “caixas-pretas”, o que significa que você conhece as entradas e saídas, mas há poucas maneiras de entender o que está acontecendo sob o capô. Como resposta a isso, vimos vários modelos diferentes de IA explicada florescerem nos últimos anos, com o objetivo de permitir que o usuário veja por que a caixa preta deu uma determinada saída. Nesse contexto, avaliamos dois modelos </w:t>
      </w:r>
      <w:proofErr w:type="spellStart"/>
      <w:r w:rsidRPr="00D82F60">
        <w:t>eXplainable</w:t>
      </w:r>
      <w:proofErr w:type="spellEnd"/>
      <w:r w:rsidRPr="00D82F60">
        <w:t xml:space="preserve"> AI (XAI) muito populares em sua capacidade de discriminar observações em grupos, por meio da aplicação de modelagem não supervisionada e preditiva aos pesos que esses modelos XAI atribuem a recursos localmente. A avaliação é realizada em dados reais de Pequenas e Médias Empresas, obtidos de repositórios oficiais italianos, e pode servir de base para o emprego de tais modelos XAI para extração de características pós-processamento.</w:t>
      </w:r>
    </w:p>
    <w:p w14:paraId="42FAA37D" w14:textId="77777777" w:rsidR="00D82F60" w:rsidRPr="00D82F60" w:rsidRDefault="00D82F60" w:rsidP="00D82F60"/>
    <w:p w14:paraId="245EB9BE" w14:textId="77777777" w:rsidR="00D82F60" w:rsidRPr="00D82F60" w:rsidRDefault="00D82F60" w:rsidP="00D82F60">
      <w:r w:rsidRPr="00D82F60">
        <w:t>1. Introdução</w:t>
      </w:r>
    </w:p>
    <w:p w14:paraId="610884DD" w14:textId="77777777" w:rsidR="00D82F60" w:rsidRPr="00D82F60" w:rsidRDefault="00D82F60" w:rsidP="00D82F60">
      <w:r w:rsidRPr="00D82F60">
        <w:t xml:space="preserve">A estimativa da probabilidade de inadimplência (PD) é uma questão que os bancos e outras instituições financeiras têm enfrentado desde o surgimento do crédito. Sistemas e metodologias evoluíram junto com o conhecimento e a tecnologia, mas não foi até recentemente que os incríveis avanços dados em TI deram uma verdadeira sacudida na forma como ela era executada pela indústria. A princípio, as instituições incumbentes resistiram à aplicação de novos paradigmas, o que favoreceu o surgimento de um número crescente de </w:t>
      </w:r>
      <w:r w:rsidRPr="00D82F60">
        <w:lastRenderedPageBreak/>
        <w:t xml:space="preserve">startups de </w:t>
      </w:r>
      <w:proofErr w:type="spellStart"/>
      <w:r w:rsidRPr="00D82F60">
        <w:t>fintech</w:t>
      </w:r>
      <w:proofErr w:type="spellEnd"/>
      <w:r w:rsidRPr="00D82F60">
        <w:t xml:space="preserve"> cujo objetivo é fornecer uma estimativa da solvabilidade de pessoas e empresas e fazer com que essa estimativa seja a mais alta fidelidade possível.</w:t>
      </w:r>
    </w:p>
    <w:p w14:paraId="1EDE0022" w14:textId="77777777" w:rsidR="00D82F60" w:rsidRPr="00D82F60" w:rsidRDefault="00D82F60" w:rsidP="00D82F60"/>
    <w:p w14:paraId="45B7D6C4" w14:textId="77777777" w:rsidR="00D82F60" w:rsidRPr="00D82F60" w:rsidRDefault="00D82F60" w:rsidP="00D82F60">
      <w:r w:rsidRPr="00D82F60">
        <w:t xml:space="preserve">Para poder fornecer essa estimativa, é claro que essas empresas alavancam novas e diversas fontes de dados, aproveitam as inovações na estrutura regulatória relativa a dados financeiros (por exemplo, PSD2 europeu (Comissão Europeia, (2015)) e exploram o poder preditivo muito maior que alguns dos algoritmos recém-implementados oferecem respeito aos métodos tradicionais. No entanto, o aumento no poder de previsão dos novos algoritmos prejudica a </w:t>
      </w:r>
      <w:proofErr w:type="spellStart"/>
      <w:r w:rsidRPr="00D82F60">
        <w:t>explicabilidade</w:t>
      </w:r>
      <w:proofErr w:type="spellEnd"/>
      <w:r w:rsidRPr="00D82F60">
        <w:t xml:space="preserve">, uma vez que os modelos agora são tão complexos que é quase impossível estabelecer vínculos claros entre </w:t>
      </w:r>
      <w:proofErr w:type="gramStart"/>
      <w:r w:rsidRPr="00D82F60">
        <w:t>os funcionamento</w:t>
      </w:r>
      <w:proofErr w:type="gramEnd"/>
      <w:r w:rsidRPr="00D82F60">
        <w:t xml:space="preserve"> do modelo e do output dado, o que seguramente representa um problema e dificulta a sua difusão, para além de levantar uma série de questões éticas e regulamentares, que começam a ser abordadas (ver, por exemplo, Comissão Europeia (2020)).</w:t>
      </w:r>
    </w:p>
    <w:p w14:paraId="38B702CF" w14:textId="77777777" w:rsidR="00D82F60" w:rsidRPr="00D82F60" w:rsidRDefault="00D82F60" w:rsidP="00D82F60"/>
    <w:p w14:paraId="5FF37E5D" w14:textId="77777777" w:rsidR="00D82F60" w:rsidRPr="00D82F60" w:rsidRDefault="00D82F60" w:rsidP="00D82F60">
      <w:r w:rsidRPr="00D82F60">
        <w:t xml:space="preserve">Para resolver esse trade-off, o conceito de </w:t>
      </w:r>
      <w:proofErr w:type="spellStart"/>
      <w:r w:rsidRPr="00D82F60">
        <w:t>eXplainable</w:t>
      </w:r>
      <w:proofErr w:type="spellEnd"/>
      <w:r w:rsidRPr="00D82F60">
        <w:t xml:space="preserve"> AI (XAI) surgiu introduzindo um conjunto de técnicas de aprendizado de máquina (ML) que produzem modelos que oferecem um trade-off aceitável entre </w:t>
      </w:r>
      <w:proofErr w:type="spellStart"/>
      <w:r w:rsidRPr="00D82F60">
        <w:t>explicabilidade</w:t>
      </w:r>
      <w:proofErr w:type="spellEnd"/>
      <w:r w:rsidRPr="00D82F60">
        <w:t xml:space="preserve"> e utilidade preditiva e permite que os humanos entendam, confiem e gerenciar as gerações emergentes de modelos de IA. Entre as técnicas emergentes, dois frameworks têm sido amplamente reconhecidos como o estado da arte em </w:t>
      </w:r>
      <w:proofErr w:type="spellStart"/>
      <w:r w:rsidRPr="00D82F60">
        <w:t>eXplainable</w:t>
      </w:r>
      <w:proofErr w:type="spellEnd"/>
      <w:r w:rsidRPr="00D82F60">
        <w:t xml:space="preserve"> AI e são eles:</w:t>
      </w:r>
    </w:p>
    <w:p w14:paraId="1B439459" w14:textId="77777777" w:rsidR="00D82F60" w:rsidRPr="00D82F60" w:rsidRDefault="00D82F60" w:rsidP="00D82F60"/>
    <w:p w14:paraId="0A9ED6A7" w14:textId="77777777" w:rsidR="00D82F60" w:rsidRPr="00D82F60" w:rsidRDefault="00D82F60" w:rsidP="00D82F60">
      <w:r w:rsidRPr="00D82F60">
        <w:t xml:space="preserve">• o </w:t>
      </w:r>
      <w:proofErr w:type="gramStart"/>
      <w:r w:rsidRPr="00D82F60">
        <w:t>framework Lime</w:t>
      </w:r>
      <w:proofErr w:type="gramEnd"/>
      <w:r w:rsidRPr="00D82F60">
        <w:t>, introduzido por (Ribeiro et al., 2016)</w:t>
      </w:r>
    </w:p>
    <w:p w14:paraId="0A9D809D" w14:textId="77777777" w:rsidR="00D82F60" w:rsidRPr="00D82F60" w:rsidRDefault="00D82F60" w:rsidP="00D82F60"/>
    <w:p w14:paraId="575BC680" w14:textId="77777777" w:rsidR="00D82F60" w:rsidRPr="00D82F60" w:rsidRDefault="00D82F60" w:rsidP="00D82F60">
      <w:r w:rsidRPr="00D82F60">
        <w:t>• Valores SHAP, introduzidos por (</w:t>
      </w:r>
      <w:proofErr w:type="spellStart"/>
      <w:r w:rsidRPr="00D82F60">
        <w:t>Lundberg</w:t>
      </w:r>
      <w:proofErr w:type="spellEnd"/>
      <w:r w:rsidRPr="00D82F60">
        <w:t xml:space="preserve"> e Lee, 2017).</w:t>
      </w:r>
    </w:p>
    <w:p w14:paraId="76DAF091" w14:textId="77777777" w:rsidR="00D82F60" w:rsidRPr="00D82F60" w:rsidRDefault="00D82F60" w:rsidP="00D82F60"/>
    <w:p w14:paraId="484BE33C" w14:textId="77777777" w:rsidR="00D82F60" w:rsidRPr="00D82F60" w:rsidRDefault="00D82F60" w:rsidP="00D82F60">
      <w:r w:rsidRPr="00D82F60">
        <w:t xml:space="preserve">Em finanças, a </w:t>
      </w:r>
      <w:proofErr w:type="spellStart"/>
      <w:r w:rsidRPr="00D82F60">
        <w:t>interpretabilidade</w:t>
      </w:r>
      <w:proofErr w:type="spellEnd"/>
      <w:r w:rsidRPr="00D82F60">
        <w:t xml:space="preserve"> é especialmente importante porque a confiança do modelo nas características corretas deve ser garantida; ainda, não existem muitos estudos com foco na aplicação do XAI neste contexto específico (</w:t>
      </w:r>
      <w:proofErr w:type="spellStart"/>
      <w:r w:rsidRPr="00D82F60">
        <w:t>Bussmann</w:t>
      </w:r>
      <w:proofErr w:type="spellEnd"/>
      <w:r w:rsidRPr="00D82F60">
        <w:t xml:space="preserve">, 2020). propõem um modelo XAI baseado em valores de </w:t>
      </w:r>
      <w:proofErr w:type="spellStart"/>
      <w:r w:rsidRPr="00D82F60">
        <w:t>Shapley</w:t>
      </w:r>
      <w:proofErr w:type="spellEnd"/>
      <w:r w:rsidRPr="00D82F60">
        <w:t xml:space="preserve"> aplicado no contexto de decisões de empréstimo para PME que buscam financiamento por meio de plataformas P2P, enquanto a pesquisa de (</w:t>
      </w:r>
      <w:proofErr w:type="spellStart"/>
      <w:r w:rsidRPr="00D82F60">
        <w:t>Ariza</w:t>
      </w:r>
      <w:proofErr w:type="spellEnd"/>
      <w:r w:rsidRPr="00D82F60">
        <w:t xml:space="preserve">-Garzón et al., 2020) visa avaliar a capacidade preditiva de vários modelos de ML no contexto de pontuação de crédito das plataformas de empréstimo P2P, em seguida aplicando o método </w:t>
      </w:r>
      <w:proofErr w:type="spellStart"/>
      <w:r w:rsidRPr="00D82F60">
        <w:t>Shapley</w:t>
      </w:r>
      <w:proofErr w:type="spellEnd"/>
      <w:r w:rsidRPr="00D82F60">
        <w:t xml:space="preserve"> para fornecer </w:t>
      </w:r>
      <w:proofErr w:type="spellStart"/>
      <w:r w:rsidRPr="00D82F60">
        <w:t>explicabilidade</w:t>
      </w:r>
      <w:proofErr w:type="spellEnd"/>
      <w:r w:rsidRPr="00D82F60">
        <w:t xml:space="preserve"> à previsão. O precedente mais interessante talvez seja a pesquisa de (</w:t>
      </w:r>
      <w:proofErr w:type="spellStart"/>
      <w:r w:rsidRPr="00D82F60">
        <w:t>HadjiMisheva</w:t>
      </w:r>
      <w:proofErr w:type="spellEnd"/>
      <w:r w:rsidRPr="00D82F60">
        <w:t xml:space="preserve"> et al., 2021), onde os autores exploram a utilidade das estruturas SHAP e Lime no contexto do gerenciamento de risco de crédito, delineando os obstáculos práticos na aplicação dessas técnicas a vários tipos diferentes de algoritmos de ML, bem como propor soluções para os desafios enfrentados.</w:t>
      </w:r>
    </w:p>
    <w:p w14:paraId="225958AE" w14:textId="77777777" w:rsidR="00D82F60" w:rsidRPr="00D82F60" w:rsidRDefault="00D82F60" w:rsidP="00D82F60"/>
    <w:p w14:paraId="58ABC38E" w14:textId="77777777" w:rsidR="00D82F60" w:rsidRPr="00D82F60" w:rsidRDefault="00D82F60" w:rsidP="00D82F60">
      <w:r w:rsidRPr="00D82F60">
        <w:t xml:space="preserve">Nosso estudo visa comparar as estruturas SHAP e LIME avaliando sua capacidade de definir grupos distintos de observações, empregando os pesos atribuídos às feições por meio de seu algoritmo de </w:t>
      </w:r>
      <w:proofErr w:type="spellStart"/>
      <w:r w:rsidRPr="00D82F60">
        <w:t>interpretabilidade</w:t>
      </w:r>
      <w:proofErr w:type="spellEnd"/>
      <w:r w:rsidRPr="00D82F60">
        <w:t xml:space="preserve"> local como espaço de entrada para abordagens não </w:t>
      </w:r>
      <w:r w:rsidRPr="00D82F60">
        <w:lastRenderedPageBreak/>
        <w:t xml:space="preserve">supervisionadas e supervisionadas. Fazemos isso construindo nossa abordagem em um dos algoritmos de aprendizado supervisionado de melhor desempenho, porém complexo, </w:t>
      </w:r>
      <w:proofErr w:type="spellStart"/>
      <w:r w:rsidRPr="00D82F60">
        <w:t>XGBoost</w:t>
      </w:r>
      <w:proofErr w:type="spellEnd"/>
      <w:r w:rsidRPr="00D82F60">
        <w:t xml:space="preserve"> (Chen e </w:t>
      </w:r>
      <w:proofErr w:type="spellStart"/>
      <w:r w:rsidRPr="00D82F60">
        <w:t>Guestrin</w:t>
      </w:r>
      <w:proofErr w:type="spellEnd"/>
      <w:r w:rsidRPr="00D82F60">
        <w:t>, 2016), empregado para prever a probabilidade de inadimplência de pequenas e médias empresas italianas.</w:t>
      </w:r>
    </w:p>
    <w:p w14:paraId="507A0F34" w14:textId="77777777" w:rsidR="00D82F60" w:rsidRPr="00D82F60" w:rsidRDefault="00D82F60" w:rsidP="00D82F60"/>
    <w:p w14:paraId="053DFCDC" w14:textId="361A3321" w:rsidR="00456DDA" w:rsidRPr="00D82F60" w:rsidRDefault="00456DDA" w:rsidP="00360636"/>
    <w:p w14:paraId="26283D1A" w14:textId="70BCC630" w:rsidR="00456DDA" w:rsidRPr="00D82F60" w:rsidRDefault="00456DDA" w:rsidP="00360636"/>
    <w:p w14:paraId="150C250A" w14:textId="0DF59F04" w:rsidR="00456DDA" w:rsidRPr="00D82F60" w:rsidRDefault="00456DDA" w:rsidP="00360636"/>
    <w:p w14:paraId="22E220A4" w14:textId="77777777" w:rsidR="00456DDA" w:rsidRPr="00D82F60" w:rsidRDefault="00456DDA" w:rsidP="00360636"/>
    <w:sectPr w:rsidR="00456DDA" w:rsidRPr="00D82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A4007" w14:textId="77777777" w:rsidR="00EE28A0" w:rsidRDefault="00EE28A0" w:rsidP="00444000">
      <w:pPr>
        <w:spacing w:after="0" w:line="240" w:lineRule="auto"/>
      </w:pPr>
      <w:r>
        <w:separator/>
      </w:r>
    </w:p>
  </w:endnote>
  <w:endnote w:type="continuationSeparator" w:id="0">
    <w:p w14:paraId="5A62A456" w14:textId="77777777" w:rsidR="00EE28A0" w:rsidRDefault="00EE28A0" w:rsidP="0044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01CE8" w14:textId="77777777" w:rsidR="00EE28A0" w:rsidRDefault="00EE28A0" w:rsidP="00444000">
      <w:pPr>
        <w:spacing w:after="0" w:line="240" w:lineRule="auto"/>
      </w:pPr>
      <w:r>
        <w:separator/>
      </w:r>
    </w:p>
  </w:footnote>
  <w:footnote w:type="continuationSeparator" w:id="0">
    <w:p w14:paraId="758E2FE5" w14:textId="77777777" w:rsidR="00EE28A0" w:rsidRDefault="00EE28A0" w:rsidP="00444000">
      <w:pPr>
        <w:spacing w:after="0" w:line="240" w:lineRule="auto"/>
      </w:pPr>
      <w:r>
        <w:continuationSeparator/>
      </w:r>
    </w:p>
  </w:footnote>
  <w:footnote w:id="1">
    <w:p w14:paraId="6E63E3BA" w14:textId="77777777" w:rsidR="003C3D7C" w:rsidRDefault="003C3D7C" w:rsidP="003C3D7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B3ED2">
        <w:t>https://dadosabertos.bcb.gov.br/</w:t>
      </w:r>
    </w:p>
  </w:footnote>
  <w:footnote w:id="2">
    <w:p w14:paraId="09245248" w14:textId="77777777" w:rsidR="003C3D7C" w:rsidRDefault="003C3D7C" w:rsidP="003C3D7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5F68A7">
          <w:rPr>
            <w:rStyle w:val="Hyperlink"/>
          </w:rPr>
          <w:t>http://www.bndes.gov.br/wps/portal/site/home/transparencia/centraldedownloads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2A3"/>
    <w:multiLevelType w:val="hybridMultilevel"/>
    <w:tmpl w:val="D262B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35E7A"/>
    <w:multiLevelType w:val="multilevel"/>
    <w:tmpl w:val="560ED2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670A1"/>
    <w:multiLevelType w:val="multilevel"/>
    <w:tmpl w:val="4CC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AE00E6"/>
    <w:multiLevelType w:val="multilevel"/>
    <w:tmpl w:val="360009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8366AE"/>
    <w:multiLevelType w:val="multilevel"/>
    <w:tmpl w:val="C4CC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832026">
    <w:abstractNumId w:val="3"/>
  </w:num>
  <w:num w:numId="2" w16cid:durableId="1416592076">
    <w:abstractNumId w:val="4"/>
  </w:num>
  <w:num w:numId="3" w16cid:durableId="979458146">
    <w:abstractNumId w:val="1"/>
  </w:num>
  <w:num w:numId="4" w16cid:durableId="1967544008">
    <w:abstractNumId w:val="2"/>
  </w:num>
  <w:num w:numId="5" w16cid:durableId="1077438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B1"/>
    <w:rsid w:val="000B289A"/>
    <w:rsid w:val="00167B5C"/>
    <w:rsid w:val="001E5F99"/>
    <w:rsid w:val="002B20B1"/>
    <w:rsid w:val="00360636"/>
    <w:rsid w:val="00365AB8"/>
    <w:rsid w:val="003C3D7C"/>
    <w:rsid w:val="003C4F4F"/>
    <w:rsid w:val="00444000"/>
    <w:rsid w:val="00456DDA"/>
    <w:rsid w:val="00662B07"/>
    <w:rsid w:val="0083700A"/>
    <w:rsid w:val="00A514A9"/>
    <w:rsid w:val="00D666BF"/>
    <w:rsid w:val="00D82F60"/>
    <w:rsid w:val="00ED014B"/>
    <w:rsid w:val="00EE28A0"/>
    <w:rsid w:val="00F11728"/>
    <w:rsid w:val="00F22EA9"/>
    <w:rsid w:val="00FB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D81C18"/>
  <w15:chartTrackingRefBased/>
  <w15:docId w15:val="{8737D616-862B-43BC-9400-2EC3553C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6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B20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B2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66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qFormat/>
    <w:rsid w:val="002B20B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B20B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B20B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2B20B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B2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B20B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B20B1"/>
    <w:rPr>
      <w:color w:val="0000FF"/>
      <w:u w:val="single"/>
    </w:rPr>
  </w:style>
  <w:style w:type="paragraph" w:customStyle="1" w:styleId="comentario">
    <w:name w:val="comentario"/>
    <w:basedOn w:val="Normal"/>
    <w:rsid w:val="002B2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20B1"/>
    <w:rPr>
      <w:b/>
      <w:bCs/>
    </w:rPr>
  </w:style>
  <w:style w:type="paragraph" w:customStyle="1" w:styleId="lead">
    <w:name w:val="lead"/>
    <w:basedOn w:val="Normal"/>
    <w:rsid w:val="002B2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st-group-item">
    <w:name w:val="list-group-item"/>
    <w:basedOn w:val="Normal"/>
    <w:rsid w:val="002B2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66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66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456DD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22EA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ar-SA"/>
    </w:rPr>
  </w:style>
  <w:style w:type="character" w:customStyle="1" w:styleId="TtuloChar">
    <w:name w:val="Título Char"/>
    <w:basedOn w:val="Fontepargpadro"/>
    <w:link w:val="Ttulo"/>
    <w:uiPriority w:val="10"/>
    <w:rsid w:val="00F22EA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C3D7C"/>
    <w:pPr>
      <w:spacing w:after="0" w:line="240" w:lineRule="auto"/>
    </w:pPr>
    <w:rPr>
      <w:sz w:val="20"/>
      <w:szCs w:val="20"/>
      <w:lang w:bidi="ar-S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C3D7C"/>
    <w:rPr>
      <w:sz w:val="20"/>
      <w:szCs w:val="20"/>
      <w:lang w:bidi="ar-SA"/>
    </w:rPr>
  </w:style>
  <w:style w:type="character" w:styleId="Refdenotaderodap">
    <w:name w:val="footnote reference"/>
    <w:basedOn w:val="Fontepargpadro"/>
    <w:uiPriority w:val="99"/>
    <w:semiHidden/>
    <w:unhideWhenUsed/>
    <w:rsid w:val="003C3D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911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49538957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48216191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106462828">
              <w:marLeft w:val="0"/>
              <w:marRight w:val="0"/>
              <w:marTop w:val="0"/>
              <w:marBottom w:val="300"/>
              <w:divBdr>
                <w:top w:val="single" w:sz="6" w:space="0" w:color="555555"/>
                <w:left w:val="single" w:sz="6" w:space="0" w:color="555555"/>
                <w:bottom w:val="single" w:sz="6" w:space="0" w:color="555555"/>
                <w:right w:val="single" w:sz="6" w:space="0" w:color="555555"/>
              </w:divBdr>
              <w:divsChild>
                <w:div w:id="17826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85164">
              <w:marLeft w:val="0"/>
              <w:marRight w:val="0"/>
              <w:marTop w:val="0"/>
              <w:marBottom w:val="300"/>
              <w:divBdr>
                <w:top w:val="single" w:sz="6" w:space="0" w:color="555555"/>
                <w:left w:val="single" w:sz="6" w:space="0" w:color="555555"/>
                <w:bottom w:val="single" w:sz="6" w:space="0" w:color="555555"/>
                <w:right w:val="single" w:sz="6" w:space="0" w:color="555555"/>
              </w:divBdr>
              <w:divsChild>
                <w:div w:id="17941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91100">
              <w:marLeft w:val="0"/>
              <w:marRight w:val="0"/>
              <w:marTop w:val="0"/>
              <w:marBottom w:val="300"/>
              <w:divBdr>
                <w:top w:val="single" w:sz="6" w:space="0" w:color="555555"/>
                <w:left w:val="single" w:sz="6" w:space="0" w:color="555555"/>
                <w:bottom w:val="single" w:sz="6" w:space="0" w:color="555555"/>
                <w:right w:val="single" w:sz="6" w:space="0" w:color="555555"/>
              </w:divBdr>
              <w:divsChild>
                <w:div w:id="20504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376923">
              <w:marLeft w:val="0"/>
              <w:marRight w:val="0"/>
              <w:marTop w:val="0"/>
              <w:marBottom w:val="300"/>
              <w:divBdr>
                <w:top w:val="single" w:sz="6" w:space="0" w:color="555555"/>
                <w:left w:val="single" w:sz="6" w:space="0" w:color="555555"/>
                <w:bottom w:val="single" w:sz="6" w:space="0" w:color="555555"/>
                <w:right w:val="single" w:sz="6" w:space="0" w:color="555555"/>
              </w:divBdr>
              <w:divsChild>
                <w:div w:id="1823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547922">
              <w:marLeft w:val="0"/>
              <w:marRight w:val="0"/>
              <w:marTop w:val="0"/>
              <w:marBottom w:val="300"/>
              <w:divBdr>
                <w:top w:val="single" w:sz="6" w:space="0" w:color="555555"/>
                <w:left w:val="single" w:sz="6" w:space="0" w:color="555555"/>
                <w:bottom w:val="single" w:sz="6" w:space="0" w:color="555555"/>
                <w:right w:val="single" w:sz="6" w:space="0" w:color="555555"/>
              </w:divBdr>
              <w:divsChild>
                <w:div w:id="7492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52204">
              <w:marLeft w:val="0"/>
              <w:marRight w:val="0"/>
              <w:marTop w:val="0"/>
              <w:marBottom w:val="300"/>
              <w:divBdr>
                <w:top w:val="single" w:sz="6" w:space="0" w:color="555555"/>
                <w:left w:val="single" w:sz="6" w:space="0" w:color="555555"/>
                <w:bottom w:val="single" w:sz="6" w:space="0" w:color="555555"/>
                <w:right w:val="single" w:sz="6" w:space="0" w:color="555555"/>
              </w:divBdr>
              <w:divsChild>
                <w:div w:id="3216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675397">
              <w:marLeft w:val="0"/>
              <w:marRight w:val="0"/>
              <w:marTop w:val="0"/>
              <w:marBottom w:val="300"/>
              <w:divBdr>
                <w:top w:val="single" w:sz="6" w:space="0" w:color="555555"/>
                <w:left w:val="single" w:sz="6" w:space="0" w:color="555555"/>
                <w:bottom w:val="single" w:sz="6" w:space="0" w:color="555555"/>
                <w:right w:val="single" w:sz="6" w:space="0" w:color="555555"/>
              </w:divBdr>
              <w:divsChild>
                <w:div w:id="17357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735634">
              <w:marLeft w:val="0"/>
              <w:marRight w:val="0"/>
              <w:marTop w:val="0"/>
              <w:marBottom w:val="300"/>
              <w:divBdr>
                <w:top w:val="single" w:sz="6" w:space="0" w:color="555555"/>
                <w:left w:val="single" w:sz="6" w:space="0" w:color="555555"/>
                <w:bottom w:val="single" w:sz="6" w:space="0" w:color="555555"/>
                <w:right w:val="single" w:sz="6" w:space="0" w:color="555555"/>
              </w:divBdr>
              <w:divsChild>
                <w:div w:id="13879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90218">
                  <w:marLeft w:val="0"/>
                  <w:marRight w:val="0"/>
                  <w:marTop w:val="0"/>
                  <w:marBottom w:val="0"/>
                  <w:divBdr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divBdr>
                </w:div>
                <w:div w:id="1473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166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555555"/>
                        <w:left w:val="single" w:sz="6" w:space="0" w:color="555555"/>
                        <w:bottom w:val="single" w:sz="6" w:space="0" w:color="000000"/>
                        <w:right w:val="single" w:sz="6" w:space="0" w:color="555555"/>
                      </w:divBdr>
                      <w:divsChild>
                        <w:div w:id="173280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93834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555555"/>
                        <w:left w:val="single" w:sz="6" w:space="0" w:color="555555"/>
                        <w:bottom w:val="single" w:sz="6" w:space="0" w:color="000000"/>
                        <w:right w:val="single" w:sz="6" w:space="0" w:color="555555"/>
                      </w:divBdr>
                      <w:divsChild>
                        <w:div w:id="18870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4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7113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555555"/>
                        <w:left w:val="single" w:sz="6" w:space="0" w:color="555555"/>
                        <w:bottom w:val="single" w:sz="6" w:space="0" w:color="000000"/>
                        <w:right w:val="single" w:sz="6" w:space="0" w:color="555555"/>
                      </w:divBdr>
                      <w:divsChild>
                        <w:div w:id="128222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8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5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5129">
              <w:marLeft w:val="0"/>
              <w:marRight w:val="0"/>
              <w:marTop w:val="0"/>
              <w:marBottom w:val="300"/>
              <w:divBdr>
                <w:top w:val="single" w:sz="6" w:space="0" w:color="555555"/>
                <w:left w:val="single" w:sz="6" w:space="0" w:color="555555"/>
                <w:bottom w:val="single" w:sz="6" w:space="0" w:color="555555"/>
                <w:right w:val="single" w:sz="6" w:space="0" w:color="555555"/>
              </w:divBdr>
              <w:divsChild>
                <w:div w:id="15835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149974">
              <w:marLeft w:val="0"/>
              <w:marRight w:val="0"/>
              <w:marTop w:val="0"/>
              <w:marBottom w:val="300"/>
              <w:divBdr>
                <w:top w:val="single" w:sz="6" w:space="0" w:color="555555"/>
                <w:left w:val="single" w:sz="6" w:space="0" w:color="555555"/>
                <w:bottom w:val="single" w:sz="6" w:space="0" w:color="555555"/>
                <w:right w:val="single" w:sz="6" w:space="0" w:color="555555"/>
              </w:divBdr>
              <w:divsChild>
                <w:div w:id="16736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39763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81791114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76299121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34324351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34093556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090659311">
              <w:marLeft w:val="0"/>
              <w:marRight w:val="0"/>
              <w:marTop w:val="0"/>
              <w:marBottom w:val="300"/>
              <w:divBdr>
                <w:top w:val="single" w:sz="6" w:space="0" w:color="555555"/>
                <w:left w:val="single" w:sz="6" w:space="0" w:color="555555"/>
                <w:bottom w:val="single" w:sz="6" w:space="0" w:color="555555"/>
                <w:right w:val="single" w:sz="6" w:space="0" w:color="555555"/>
              </w:divBdr>
              <w:divsChild>
                <w:div w:id="4326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885059">
              <w:marLeft w:val="0"/>
              <w:marRight w:val="0"/>
              <w:marTop w:val="0"/>
              <w:marBottom w:val="300"/>
              <w:divBdr>
                <w:top w:val="single" w:sz="6" w:space="0" w:color="555555"/>
                <w:left w:val="single" w:sz="6" w:space="0" w:color="555555"/>
                <w:bottom w:val="single" w:sz="6" w:space="0" w:color="555555"/>
                <w:right w:val="single" w:sz="6" w:space="0" w:color="555555"/>
              </w:divBdr>
              <w:divsChild>
                <w:div w:id="7578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502370">
              <w:marLeft w:val="0"/>
              <w:marRight w:val="0"/>
              <w:marTop w:val="0"/>
              <w:marBottom w:val="300"/>
              <w:divBdr>
                <w:top w:val="single" w:sz="6" w:space="0" w:color="555555"/>
                <w:left w:val="single" w:sz="6" w:space="0" w:color="555555"/>
                <w:bottom w:val="single" w:sz="6" w:space="0" w:color="555555"/>
                <w:right w:val="single" w:sz="6" w:space="0" w:color="555555"/>
              </w:divBdr>
              <w:divsChild>
                <w:div w:id="170212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51514">
              <w:marLeft w:val="0"/>
              <w:marRight w:val="0"/>
              <w:marTop w:val="0"/>
              <w:marBottom w:val="300"/>
              <w:divBdr>
                <w:top w:val="single" w:sz="6" w:space="0" w:color="555555"/>
                <w:left w:val="single" w:sz="6" w:space="0" w:color="555555"/>
                <w:bottom w:val="single" w:sz="6" w:space="0" w:color="555555"/>
                <w:right w:val="single" w:sz="6" w:space="0" w:color="555555"/>
              </w:divBdr>
              <w:divsChild>
                <w:div w:id="16489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7852">
              <w:marLeft w:val="0"/>
              <w:marRight w:val="0"/>
              <w:marTop w:val="0"/>
              <w:marBottom w:val="300"/>
              <w:divBdr>
                <w:top w:val="single" w:sz="6" w:space="0" w:color="555555"/>
                <w:left w:val="single" w:sz="6" w:space="0" w:color="555555"/>
                <w:bottom w:val="single" w:sz="6" w:space="0" w:color="555555"/>
                <w:right w:val="single" w:sz="6" w:space="0" w:color="555555"/>
              </w:divBdr>
              <w:divsChild>
                <w:div w:id="10587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4233">
                  <w:marLeft w:val="0"/>
                  <w:marRight w:val="0"/>
                  <w:marTop w:val="0"/>
                  <w:marBottom w:val="0"/>
                  <w:divBdr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divBdr>
                </w:div>
                <w:div w:id="10785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687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555555"/>
                        <w:left w:val="single" w:sz="6" w:space="0" w:color="555555"/>
                        <w:bottom w:val="single" w:sz="6" w:space="0" w:color="000000"/>
                        <w:right w:val="single" w:sz="6" w:space="0" w:color="555555"/>
                      </w:divBdr>
                      <w:divsChild>
                        <w:div w:id="154837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40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45703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555555"/>
                        <w:left w:val="single" w:sz="6" w:space="0" w:color="555555"/>
                        <w:bottom w:val="single" w:sz="6" w:space="0" w:color="000000"/>
                        <w:right w:val="single" w:sz="6" w:space="0" w:color="555555"/>
                      </w:divBdr>
                      <w:divsChild>
                        <w:div w:id="57778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79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9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77177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555555"/>
                        <w:left w:val="single" w:sz="6" w:space="0" w:color="555555"/>
                        <w:bottom w:val="single" w:sz="6" w:space="0" w:color="000000"/>
                        <w:right w:val="single" w:sz="6" w:space="0" w:color="555555"/>
                      </w:divBdr>
                      <w:divsChild>
                        <w:div w:id="140845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03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67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ndes.gov.br/wps/portal/site/home/transparencia/centraldedownload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1861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3</cp:revision>
  <dcterms:created xsi:type="dcterms:W3CDTF">2023-03-21T13:22:00Z</dcterms:created>
  <dcterms:modified xsi:type="dcterms:W3CDTF">2023-05-22T10:53:00Z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2023-03-21T19:07:07Z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ad64dce4-9e82-47a9-8a88-1b7eb6365f15</vt:lpwstr>
  </property>
  <property fmtid="{D5CDD505-2E9C-101B-9397-08002B2CF9AE}" pid="8" name="MSIP_Label_6459b2e0-2ec4-47e6-afc1-6e3f8b684f6a_ContentBits">
    <vt:lpwstr>0</vt:lpwstr>
  </property>
</Properties>
</file>