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F7CFDE3"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-Product 3 - 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42ED7530" w:rsidR="00F22EA9" w:rsidRDefault="00F22EA9" w:rsidP="00F22EA9">
      <w:pPr>
        <w:pStyle w:val="Ttulo"/>
        <w:jc w:val="center"/>
        <w:rPr>
          <w:sz w:val="24"/>
          <w:szCs w:val="24"/>
        </w:rPr>
      </w:pPr>
      <w:r>
        <w:rPr>
          <w:sz w:val="24"/>
          <w:szCs w:val="24"/>
        </w:rPr>
        <w:t xml:space="preserve">Avaliação do Risco de Crédito das Operações do BNDES </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0D5F94AF"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 xml:space="preserve">para as avaliações de risco de crédito,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804562">
        <w:rPr>
          <w:sz w:val="24"/>
          <w:szCs w:val="24"/>
        </w:rPr>
        <w:t>,</w:t>
      </w:r>
      <w:r w:rsidRPr="00A925CD">
        <w:rPr>
          <w:sz w:val="24"/>
          <w:szCs w:val="24"/>
        </w:rPr>
        <w:t xml:space="preserve"> </w:t>
      </w:r>
      <w:r w:rsidR="00804562">
        <w:rPr>
          <w:sz w:val="24"/>
          <w:szCs w:val="24"/>
        </w:rPr>
        <w:t xml:space="preserve">aplicando </w:t>
      </w:r>
      <w:r w:rsidRPr="00A925CD">
        <w:rPr>
          <w:sz w:val="24"/>
          <w:szCs w:val="24"/>
        </w:rPr>
        <w:t>métodos de aprendizado de máquina</w:t>
      </w:r>
      <w:r w:rsidR="00804562">
        <w:rPr>
          <w:sz w:val="24"/>
          <w:szCs w:val="24"/>
        </w:rPr>
        <w:t xml:space="preserve"> para mensuração da probabilidade de inadimplência</w:t>
      </w:r>
      <w:r w:rsidRPr="00A925CD">
        <w:rPr>
          <w:sz w:val="24"/>
          <w:szCs w:val="24"/>
        </w:rPr>
        <w:t>. Utiliza</w:t>
      </w:r>
      <w:r w:rsidR="00804562">
        <w:rPr>
          <w:sz w:val="24"/>
          <w:szCs w:val="24"/>
        </w:rPr>
        <w:t xml:space="preserve">mos a marcação de status das empresas presente nos dados </w:t>
      </w:r>
      <w:r w:rsidRPr="00A925CD">
        <w:rPr>
          <w:sz w:val="24"/>
          <w:szCs w:val="24"/>
        </w:rPr>
        <w:t>da Receita Federal</w:t>
      </w:r>
      <w:r w:rsidR="00804562">
        <w:rPr>
          <w:sz w:val="24"/>
          <w:szCs w:val="24"/>
        </w:rPr>
        <w:t xml:space="preserve"> </w:t>
      </w:r>
      <w:r w:rsidR="00B3707D">
        <w:rPr>
          <w:sz w:val="24"/>
          <w:szCs w:val="24"/>
        </w:rPr>
        <w:t xml:space="preserve">para treinar modelos de aprendizado de máquina supervisionados, </w:t>
      </w:r>
      <w:r w:rsidR="00804562">
        <w:rPr>
          <w:sz w:val="24"/>
          <w:szCs w:val="24"/>
        </w:rPr>
        <w:t xml:space="preserve">e </w:t>
      </w:r>
      <w:r w:rsidR="00B3707D">
        <w:rPr>
          <w:sz w:val="24"/>
          <w:szCs w:val="24"/>
        </w:rPr>
        <w:t xml:space="preserve">assim </w:t>
      </w:r>
      <w:r w:rsidRPr="00A925CD">
        <w:rPr>
          <w:sz w:val="24"/>
          <w:szCs w:val="24"/>
        </w:rPr>
        <w:t xml:space="preserve">propomos uma metodologia de mensuração </w:t>
      </w:r>
      <w:r w:rsidR="00B3707D">
        <w:rPr>
          <w:sz w:val="24"/>
          <w:szCs w:val="24"/>
        </w:rPr>
        <w:t xml:space="preserve">dos níveis de risco de crédito nas </w:t>
      </w:r>
      <w:r w:rsidRPr="00A925CD">
        <w:rPr>
          <w:sz w:val="24"/>
          <w:szCs w:val="24"/>
        </w:rPr>
        <w:t xml:space="preserve">operações de financiamento do </w:t>
      </w:r>
      <w:bookmarkStart w:id="0" w:name="_Hlk135772208"/>
      <w:r w:rsidRPr="00A925CD">
        <w:rPr>
          <w:sz w:val="24"/>
          <w:szCs w:val="24"/>
        </w:rPr>
        <w:t>Banco Nacional de Desenvolvimento Econômico e Social (BNDES)</w:t>
      </w:r>
      <w:bookmarkEnd w:id="0"/>
      <w:r w:rsidRPr="00A925CD">
        <w:rPr>
          <w:sz w:val="24"/>
          <w:szCs w:val="24"/>
        </w:rPr>
        <w:t>.</w:t>
      </w:r>
      <w:r w:rsidR="00804562">
        <w:rPr>
          <w:sz w:val="24"/>
          <w:szCs w:val="24"/>
        </w:rPr>
        <w:t xml:space="preserve"> </w:t>
      </w:r>
      <w:r w:rsidR="00B3707D">
        <w:rPr>
          <w:sz w:val="24"/>
          <w:szCs w:val="24"/>
        </w:rPr>
        <w:t xml:space="preserve">Finalmente, mostramos como 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 xml:space="preserve">interpretável (eXplainable AI) </w:t>
      </w:r>
      <w:r w:rsidR="00B3707D">
        <w:rPr>
          <w:sz w:val="24"/>
          <w:szCs w:val="24"/>
        </w:rPr>
        <w:t xml:space="preserve">pode </w:t>
      </w:r>
      <w:r w:rsidR="00B3707D" w:rsidRPr="00B3707D">
        <w:rPr>
          <w:sz w:val="24"/>
          <w:szCs w:val="24"/>
        </w:rPr>
        <w:t xml:space="preserve">permitir a interpretabilidade das técnicas de aprendizado de máquina, aumentando o conforto e a confiança </w:t>
      </w:r>
      <w:r w:rsidR="00B3707D">
        <w:rPr>
          <w:sz w:val="24"/>
          <w:szCs w:val="24"/>
        </w:rPr>
        <w:t>dos usuários, e afastando a denominação  “caixa-preta” desses modelos</w:t>
      </w:r>
      <w:r w:rsidR="00B3707D" w:rsidRPr="00B3707D">
        <w:rPr>
          <w:sz w:val="24"/>
          <w:szCs w:val="24"/>
        </w:rPr>
        <w:t>.</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0048F065" w:rsidR="003C3D7C" w:rsidRPr="00A925CD" w:rsidRDefault="008278A9" w:rsidP="008278A9">
      <w:pPr>
        <w:ind w:firstLine="708"/>
        <w:jc w:val="both"/>
        <w:rPr>
          <w:sz w:val="24"/>
          <w:szCs w:val="24"/>
        </w:rPr>
      </w:pPr>
      <w:r w:rsidRPr="00A925CD">
        <w:rPr>
          <w:sz w:val="24"/>
          <w:szCs w:val="24"/>
        </w:rPr>
        <w:t>Imprecisões nas estimativas de risco de crédito das instituições financeiras, eventualmente contribuíram para algumas crises sistêmicas, tal como a crise do subprime de 2008 (Altman, 1998.). As experiencias de efeitos contágio advindos das crises financeiras recentes, levaram as instituições financeiras a dedicar grandes quantidades de recursos para prever o risco de crédito com maior precisão, modificando os paradigmas de mercado na mensuração do risco de crédito. A inovação dos métodos de classificação de risco crédito, e a busca por novas fontes de dados foram algumas das respostas às crises econômicas, afastando as instituições financeiras das análises subjetivas, em direção a metodologias mais objetivas e sofisticadas, fazendo uso do armazenamento de dados em nuvem e explorando fontes de informações.</w:t>
      </w:r>
    </w:p>
    <w:p w14:paraId="4070BDC2" w14:textId="5A933FF2" w:rsidR="00456DDA" w:rsidRPr="00A925CD" w:rsidRDefault="00456DDA" w:rsidP="008278A9">
      <w:pPr>
        <w:ind w:firstLine="360"/>
        <w:jc w:val="both"/>
        <w:rPr>
          <w:sz w:val="24"/>
          <w:szCs w:val="24"/>
        </w:rPr>
      </w:pPr>
      <w:r w:rsidRPr="00A925CD">
        <w:rPr>
          <w:sz w:val="24"/>
          <w:szCs w:val="24"/>
        </w:rPr>
        <w:t>O crédito é necessário para financiar diversos iniciativas e negócios. Recentemente, credores e empresas de tecnologia financeira (“fintech”) estão procurando usar fontes alternativas de dados e formas inovativas de análise de risco de crédito.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lastRenderedPageBreak/>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que podem ser combinados com escores de bureaus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r w:rsidR="00F11728" w:rsidRPr="00A925CD">
        <w:rPr>
          <w:i/>
          <w:iCs/>
          <w:sz w:val="24"/>
          <w:szCs w:val="24"/>
        </w:rPr>
        <w:t>bureaus</w:t>
      </w:r>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r w:rsidR="00F11728" w:rsidRPr="00A925CD">
        <w:rPr>
          <w:i/>
          <w:iCs/>
          <w:sz w:val="24"/>
          <w:szCs w:val="24"/>
        </w:rPr>
        <w:t>bureaus</w:t>
      </w:r>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w:t>
      </w:r>
      <w:r w:rsidRPr="00A925CD">
        <w:rPr>
          <w:sz w:val="24"/>
          <w:szCs w:val="24"/>
        </w:rPr>
        <w:lastRenderedPageBreak/>
        <w:t xml:space="preserve">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xml:space="preserve">. (1998) identifica quatro abordagens metodológicas no desenvolvimento de escores contábeis de risco de crédito: (i) o modelo de probabilidade linear, (ii) o modelo </w:t>
      </w:r>
      <w:r w:rsidRPr="00A925CD">
        <w:rPr>
          <w:i/>
          <w:iCs/>
          <w:sz w:val="24"/>
          <w:szCs w:val="24"/>
        </w:rPr>
        <w:t>logit</w:t>
      </w:r>
      <w:r w:rsidRPr="00A925CD">
        <w:rPr>
          <w:sz w:val="24"/>
          <w:szCs w:val="24"/>
        </w:rPr>
        <w:t xml:space="preserve">, (iii) o modelo </w:t>
      </w:r>
      <w:r w:rsidRPr="00A925CD">
        <w:rPr>
          <w:i/>
          <w:iCs/>
          <w:sz w:val="24"/>
          <w:szCs w:val="24"/>
        </w:rPr>
        <w:t>probit</w:t>
      </w:r>
      <w:r w:rsidRPr="00A925CD">
        <w:rPr>
          <w:sz w:val="24"/>
          <w:szCs w:val="24"/>
        </w:rPr>
        <w:t xml:space="preserve">, e (iv) o modelo de análise discriminante. Entre essas abordagens, destacando-se a análise discriminante e o modelo </w:t>
      </w:r>
      <w:r w:rsidRPr="00A925CD">
        <w:rPr>
          <w:i/>
          <w:iCs/>
          <w:sz w:val="24"/>
          <w:szCs w:val="24"/>
        </w:rPr>
        <w:t>logit</w:t>
      </w:r>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Modelos risco de ruína são encontrados em Wilcox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 xml:space="preserve">Uma classe de modelos de risco com forte sustentação teórica, utilizam estruturas a termo de spreads de rendimentos de títulos corporativos para obter probabilidades implícitas de inadimplência (Jonkhart, 1979; Iben e Litterman,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 xml:space="preserve">Os chamados modelos de inadimplência e taxa mortalidade (Altman; 1988, 1989) ou modelos de envelhecimento (Asquith </w:t>
      </w:r>
      <w:r w:rsidRPr="00A925CD">
        <w:rPr>
          <w:i/>
          <w:iCs/>
          <w:sz w:val="24"/>
          <w:szCs w:val="24"/>
        </w:rPr>
        <w:t>et al.</w:t>
      </w:r>
      <w:r w:rsidRPr="00A925CD">
        <w:rPr>
          <w:sz w:val="24"/>
          <w:szCs w:val="24"/>
        </w:rPr>
        <w:t>, 1989), onde as probabilidades de inadimplência são derivadas a partir de dados anteriores de inadimplência de títulos de crédito e o tempo até o seu vencimento. As agências de classificação Moody's (1990) e Standard and Poor's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Fant (1993) e Turban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r w:rsidRPr="00A925CD">
        <w:rPr>
          <w:i/>
          <w:iCs/>
          <w:sz w:val="24"/>
          <w:szCs w:val="24"/>
        </w:rPr>
        <w:t>features</w:t>
      </w:r>
      <w:r w:rsidRPr="00A925CD">
        <w:rPr>
          <w:sz w:val="24"/>
          <w:szCs w:val="24"/>
        </w:rPr>
        <w:t xml:space="preserve">, estes são também referidos como modelos </w:t>
      </w:r>
      <w:r w:rsidRPr="00A925CD">
        <w:rPr>
          <w:i/>
          <w:iCs/>
          <w:sz w:val="24"/>
          <w:szCs w:val="24"/>
        </w:rPr>
        <w:t>black box</w:t>
      </w:r>
      <w:r w:rsidRPr="00A925CD">
        <w:rPr>
          <w:sz w:val="24"/>
          <w:szCs w:val="24"/>
        </w:rPr>
        <w:t xml:space="preserve">. Entretanto, recentemente surgiram diversas ferramentas que possibilitam interpretar esses algoritmos, tais como, </w:t>
      </w:r>
      <w:r w:rsidRPr="00A925CD">
        <w:rPr>
          <w:i/>
          <w:iCs/>
          <w:sz w:val="24"/>
          <w:szCs w:val="24"/>
        </w:rPr>
        <w:t>Partial Dependence Plot</w:t>
      </w:r>
      <w:r w:rsidRPr="00A925CD">
        <w:rPr>
          <w:sz w:val="24"/>
          <w:szCs w:val="24"/>
        </w:rPr>
        <w:t xml:space="preserve"> (Molnar, 2023), valor de SHAP (Lundberg </w:t>
      </w:r>
      <w:r w:rsidRPr="00A925CD">
        <w:rPr>
          <w:sz w:val="24"/>
          <w:szCs w:val="24"/>
        </w:rPr>
        <w:lastRenderedPageBreak/>
        <w:t xml:space="preserve">&amp; Lee,2017), gráfico de Efeitos Acumulados Locais (Apley &amp; Zhu, 2020), </w:t>
      </w:r>
      <w:r w:rsidRPr="00A925CD">
        <w:rPr>
          <w:i/>
          <w:iCs/>
          <w:sz w:val="24"/>
          <w:szCs w:val="24"/>
        </w:rPr>
        <w:t>Feature Importance</w:t>
      </w:r>
      <w:r w:rsidRPr="00A925CD">
        <w:rPr>
          <w:sz w:val="24"/>
          <w:szCs w:val="24"/>
        </w:rPr>
        <w:t xml:space="preserve"> (Janzing,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k-Nearest Neighbor</w:t>
      </w:r>
      <w:r w:rsidRPr="00A925CD">
        <w:rPr>
          <w:sz w:val="24"/>
          <w:szCs w:val="24"/>
        </w:rPr>
        <w:t xml:space="preserve">, </w:t>
      </w:r>
      <w:r w:rsidRPr="00A925CD">
        <w:rPr>
          <w:i/>
          <w:iCs/>
          <w:sz w:val="24"/>
          <w:szCs w:val="24"/>
        </w:rPr>
        <w:t>Random Forest</w:t>
      </w:r>
      <w:r w:rsidRPr="00A925CD">
        <w:rPr>
          <w:sz w:val="24"/>
          <w:szCs w:val="24"/>
        </w:rPr>
        <w:t xml:space="preserve"> e </w:t>
      </w:r>
      <w:r w:rsidRPr="00A925CD">
        <w:rPr>
          <w:i/>
          <w:iCs/>
          <w:sz w:val="24"/>
          <w:szCs w:val="24"/>
        </w:rPr>
        <w:t>Support Vector Machines</w:t>
      </w:r>
      <w:r w:rsidRPr="00A925CD">
        <w:rPr>
          <w:sz w:val="24"/>
          <w:szCs w:val="24"/>
        </w:rPr>
        <w:t>; e redes neurais de aprendizado profundo (</w:t>
      </w:r>
      <w:r w:rsidRPr="00A925CD">
        <w:rPr>
          <w:i/>
          <w:iCs/>
          <w:sz w:val="24"/>
          <w:szCs w:val="24"/>
        </w:rPr>
        <w:t>Deep Learning</w:t>
      </w:r>
      <w:r w:rsidRPr="00A925CD">
        <w:rPr>
          <w:sz w:val="24"/>
          <w:szCs w:val="24"/>
        </w:rPr>
        <w:t>). Revisão de 76 artigos mostra que as abordagens baseadas em aprendizado profundo (</w:t>
      </w:r>
      <w:r w:rsidRPr="00A925CD">
        <w:rPr>
          <w:i/>
          <w:iCs/>
          <w:sz w:val="24"/>
          <w:szCs w:val="24"/>
        </w:rPr>
        <w:t>Deep Learning</w:t>
      </w:r>
      <w:r w:rsidRPr="00A925CD">
        <w:rPr>
          <w:sz w:val="24"/>
          <w:szCs w:val="24"/>
        </w:rPr>
        <w:t xml:space="preserve">) superam as técnicas mais convencionais de aprendizado de máquina (SVM, </w:t>
      </w:r>
      <w:r w:rsidRPr="00A925CD">
        <w:rPr>
          <w:i/>
          <w:iCs/>
          <w:sz w:val="24"/>
          <w:szCs w:val="24"/>
        </w:rPr>
        <w:t>k-Nearest Neighbor</w:t>
      </w:r>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Giudici </w:t>
      </w:r>
      <w:r w:rsidRPr="00A925CD">
        <w:rPr>
          <w:i/>
          <w:iCs/>
          <w:sz w:val="24"/>
          <w:szCs w:val="24"/>
        </w:rPr>
        <w:t xml:space="preserve">et al. </w:t>
      </w:r>
      <w:r w:rsidRPr="00A925CD">
        <w:rPr>
          <w:sz w:val="24"/>
          <w:szCs w:val="24"/>
        </w:rPr>
        <w:t xml:space="preserve">(2020) realizam estimação de risco de crédito em plataformas de empréstimo </w:t>
      </w:r>
      <w:r w:rsidRPr="00A925CD">
        <w:rPr>
          <w:i/>
          <w:iCs/>
          <w:sz w:val="24"/>
          <w:szCs w:val="24"/>
        </w:rPr>
        <w:t>Peer-to-Peer</w:t>
      </w:r>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r w:rsidRPr="00A925CD">
        <w:rPr>
          <w:i/>
          <w:iCs/>
          <w:sz w:val="24"/>
          <w:szCs w:val="24"/>
        </w:rPr>
        <w:t>accountability</w:t>
      </w:r>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lastRenderedPageBreak/>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(Dirick</w:t>
      </w:r>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r w:rsidRPr="00A925CD">
        <w:rPr>
          <w:sz w:val="24"/>
          <w:szCs w:val="24"/>
        </w:rPr>
        <w:t xml:space="preserve">Dirick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Pr="00BD6A01" w:rsidRDefault="00565989"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lastRenderedPageBreak/>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r w:rsidRPr="009C0A66">
        <w:rPr>
          <w:i/>
          <w:iCs/>
          <w:color w:val="auto"/>
          <w:sz w:val="22"/>
          <w:szCs w:val="22"/>
        </w:rPr>
        <w:t>Features</w:t>
      </w:r>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Default="00154E7B" w:rsidP="00AE3A29">
            <w:pPr>
              <w:spacing w:after="0" w:line="240" w:lineRule="auto"/>
              <w:rPr>
                <w:rFonts w:asciiTheme="majorHAnsi" w:eastAsia="Times New Roman" w:hAnsiTheme="majorHAnsi" w:cs="Calibr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Default="00154E7B" w:rsidP="00AE3A29">
            <w:pPr>
              <w:spacing w:after="0" w:line="240" w:lineRule="auto"/>
              <w:jc w:val="center"/>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 xml:space="preserve">Variáveis Explicativas </w:t>
            </w:r>
          </w:p>
          <w:p w14:paraId="6C7A8499" w14:textId="77777777" w:rsidR="00154E7B" w:rsidRPr="008C791B" w:rsidRDefault="00154E7B" w:rsidP="00AE3A29">
            <w:pPr>
              <w:spacing w:after="0" w:line="240" w:lineRule="auto"/>
              <w:jc w:val="center"/>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Default="00154E7B" w:rsidP="00AE3A29">
            <w:pPr>
              <w:spacing w:after="0" w:line="240" w:lineRule="auto"/>
              <w:jc w:val="center"/>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 xml:space="preserve">Variáveis Explicativas </w:t>
            </w:r>
          </w:p>
          <w:p w14:paraId="653A2E26" w14:textId="77777777" w:rsidR="00154E7B" w:rsidRPr="008C791B" w:rsidRDefault="00154E7B" w:rsidP="00AE3A29">
            <w:pPr>
              <w:spacing w:after="0" w:line="240" w:lineRule="auto"/>
              <w:jc w:val="center"/>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Default="00565989" w:rsidP="00AE3A29">
            <w:pPr>
              <w:spacing w:after="0" w:line="240" w:lineRule="auto"/>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Situações Cadastrais (</w:t>
            </w:r>
            <w:r w:rsidRPr="00AB5689">
              <w:rPr>
                <w:rFonts w:asciiTheme="majorHAnsi" w:eastAsia="Times New Roman" w:hAnsiTheme="majorHAnsi" w:cs="Calibri"/>
                <w:color w:val="000000"/>
                <w:sz w:val="20"/>
                <w:szCs w:val="20"/>
                <w:lang w:eastAsia="pt-BR"/>
              </w:rPr>
              <w:t>SIT_CAD</w:t>
            </w:r>
            <w:r>
              <w:rPr>
                <w:rFonts w:asciiTheme="majorHAnsi" w:eastAsia="Times New Roman" w:hAnsiTheme="majorHAnsi" w:cs="Calibri"/>
                <w:color w:val="000000"/>
                <w:sz w:val="20"/>
                <w:szCs w:val="20"/>
                <w:lang w:eastAsia="pt-BR"/>
              </w:rPr>
              <w:t xml:space="preserve">): </w:t>
            </w:r>
          </w:p>
          <w:p w14:paraId="37038EB3" w14:textId="77777777" w:rsidR="00565989" w:rsidRDefault="00565989" w:rsidP="00AE3A29">
            <w:pPr>
              <w:spacing w:after="0" w:line="240" w:lineRule="auto"/>
              <w:rPr>
                <w:rFonts w:asciiTheme="majorHAnsi" w:eastAsia="Times New Roman" w:hAnsiTheme="majorHAnsi" w:cs="Calibri"/>
                <w:color w:val="000000"/>
                <w:sz w:val="20"/>
                <w:szCs w:val="20"/>
                <w:lang w:eastAsia="pt-BR"/>
              </w:rPr>
            </w:pPr>
          </w:p>
          <w:p w14:paraId="35D9D1FC" w14:textId="56DEA8EE" w:rsidR="00565989" w:rsidRDefault="00565989" w:rsidP="00AE3A29">
            <w:pPr>
              <w:spacing w:after="0" w:line="240" w:lineRule="auto"/>
              <w:rPr>
                <w:rFonts w:asciiTheme="majorHAnsi" w:eastAsia="Times New Roman" w:hAnsiTheme="majorHAnsi" w:cs="Calibri"/>
                <w:color w:val="000000"/>
                <w:sz w:val="20"/>
                <w:szCs w:val="20"/>
                <w:lang w:eastAsia="pt-BR"/>
              </w:rPr>
            </w:pPr>
            <w:r w:rsidRPr="00AB5689">
              <w:rPr>
                <w:rFonts w:asciiTheme="majorHAnsi" w:eastAsia="Times New Roman" w:hAnsiTheme="majorHAnsi" w:cs="Calibri"/>
                <w:color w:val="000000"/>
                <w:sz w:val="20"/>
                <w:szCs w:val="20"/>
                <w:lang w:eastAsia="pt-BR"/>
              </w:rPr>
              <w:t>3 – SUSPENSA</w:t>
            </w:r>
          </w:p>
          <w:p w14:paraId="00598DB0" w14:textId="77777777" w:rsidR="00565989" w:rsidRDefault="00565989" w:rsidP="00AE3A29">
            <w:pPr>
              <w:spacing w:after="0" w:line="240" w:lineRule="auto"/>
              <w:rPr>
                <w:rFonts w:asciiTheme="majorHAnsi" w:eastAsia="Times New Roman" w:hAnsiTheme="majorHAnsi" w:cs="Calibri"/>
                <w:color w:val="000000"/>
                <w:sz w:val="20"/>
                <w:szCs w:val="20"/>
                <w:lang w:eastAsia="pt-BR"/>
              </w:rPr>
            </w:pPr>
            <w:r w:rsidRPr="00AB5689">
              <w:rPr>
                <w:rFonts w:asciiTheme="majorHAnsi" w:eastAsia="Times New Roman" w:hAnsiTheme="majorHAnsi" w:cs="Calibri"/>
                <w:color w:val="000000"/>
                <w:sz w:val="20"/>
                <w:szCs w:val="20"/>
                <w:lang w:eastAsia="pt-BR"/>
              </w:rPr>
              <w:t>4 – INAPTA</w:t>
            </w:r>
          </w:p>
          <w:p w14:paraId="069D43F3" w14:textId="77777777" w:rsidR="00565989" w:rsidRDefault="00565989" w:rsidP="00AE3A29">
            <w:pPr>
              <w:spacing w:after="0" w:line="240" w:lineRule="auto"/>
              <w:rPr>
                <w:rFonts w:asciiTheme="majorHAnsi" w:eastAsia="Times New Roman" w:hAnsiTheme="majorHAnsi" w:cs="Calibri"/>
                <w:color w:val="000000"/>
                <w:sz w:val="20"/>
                <w:szCs w:val="20"/>
                <w:lang w:eastAsia="pt-BR"/>
              </w:rPr>
            </w:pPr>
            <w:r w:rsidRPr="00AB5689">
              <w:rPr>
                <w:rFonts w:asciiTheme="majorHAnsi" w:eastAsia="Times New Roman" w:hAnsiTheme="majorHAnsi" w:cs="Calibri"/>
                <w:color w:val="000000"/>
                <w:sz w:val="20"/>
                <w:szCs w:val="20"/>
                <w:lang w:eastAsia="pt-BR"/>
              </w:rPr>
              <w:t>8 – BAIXADA</w:t>
            </w:r>
          </w:p>
          <w:p w14:paraId="35E2BFA3" w14:textId="77777777" w:rsidR="00565989" w:rsidRDefault="00565989" w:rsidP="00AE3A29">
            <w:pPr>
              <w:spacing w:after="0" w:line="240" w:lineRule="auto"/>
              <w:rPr>
                <w:rFonts w:asciiTheme="majorHAnsi" w:eastAsia="Times New Roman" w:hAnsiTheme="majorHAnsi" w:cs="Calibri"/>
                <w:color w:val="000000"/>
                <w:sz w:val="20"/>
                <w:szCs w:val="20"/>
                <w:lang w:eastAsia="pt-BR"/>
              </w:rPr>
            </w:pPr>
          </w:p>
          <w:p w14:paraId="23D22E32" w14:textId="5A447ECB" w:rsidR="00565989" w:rsidRPr="008C791B" w:rsidRDefault="00565989" w:rsidP="00AE3A29">
            <w:pPr>
              <w:spacing w:after="0" w:line="240" w:lineRule="auto"/>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Porte Receita</w:t>
            </w:r>
          </w:p>
          <w:p w14:paraId="1446707F"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Idade da Firma</w:t>
            </w:r>
          </w:p>
          <w:p w14:paraId="6D566CBC"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 xml:space="preserve">Idade da Situação Cadastral </w:t>
            </w:r>
          </w:p>
          <w:p w14:paraId="279655C5"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 xml:space="preserve">Natureza Jurídica </w:t>
            </w:r>
          </w:p>
          <w:p w14:paraId="4D652894"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Número de Sócios</w:t>
            </w:r>
          </w:p>
          <w:p w14:paraId="3CD29094"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Idade média dos sócios</w:t>
            </w:r>
          </w:p>
          <w:p w14:paraId="75015D4C" w14:textId="746A45D5"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Estrangeiro Sócio (Dummy)</w:t>
            </w:r>
          </w:p>
          <w:p w14:paraId="50651D27"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 xml:space="preserve">Taxa de Juros </w:t>
            </w:r>
          </w:p>
          <w:p w14:paraId="1F1398C8"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Valor Contratado</w:t>
            </w:r>
          </w:p>
          <w:p w14:paraId="4DD8F511"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Valor Desembolsado</w:t>
            </w:r>
          </w:p>
          <w:p w14:paraId="173E60CC"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Prazo de Amortização</w:t>
            </w:r>
          </w:p>
          <w:p w14:paraId="4F1440DC"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Prazo de Carência</w:t>
            </w:r>
          </w:p>
          <w:p w14:paraId="57090E17"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 xml:space="preserve">Modalidade de Apoio </w:t>
            </w:r>
          </w:p>
          <w:p w14:paraId="116E5DDA"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Produto</w:t>
            </w:r>
          </w:p>
          <w:p w14:paraId="52133156"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Inovação (Dummy)</w:t>
            </w:r>
          </w:p>
          <w:p w14:paraId="45589279" w14:textId="1099B966" w:rsidR="00565989"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sidRPr="009C0A66">
              <w:rPr>
                <w:rFonts w:asciiTheme="majorHAnsi" w:eastAsia="Times New Roman" w:hAnsiTheme="majorHAnsi" w:cs="Calibri"/>
                <w:color w:val="000000"/>
                <w:sz w:val="20"/>
                <w:szCs w:val="20"/>
                <w:lang w:eastAsia="pt-BR"/>
              </w:rPr>
              <w:t>Porte BNDES (P, M,G)</w:t>
            </w:r>
          </w:p>
          <w:p w14:paraId="71F80AD0" w14:textId="77777777" w:rsidR="00565989"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UF</w:t>
            </w:r>
          </w:p>
          <w:p w14:paraId="53C3CC1E" w14:textId="77777777" w:rsidR="00565989" w:rsidRPr="009C0A66" w:rsidRDefault="00565989" w:rsidP="00154E7B">
            <w:pPr>
              <w:pStyle w:val="PargrafodaLista"/>
              <w:numPr>
                <w:ilvl w:val="0"/>
                <w:numId w:val="7"/>
              </w:numPr>
              <w:spacing w:after="0" w:line="240" w:lineRule="auto"/>
              <w:rPr>
                <w:rFonts w:asciiTheme="majorHAnsi" w:eastAsia="Times New Roman" w:hAnsiTheme="majorHAnsi" w:cs="Calibri"/>
                <w:color w:val="000000"/>
                <w:sz w:val="20"/>
                <w:szCs w:val="20"/>
                <w:lang w:eastAsia="pt-BR"/>
              </w:rPr>
            </w:pPr>
            <w:r>
              <w:rPr>
                <w:rFonts w:asciiTheme="majorHAnsi" w:eastAsia="Times New Roman" w:hAnsiTheme="majorHAnsi" w:cs="Calibri"/>
                <w:color w:val="000000"/>
                <w:sz w:val="20"/>
                <w:szCs w:val="20"/>
                <w:lang w:eastAsia="pt-BR"/>
              </w:rPr>
              <w:t>CNAE</w:t>
            </w:r>
          </w:p>
        </w:tc>
      </w:tr>
    </w:tbl>
    <w:p w14:paraId="221BA250" w14:textId="77777777" w:rsidR="00154E7B" w:rsidRDefault="00154E7B" w:rsidP="00154E7B"/>
    <w:p w14:paraId="192E8C7D" w14:textId="77777777" w:rsidR="00154E7B" w:rsidRPr="003C30F1" w:rsidRDefault="00154E7B" w:rsidP="00154E7B">
      <w:pPr>
        <w:rPr>
          <w:sz w:val="24"/>
          <w:szCs w:val="24"/>
        </w:rPr>
      </w:pPr>
    </w:p>
    <w:p w14:paraId="0B3FF9F5" w14:textId="3064D451" w:rsidR="00456DDA" w:rsidRPr="00F22EA9" w:rsidRDefault="00456DDA" w:rsidP="00360636"/>
    <w:p w14:paraId="21B402CB" w14:textId="25A57465" w:rsidR="00456DDA" w:rsidRPr="006142EF" w:rsidRDefault="006142EF" w:rsidP="006142EF">
      <w:pPr>
        <w:rPr>
          <w:b/>
          <w:bCs/>
        </w:rPr>
      </w:pPr>
      <w:r w:rsidRPr="006142EF">
        <w:rPr>
          <w:b/>
          <w:bCs/>
        </w:rPr>
        <w:t>2</w:t>
      </w:r>
      <w:r w:rsidR="008B44AF" w:rsidRPr="006142EF">
        <w:rPr>
          <w:b/>
          <w:bCs/>
        </w:rPr>
        <w:t xml:space="preserve">.3 Interpretação de Algoritmos de Aprendizado de Máquina </w:t>
      </w:r>
    </w:p>
    <w:p w14:paraId="45773033" w14:textId="77777777" w:rsidR="00E857A0" w:rsidRPr="00804562" w:rsidRDefault="00E857A0" w:rsidP="00E857A0">
      <w:pPr>
        <w:ind w:firstLine="708"/>
        <w:jc w:val="both"/>
        <w:rPr>
          <w:rFonts w:cstheme="minorHAnsi"/>
        </w:rPr>
      </w:pPr>
      <w:r w:rsidRPr="00804562">
        <w:rPr>
          <w:rFonts w:cstheme="minorHAnsi"/>
        </w:rPr>
        <w:t>Os modelos “caixas-pretas” são metodologias onde é possível identificar as suas entradas (</w:t>
      </w:r>
      <w:r w:rsidRPr="00804562">
        <w:rPr>
          <w:rFonts w:cstheme="minorHAnsi"/>
          <w:i/>
          <w:iCs/>
        </w:rPr>
        <w:t>inputs</w:t>
      </w:r>
      <w:r w:rsidRPr="00804562">
        <w:rPr>
          <w:rFonts w:cstheme="minorHAnsi"/>
        </w:rPr>
        <w:t>) e saídas (</w:t>
      </w:r>
      <w:r w:rsidRPr="00804562">
        <w:rPr>
          <w:rFonts w:cstheme="minorHAnsi"/>
          <w:i/>
          <w:iCs/>
        </w:rPr>
        <w:t>outputs</w:t>
      </w:r>
      <w:r w:rsidRPr="00804562">
        <w:rPr>
          <w:rFonts w:cstheme="minorHAnsi"/>
        </w:rPr>
        <w:t xml:space="preserve">), sendo obscuros os processos pelos quais os </w:t>
      </w:r>
      <w:r w:rsidRPr="00804562">
        <w:rPr>
          <w:rFonts w:cstheme="minorHAnsi"/>
          <w:i/>
          <w:iCs/>
        </w:rPr>
        <w:t>inputs</w:t>
      </w:r>
      <w:r w:rsidRPr="00804562">
        <w:rPr>
          <w:rFonts w:cstheme="minorHAnsi"/>
        </w:rPr>
        <w:t xml:space="preserve"> foram transformados em </w:t>
      </w:r>
      <w:r w:rsidRPr="00804562">
        <w:rPr>
          <w:rFonts w:cstheme="minorHAnsi"/>
          <w:i/>
          <w:iCs/>
        </w:rPr>
        <w:t>outputs</w:t>
      </w:r>
      <w:r w:rsidRPr="00804562">
        <w:rPr>
          <w:rFonts w:cstheme="minorHAnsi"/>
        </w:rPr>
        <w:t>. Os modelos de aprendizado de máquina são algumas vezes denominados de “caixas-pretas”, significando a complexidade de tais modelos obscurecem o entendimento da conexão entre cada variável explicativa (</w:t>
      </w:r>
      <w:r w:rsidRPr="00804562">
        <w:rPr>
          <w:rFonts w:cstheme="minorHAnsi"/>
          <w:i/>
          <w:iCs/>
        </w:rPr>
        <w:t>feature</w:t>
      </w:r>
      <w:r w:rsidRPr="00804562">
        <w:rPr>
          <w:rFonts w:cstheme="minorHAnsi"/>
        </w:rPr>
        <w:t xml:space="preserve">) e as saídas do modelo, sejam elas probabilidades, classificações ou valores preditos. </w:t>
      </w:r>
    </w:p>
    <w:p w14:paraId="475ED671" w14:textId="6837F321" w:rsidR="006142EF" w:rsidRPr="00804562" w:rsidRDefault="006142EF" w:rsidP="00E857A0">
      <w:pPr>
        <w:ind w:firstLine="708"/>
        <w:jc w:val="both"/>
        <w:rPr>
          <w:rFonts w:cstheme="minorHAnsi"/>
        </w:rPr>
      </w:pPr>
      <w:r w:rsidRPr="00804562">
        <w:rPr>
          <w:rFonts w:cstheme="minorHAnsi"/>
        </w:rPr>
        <w:t xml:space="preserve">O grande poder preditivo dos algoritmos de aprendizado vem acompanhado de maiores dificuldades na sua interpretação, devido a maior complexidade de tais algoritmos, e pela não-linearidade dos vínculos entre as </w:t>
      </w:r>
      <w:r w:rsidRPr="00804562">
        <w:rPr>
          <w:rFonts w:cstheme="minorHAnsi"/>
          <w:i/>
          <w:iCs/>
        </w:rPr>
        <w:t>features</w:t>
      </w:r>
      <w:r w:rsidRPr="00804562">
        <w:rPr>
          <w:rFonts w:cstheme="minorHAnsi"/>
        </w:rPr>
        <w:t xml:space="preserve"> e o valor predito. A interpretabilidade é especialmente importante em instituições finanças, os quais precisam atender diferentes </w:t>
      </w:r>
      <w:r w:rsidR="00E857A0" w:rsidRPr="00804562">
        <w:rPr>
          <w:rFonts w:cstheme="minorHAnsi"/>
        </w:rPr>
        <w:t>regulações</w:t>
      </w:r>
      <w:r w:rsidRPr="00804562">
        <w:rPr>
          <w:rFonts w:cstheme="minorHAnsi"/>
        </w:rPr>
        <w:t xml:space="preserve">, </w:t>
      </w:r>
      <w:r w:rsidR="00E857A0" w:rsidRPr="00804562">
        <w:rPr>
          <w:rFonts w:cstheme="minorHAnsi"/>
        </w:rPr>
        <w:t xml:space="preserve">incluindo a </w:t>
      </w:r>
      <w:r w:rsidRPr="00804562">
        <w:rPr>
          <w:rFonts w:cstheme="minorHAnsi"/>
        </w:rPr>
        <w:t xml:space="preserve">explicabilidade </w:t>
      </w:r>
      <w:r w:rsidR="00E857A0" w:rsidRPr="00804562">
        <w:rPr>
          <w:rFonts w:cstheme="minorHAnsi"/>
        </w:rPr>
        <w:t xml:space="preserve">das metodologias de classificação de risco de crédito. A explicabilidade dos modelos de aprendizado de máquina </w:t>
      </w:r>
      <w:r w:rsidRPr="00804562">
        <w:rPr>
          <w:rFonts w:cstheme="minorHAnsi"/>
        </w:rPr>
        <w:t xml:space="preserve">também esbarra em questões éticas e regulamentares, cujos desdobramentos já começam a ser abordadas, por exemplo, pela Comissão Europeia (2020). </w:t>
      </w:r>
    </w:p>
    <w:p w14:paraId="04AF522A" w14:textId="441C2AEE" w:rsidR="006142EF" w:rsidRPr="00804562" w:rsidRDefault="00E857A0" w:rsidP="00E857A0">
      <w:pPr>
        <w:ind w:firstLine="708"/>
        <w:jc w:val="both"/>
        <w:rPr>
          <w:rFonts w:cstheme="minorHAnsi"/>
        </w:rPr>
      </w:pPr>
      <w:r w:rsidRPr="00804562">
        <w:rPr>
          <w:rFonts w:cstheme="minorHAnsi"/>
        </w:rPr>
        <w:t xml:space="preserve">Diante desses desafios, surgiram </w:t>
      </w:r>
      <w:r w:rsidR="008B44AF" w:rsidRPr="00804562">
        <w:rPr>
          <w:rFonts w:cstheme="minorHAnsi"/>
        </w:rPr>
        <w:t xml:space="preserve">diferentes metodologias </w:t>
      </w:r>
      <w:r w:rsidRPr="00804562">
        <w:rPr>
          <w:rFonts w:cstheme="minorHAnsi"/>
        </w:rPr>
        <w:t xml:space="preserve">visando </w:t>
      </w:r>
      <w:r w:rsidR="006142EF" w:rsidRPr="00804562">
        <w:rPr>
          <w:rFonts w:cstheme="minorHAnsi"/>
        </w:rPr>
        <w:t xml:space="preserve">esclarecer ao </w:t>
      </w:r>
      <w:r w:rsidR="00D82F60" w:rsidRPr="00804562">
        <w:rPr>
          <w:rFonts w:cstheme="minorHAnsi"/>
        </w:rPr>
        <w:t xml:space="preserve">usuário </w:t>
      </w:r>
      <w:r w:rsidRPr="00804562">
        <w:rPr>
          <w:rFonts w:cstheme="minorHAnsi"/>
        </w:rPr>
        <w:t xml:space="preserve">de soluções </w:t>
      </w:r>
      <w:r w:rsidR="006142EF" w:rsidRPr="00804562">
        <w:rPr>
          <w:rFonts w:cstheme="minorHAnsi"/>
        </w:rPr>
        <w:t xml:space="preserve">como uma determinada </w:t>
      </w:r>
      <w:r w:rsidR="006142EF" w:rsidRPr="00804562">
        <w:rPr>
          <w:rFonts w:cstheme="minorHAnsi"/>
          <w:i/>
          <w:iCs/>
        </w:rPr>
        <w:t>feature</w:t>
      </w:r>
      <w:r w:rsidR="006142EF" w:rsidRPr="00804562">
        <w:rPr>
          <w:rFonts w:cstheme="minorHAnsi"/>
        </w:rPr>
        <w:t xml:space="preserve">s gerou uma </w:t>
      </w:r>
      <w:r w:rsidR="00D82F60" w:rsidRPr="00804562">
        <w:rPr>
          <w:rFonts w:cstheme="minorHAnsi"/>
        </w:rPr>
        <w:t>determinada saída</w:t>
      </w:r>
      <w:r w:rsidR="006142EF" w:rsidRPr="00804562">
        <w:rPr>
          <w:rFonts w:cstheme="minorHAnsi"/>
        </w:rPr>
        <w:t xml:space="preserve">, denominadas </w:t>
      </w:r>
      <w:r w:rsidR="00D82F60" w:rsidRPr="00804562">
        <w:rPr>
          <w:rFonts w:cstheme="minorHAnsi"/>
        </w:rPr>
        <w:t>eXplainable AI (XAI).</w:t>
      </w:r>
      <w:r w:rsidRPr="00804562">
        <w:rPr>
          <w:rFonts w:cstheme="minorHAnsi"/>
        </w:rPr>
        <w:t xml:space="preserve"> </w:t>
      </w:r>
      <w:r w:rsidR="006142EF" w:rsidRPr="00804562">
        <w:rPr>
          <w:rFonts w:cstheme="minorHAnsi"/>
        </w:rPr>
        <w:t xml:space="preserve">O conceito de </w:t>
      </w:r>
      <w:r w:rsidRPr="00804562">
        <w:rPr>
          <w:rFonts w:cstheme="minorHAnsi"/>
        </w:rPr>
        <w:t xml:space="preserve">aprendizado de máquina </w:t>
      </w:r>
      <w:r w:rsidR="006142EF" w:rsidRPr="00804562">
        <w:rPr>
          <w:rFonts w:cstheme="minorHAnsi"/>
        </w:rPr>
        <w:t>interpretável (eXplainable AI) surge para aumenta</w:t>
      </w:r>
      <w:r w:rsidRPr="00804562">
        <w:rPr>
          <w:rFonts w:cstheme="minorHAnsi"/>
        </w:rPr>
        <w:t xml:space="preserve">r </w:t>
      </w:r>
      <w:r w:rsidR="006142EF" w:rsidRPr="00804562">
        <w:rPr>
          <w:rFonts w:cstheme="minorHAnsi"/>
        </w:rPr>
        <w:t xml:space="preserve">o conforto e a confiança das diversas instâncias de decisão das instituições nesses modelos. </w:t>
      </w:r>
      <w:r w:rsidRPr="00804562">
        <w:rPr>
          <w:rFonts w:cstheme="minorHAnsi"/>
        </w:rPr>
        <w:t xml:space="preserve">A </w:t>
      </w:r>
      <w:r w:rsidRPr="00804562">
        <w:rPr>
          <w:rFonts w:cstheme="minorHAnsi"/>
          <w:i/>
          <w:iCs/>
        </w:rPr>
        <w:t>Feature Importance</w:t>
      </w:r>
      <w:r w:rsidR="00515E52" w:rsidRPr="00804562">
        <w:rPr>
          <w:rFonts w:cstheme="minorHAnsi"/>
        </w:rPr>
        <w:t xml:space="preserve"> (Kuhn &amp; Johnson, </w:t>
      </w:r>
      <w:r w:rsidR="00515E52" w:rsidRPr="00804562">
        <w:rPr>
          <w:rFonts w:cstheme="minorHAnsi"/>
          <w:i/>
          <w:iCs/>
        </w:rPr>
        <w:t>2013.</w:t>
      </w:r>
      <w:r w:rsidRPr="00804562">
        <w:rPr>
          <w:rFonts w:cstheme="minorHAnsi"/>
        </w:rPr>
        <w:t xml:space="preserve">) é a </w:t>
      </w:r>
      <w:r w:rsidR="006142EF" w:rsidRPr="00804562">
        <w:rPr>
          <w:rFonts w:cstheme="minorHAnsi"/>
        </w:rPr>
        <w:t>técnica</w:t>
      </w:r>
      <w:r w:rsidRPr="00804562">
        <w:rPr>
          <w:rFonts w:cstheme="minorHAnsi"/>
        </w:rPr>
        <w:t xml:space="preserve"> </w:t>
      </w:r>
      <w:r w:rsidR="006142EF" w:rsidRPr="00804562">
        <w:rPr>
          <w:rFonts w:cstheme="minorHAnsi"/>
        </w:rPr>
        <w:t>de interpretabilidade</w:t>
      </w:r>
      <w:r w:rsidRPr="00804562">
        <w:rPr>
          <w:rFonts w:cstheme="minorHAnsi"/>
        </w:rPr>
        <w:t xml:space="preserve"> de aprendizado de máquina </w:t>
      </w:r>
      <w:r w:rsidR="00515E52" w:rsidRPr="00804562">
        <w:rPr>
          <w:rFonts w:cstheme="minorHAnsi"/>
        </w:rPr>
        <w:t xml:space="preserve">mais </w:t>
      </w:r>
      <w:r w:rsidRPr="00804562">
        <w:rPr>
          <w:rFonts w:cstheme="minorHAnsi"/>
        </w:rPr>
        <w:t>diretamente aplicável</w:t>
      </w:r>
      <w:r w:rsidR="00515E52" w:rsidRPr="00804562">
        <w:rPr>
          <w:rFonts w:cstheme="minorHAnsi"/>
        </w:rPr>
        <w:t xml:space="preserve"> e compreensível</w:t>
      </w:r>
      <w:r w:rsidRPr="00804562">
        <w:rPr>
          <w:rFonts w:cstheme="minorHAnsi"/>
        </w:rPr>
        <w:t xml:space="preserve">. Entretanto, também podemos citar </w:t>
      </w:r>
      <w:r w:rsidR="006142EF" w:rsidRPr="00804562">
        <w:rPr>
          <w:rFonts w:cstheme="minorHAnsi"/>
        </w:rPr>
        <w:t xml:space="preserve">a abordagem LIME e valor-SHAP têm sido mais abertamente reconhecidos como o estado da arte. </w:t>
      </w:r>
    </w:p>
    <w:p w14:paraId="01663BDC" w14:textId="693BC27B" w:rsidR="00515E52" w:rsidRPr="00804562" w:rsidRDefault="00515E52" w:rsidP="00515E52">
      <w:pPr>
        <w:ind w:firstLine="708"/>
        <w:jc w:val="both"/>
        <w:rPr>
          <w:rFonts w:cstheme="minorHAnsi"/>
        </w:rPr>
      </w:pPr>
      <w:r w:rsidRPr="00804562">
        <w:rPr>
          <w:rFonts w:cstheme="minorHAnsi"/>
        </w:rPr>
        <w:t xml:space="preserve">Em finanças, a interpretabilidade é também importante para estabelecer a confiança do consumidor na metodologia de avaliação de risco de crédito utilizada. Nesse sentido, Bussmann (2020) e Ariza-Garzón et al. (2020) propõe um modelo XAI baseado em valores de Shapley </w:t>
      </w:r>
      <w:r w:rsidRPr="00804562">
        <w:rPr>
          <w:rFonts w:cstheme="minorHAnsi"/>
        </w:rPr>
        <w:lastRenderedPageBreak/>
        <w:t xml:space="preserve">aplicado no contexto de decisões de empréstimo para pequenas e médias empresas em plataformas de financiamento P2P. Por sua vez, HadjiMisheva et al. (2021) também exploram a </w:t>
      </w:r>
      <w:r w:rsidR="00E76C1F" w:rsidRPr="00804562">
        <w:rPr>
          <w:rFonts w:cstheme="minorHAnsi"/>
        </w:rPr>
        <w:t xml:space="preserve">as </w:t>
      </w:r>
      <w:r w:rsidRPr="00804562">
        <w:rPr>
          <w:rFonts w:cstheme="minorHAnsi"/>
        </w:rPr>
        <w:t xml:space="preserve">estruturas </w:t>
      </w:r>
      <w:r w:rsidR="00E76C1F" w:rsidRPr="00804562">
        <w:rPr>
          <w:rFonts w:cstheme="minorHAnsi"/>
        </w:rPr>
        <w:t xml:space="preserve">do </w:t>
      </w:r>
      <w:r w:rsidRPr="00804562">
        <w:rPr>
          <w:rFonts w:cstheme="minorHAnsi"/>
        </w:rPr>
        <w:t xml:space="preserve">SHAP e </w:t>
      </w:r>
      <w:r w:rsidR="00E76C1F" w:rsidRPr="00804562">
        <w:rPr>
          <w:rFonts w:cstheme="minorHAnsi"/>
        </w:rPr>
        <w:t xml:space="preserve">LIME </w:t>
      </w:r>
      <w:r w:rsidRPr="00804562">
        <w:rPr>
          <w:rFonts w:cstheme="minorHAnsi"/>
        </w:rPr>
        <w:t xml:space="preserve">no contexto do gerenciamento de risco de crédito, </w:t>
      </w:r>
      <w:r w:rsidR="00E76C1F" w:rsidRPr="00804562">
        <w:rPr>
          <w:rFonts w:cstheme="minorHAnsi"/>
        </w:rPr>
        <w:t xml:space="preserve">identificando obstáculos </w:t>
      </w:r>
      <w:r w:rsidRPr="00804562">
        <w:rPr>
          <w:rFonts w:cstheme="minorHAnsi"/>
        </w:rPr>
        <w:t xml:space="preserve">práticos na aplicação dessas técnicas a vários tipos de algoritmos de </w:t>
      </w:r>
      <w:r w:rsidR="00E76C1F" w:rsidRPr="00804562">
        <w:rPr>
          <w:rFonts w:cstheme="minorHAnsi"/>
        </w:rPr>
        <w:t>aprendizado de máquina</w:t>
      </w:r>
      <w:r w:rsidRPr="00804562">
        <w:rPr>
          <w:rFonts w:cstheme="minorHAnsi"/>
        </w:rPr>
        <w:t xml:space="preserve">, </w:t>
      </w:r>
      <w:r w:rsidR="00E76C1F" w:rsidRPr="00804562">
        <w:rPr>
          <w:rFonts w:cstheme="minorHAnsi"/>
        </w:rPr>
        <w:t xml:space="preserve">e </w:t>
      </w:r>
      <w:r w:rsidRPr="00804562">
        <w:rPr>
          <w:rFonts w:cstheme="minorHAnsi"/>
        </w:rPr>
        <w:t>propo</w:t>
      </w:r>
      <w:r w:rsidR="00E76C1F" w:rsidRPr="00804562">
        <w:rPr>
          <w:rFonts w:cstheme="minorHAnsi"/>
        </w:rPr>
        <w:t xml:space="preserve">ndo algumas </w:t>
      </w:r>
      <w:r w:rsidRPr="00804562">
        <w:rPr>
          <w:rFonts w:cstheme="minorHAnsi"/>
        </w:rPr>
        <w:t>soluções.</w:t>
      </w:r>
    </w:p>
    <w:p w14:paraId="0C5C7856" w14:textId="77777777" w:rsidR="006142EF" w:rsidRPr="00804562" w:rsidRDefault="006142EF" w:rsidP="006142EF">
      <w:pPr>
        <w:rPr>
          <w:rFonts w:cstheme="minorHAnsi"/>
        </w:rPr>
      </w:pPr>
    </w:p>
    <w:p w14:paraId="4FF26DCF" w14:textId="77777777" w:rsidR="00515E52" w:rsidRPr="00804562" w:rsidRDefault="00515E52" w:rsidP="006142EF">
      <w:pPr>
        <w:rPr>
          <w:rFonts w:cstheme="minorHAnsi"/>
        </w:rPr>
      </w:pPr>
    </w:p>
    <w:p w14:paraId="10282676" w14:textId="77777777" w:rsidR="00515E52" w:rsidRPr="00804562" w:rsidRDefault="00515E52" w:rsidP="006142EF">
      <w:pPr>
        <w:rPr>
          <w:rFonts w:cstheme="minorHAnsi"/>
        </w:rPr>
      </w:pPr>
    </w:p>
    <w:p w14:paraId="52813802" w14:textId="77777777" w:rsidR="006142EF" w:rsidRPr="00804562" w:rsidRDefault="006142EF" w:rsidP="006142EF">
      <w:pPr>
        <w:rPr>
          <w:rFonts w:cstheme="minorHAnsi"/>
          <w:b/>
          <w:bCs/>
        </w:rPr>
      </w:pPr>
      <w:r w:rsidRPr="00804562">
        <w:rPr>
          <w:rFonts w:cstheme="minorHAnsi"/>
          <w:b/>
          <w:bCs/>
        </w:rPr>
        <w:t>LIME</w:t>
      </w:r>
    </w:p>
    <w:p w14:paraId="5A235DC9" w14:textId="0F912E81" w:rsidR="006142EF" w:rsidRPr="00804562" w:rsidRDefault="006142EF" w:rsidP="00E857A0">
      <w:pPr>
        <w:ind w:firstLine="708"/>
        <w:jc w:val="both"/>
        <w:rPr>
          <w:rFonts w:cstheme="minorHAnsi"/>
        </w:rPr>
      </w:pPr>
      <w:r w:rsidRPr="00804562">
        <w:rPr>
          <w:rFonts w:cstheme="minorHAnsi"/>
        </w:rPr>
        <w:t xml:space="preserve">A técnica denominada modelo agnóstico interpretado localmente (LIME) procura aproximar um modelo de caixa-preta por um modelo local interpretável em cada previsão individual. Ribeiro </w:t>
      </w:r>
      <w:r w:rsidRPr="00804562">
        <w:rPr>
          <w:rFonts w:cstheme="minorHAnsi"/>
          <w:i/>
          <w:iCs/>
        </w:rPr>
        <w:t>et al</w:t>
      </w:r>
      <w:r w:rsidRPr="00804562">
        <w:rPr>
          <w:rFonts w:cstheme="minorHAnsi"/>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804562" w:rsidRDefault="006142EF" w:rsidP="006142EF">
      <w:pPr>
        <w:rPr>
          <w:rFonts w:cstheme="minorHAnsi"/>
        </w:rPr>
      </w:pPr>
      <m:oMathPara>
        <m:oMath>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arg</m:t>
              </m:r>
              <m:r>
                <w:rPr>
                  <w:rFonts w:ascii="Cambria Math" w:hAnsi="Cambria Math" w:cstheme="minorHAnsi"/>
                </w:rPr>
                <m:t>min</m:t>
              </m:r>
            </m:e>
            <m:sub>
              <m:r>
                <w:rPr>
                  <w:rFonts w:ascii="Cambria Math" w:hAnsi="Cambria Math" w:cstheme="minorHAnsi"/>
                </w:rPr>
                <m:t>g∈G</m:t>
              </m:r>
            </m:sub>
          </m:sSub>
          <m:r>
            <w:rPr>
              <w:rFonts w:ascii="Cambria Math" w:hAnsi="Cambria Math" w:cstheme="minorHAnsi"/>
            </w:rPr>
            <m:t xml:space="preserve"> L</m:t>
          </m:r>
          <m:d>
            <m:dPr>
              <m:ctrlPr>
                <w:rPr>
                  <w:rFonts w:ascii="Cambria Math" w:eastAsiaTheme="minorEastAsia" w:hAnsi="Cambria Math" w:cstheme="minorHAnsi"/>
                  <w:i/>
                </w:rPr>
              </m:ctrlPr>
            </m:dPr>
            <m:e>
              <m:r>
                <w:rPr>
                  <w:rFonts w:ascii="Cambria Math" w:eastAsiaTheme="minorEastAsia" w:hAnsi="Cambria Math" w:cstheme="minorHAnsi"/>
                </w:rPr>
                <m:t>f,g,</m:t>
              </m:r>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e>
          </m:d>
          <m:r>
            <w:rPr>
              <w:rFonts w:ascii="Cambria Math" w:eastAsiaTheme="minorEastAsia" w:hAnsi="Cambria Math" w:cstheme="minorHAnsi"/>
            </w:rPr>
            <m:t>+</m:t>
          </m:r>
          <m:r>
            <m:rPr>
              <m:sty m:val="p"/>
            </m:rPr>
            <w:rPr>
              <w:rFonts w:ascii="Cambria Math" w:eastAsiaTheme="minorEastAsia" w:hAnsi="Cambria Math" w:cstheme="minorHAnsi"/>
            </w:rPr>
            <m:t>Ω</m:t>
          </m:r>
          <m:r>
            <w:rPr>
              <w:rFonts w:ascii="Cambria Math" w:eastAsiaTheme="minorEastAsia" w:hAnsi="Cambria Math" w:cstheme="minorHAnsi"/>
            </w:rPr>
            <m:t>(g)</m:t>
          </m:r>
        </m:oMath>
      </m:oMathPara>
    </w:p>
    <w:p w14:paraId="340B2B5E" w14:textId="3E0069F2" w:rsidR="006142EF" w:rsidRPr="00804562" w:rsidRDefault="00B3707D" w:rsidP="006142EF">
      <w:pPr>
        <w:rPr>
          <w:rFonts w:cstheme="minorHAnsi"/>
        </w:rPr>
      </w:pPr>
      <w:r>
        <w:rPr>
          <w:rFonts w:cstheme="minorHAnsi"/>
        </w:rPr>
        <w:t>o</w:t>
      </w:r>
      <w:r w:rsidR="006142EF" w:rsidRPr="00804562">
        <w:rPr>
          <w:rFonts w:cstheme="minorHAnsi"/>
        </w:rPr>
        <w:t xml:space="preserve">nde, G é a classe de modelos potencialmente interpretáveis, tais como modelos lineares e árvores de decisão: </w:t>
      </w:r>
      <m:oMath>
        <m:r>
          <w:rPr>
            <w:rFonts w:ascii="Cambria Math" w:hAnsi="Cambria Math" w:cstheme="minorHAnsi"/>
          </w:rPr>
          <m:t>g∈G</m:t>
        </m:r>
      </m:oMath>
      <w:r w:rsidR="006142EF" w:rsidRPr="00804562">
        <w:rPr>
          <w:rFonts w:cstheme="minorHAnsi"/>
        </w:rPr>
        <w:t xml:space="preserve">. </w:t>
      </w:r>
    </w:p>
    <w:p w14:paraId="2B8B8CF7" w14:textId="77777777" w:rsidR="006142EF" w:rsidRPr="00804562" w:rsidRDefault="006142EF" w:rsidP="006142EF">
      <w:pPr>
        <w:rPr>
          <w:rFonts w:cstheme="minorHAnsi"/>
        </w:rPr>
      </w:pPr>
      <m:oMath>
        <m:r>
          <w:rPr>
            <w:rFonts w:ascii="Cambria Math" w:hAnsi="Cambria Math" w:cstheme="minorHAnsi"/>
          </w:rPr>
          <m:t>f:</m:t>
        </m:r>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d</m:t>
            </m:r>
          </m:sup>
        </m:sSup>
        <m:r>
          <m:rPr>
            <m:scr m:val="double-struck"/>
          </m:rPr>
          <w:rPr>
            <w:rFonts w:ascii="Cambria Math" w:hAnsi="Cambria Math" w:cstheme="minorHAnsi"/>
          </w:rPr>
          <m:t>→R</m:t>
        </m:r>
      </m:oMath>
      <w:r w:rsidRPr="00804562">
        <w:rPr>
          <w:rFonts w:eastAsiaTheme="minorEastAsia" w:cstheme="minorHAnsi"/>
        </w:rPr>
        <w:t xml:space="preserve"> é a explicação do modelo.</w:t>
      </w:r>
    </w:p>
    <w:p w14:paraId="23ABB513" w14:textId="77777777" w:rsidR="006142EF" w:rsidRPr="00804562" w:rsidRDefault="00000000" w:rsidP="006142EF">
      <w:pP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oMath>
      <w:r w:rsidR="006142EF" w:rsidRPr="00804562">
        <w:rPr>
          <w:rFonts w:eastAsiaTheme="minorEastAsia" w:cstheme="minorHAnsi"/>
        </w:rPr>
        <w:t xml:space="preserve">: Medida de proximidade de uma instancia </w:t>
      </w:r>
      <w:r w:rsidR="006142EF" w:rsidRPr="00804562">
        <w:rPr>
          <w:rFonts w:eastAsiaTheme="minorEastAsia" w:cstheme="minorHAnsi"/>
          <w:i/>
          <w:iCs/>
        </w:rPr>
        <w:t>z</w:t>
      </w:r>
      <w:r w:rsidR="006142EF" w:rsidRPr="00804562">
        <w:rPr>
          <w:rFonts w:eastAsiaTheme="minorEastAsia" w:cstheme="minorHAnsi"/>
        </w:rPr>
        <w:t xml:space="preserve"> de </w:t>
      </w:r>
      <w:r w:rsidR="006142EF" w:rsidRPr="00804562">
        <w:rPr>
          <w:rFonts w:eastAsiaTheme="minorEastAsia" w:cstheme="minorHAnsi"/>
          <w:i/>
          <w:iCs/>
        </w:rPr>
        <w:t>x</w:t>
      </w:r>
      <w:r w:rsidR="006142EF" w:rsidRPr="00804562">
        <w:rPr>
          <w:rFonts w:eastAsiaTheme="minorEastAsia" w:cstheme="minorHAnsi"/>
        </w:rPr>
        <w:t>.</w:t>
      </w:r>
    </w:p>
    <w:p w14:paraId="0D4E6F79" w14:textId="77777777" w:rsidR="006142EF" w:rsidRPr="00804562" w:rsidRDefault="006142EF" w:rsidP="006142EF">
      <w:pPr>
        <w:rPr>
          <w:rFonts w:cstheme="minorHAnsi"/>
        </w:rPr>
      </w:pPr>
      <m:oMath>
        <m:r>
          <m:rPr>
            <m:sty m:val="p"/>
          </m:rPr>
          <w:rPr>
            <w:rFonts w:ascii="Cambria Math" w:eastAsiaTheme="minorEastAsia" w:hAnsi="Cambria Math" w:cstheme="minorHAnsi"/>
          </w:rPr>
          <m:t>Ω</m:t>
        </m:r>
        <m:r>
          <w:rPr>
            <w:rFonts w:ascii="Cambria Math" w:eastAsiaTheme="minorEastAsia" w:hAnsi="Cambria Math" w:cstheme="minorHAnsi"/>
          </w:rPr>
          <m:t>(g)</m:t>
        </m:r>
      </m:oMath>
      <w:r w:rsidRPr="00804562">
        <w:rPr>
          <w:rFonts w:eastAsiaTheme="minorEastAsia" w:cstheme="minorHAnsi"/>
        </w:rPr>
        <w:t xml:space="preserve">: Medida de complexidade da explicação de </w:t>
      </w:r>
      <m:oMath>
        <m:r>
          <w:rPr>
            <w:rFonts w:ascii="Cambria Math" w:hAnsi="Cambria Math" w:cstheme="minorHAnsi"/>
          </w:rPr>
          <m:t>g∈G</m:t>
        </m:r>
      </m:oMath>
      <w:r w:rsidRPr="00804562">
        <w:rPr>
          <w:rFonts w:eastAsiaTheme="minorEastAsia" w:cstheme="minorHAnsi"/>
        </w:rPr>
        <w:t>.</w:t>
      </w:r>
    </w:p>
    <w:p w14:paraId="15173912" w14:textId="77777777" w:rsidR="006142EF" w:rsidRPr="00804562" w:rsidRDefault="006142EF" w:rsidP="006142EF">
      <w:pPr>
        <w:rPr>
          <w:rFonts w:cstheme="minorHAnsi"/>
        </w:rPr>
      </w:pPr>
      <w:r w:rsidRPr="00804562">
        <w:rPr>
          <w:rFonts w:cstheme="minorHAnsi"/>
        </w:rPr>
        <w:t xml:space="preserve">O objetivo é minimizar a função de perda </w:t>
      </w:r>
      <w:r w:rsidRPr="00804562">
        <w:rPr>
          <w:rFonts w:cstheme="minorHAnsi"/>
          <w:i/>
          <w:iCs/>
        </w:rPr>
        <w:t>L</w:t>
      </w:r>
      <w:r w:rsidRPr="00804562">
        <w:rPr>
          <w:rFonts w:cstheme="minorHAnsi"/>
        </w:rPr>
        <w:t xml:space="preserve"> localmente, sem lançar mão de pressupostos a respeito de </w:t>
      </w:r>
      <w:r w:rsidRPr="00804562">
        <w:rPr>
          <w:rFonts w:cstheme="minorHAnsi"/>
          <w:i/>
          <w:iCs/>
        </w:rPr>
        <w:t>f</w:t>
      </w:r>
      <w:r w:rsidRPr="00804562">
        <w:rPr>
          <w:rFonts w:cstheme="minorHAnsi"/>
        </w:rPr>
        <w:t xml:space="preserve">, assegurando a natureza agnóstica de </w:t>
      </w:r>
      <w:r w:rsidRPr="00804562">
        <w:rPr>
          <w:rFonts w:cstheme="minorHAnsi"/>
          <w:i/>
          <w:iCs/>
        </w:rPr>
        <w:t>L</w:t>
      </w:r>
      <w:r w:rsidRPr="00804562">
        <w:rPr>
          <w:rFonts w:cstheme="minorHAnsi"/>
        </w:rPr>
        <w:t xml:space="preserve">. Por sua vez, </w:t>
      </w:r>
      <w:r w:rsidRPr="00804562">
        <w:rPr>
          <w:rFonts w:cstheme="minorHAnsi"/>
          <w:i/>
          <w:iCs/>
        </w:rPr>
        <w:t>L</w:t>
      </w:r>
      <w:r w:rsidRPr="00804562">
        <w:rPr>
          <w:rFonts w:cstheme="minorHAnsi"/>
        </w:rPr>
        <w:t xml:space="preserve"> é a medida agnóstica de quão infiel </w:t>
      </w:r>
      <w:r w:rsidRPr="00804562">
        <w:rPr>
          <w:rFonts w:cstheme="minorHAnsi"/>
          <w:i/>
          <w:iCs/>
        </w:rPr>
        <w:t xml:space="preserve">g </w:t>
      </w:r>
      <w:r w:rsidRPr="00804562">
        <w:rPr>
          <w:rFonts w:cstheme="minorHAnsi"/>
        </w:rPr>
        <w:t xml:space="preserve">é na aproximação de </w:t>
      </w:r>
      <w:r w:rsidRPr="00804562">
        <w:rPr>
          <w:rFonts w:cstheme="minorHAnsi"/>
          <w:i/>
          <w:iCs/>
        </w:rPr>
        <w:t>f</w:t>
      </w:r>
      <w:r w:rsidRPr="00804562">
        <w:rPr>
          <w:rFonts w:cstheme="minorHAnsi"/>
        </w:rPr>
        <w:t xml:space="preserve"> na localidade definida por </w:t>
      </w: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oMath>
      <w:r w:rsidRPr="00804562">
        <w:rPr>
          <w:rFonts w:cstheme="minorHAnsi"/>
        </w:rPr>
        <w:t xml:space="preserve">. </w:t>
      </w:r>
    </w:p>
    <w:p w14:paraId="36F51F49" w14:textId="77777777" w:rsidR="006142EF" w:rsidRPr="00804562" w:rsidRDefault="006142EF" w:rsidP="006142EF">
      <w:pPr>
        <w:rPr>
          <w:rFonts w:cstheme="minorHAnsi"/>
        </w:rPr>
      </w:pPr>
    </w:p>
    <w:p w14:paraId="74BE12C0" w14:textId="77777777" w:rsidR="006142EF" w:rsidRPr="00804562" w:rsidRDefault="006142EF" w:rsidP="006142EF">
      <w:pPr>
        <w:rPr>
          <w:rFonts w:cstheme="minorHAnsi"/>
          <w:b/>
          <w:bCs/>
        </w:rPr>
      </w:pPr>
      <w:r w:rsidRPr="00804562">
        <w:rPr>
          <w:rFonts w:cstheme="minorHAnsi"/>
          <w:b/>
          <w:bCs/>
        </w:rPr>
        <w:t>SHAP</w:t>
      </w:r>
    </w:p>
    <w:p w14:paraId="3AE24AC8" w14:textId="758E00CA" w:rsidR="006142EF" w:rsidRPr="00804562" w:rsidRDefault="006142EF" w:rsidP="00E857A0">
      <w:pPr>
        <w:ind w:firstLine="708"/>
        <w:jc w:val="both"/>
        <w:rPr>
          <w:rFonts w:cstheme="minorHAnsi"/>
        </w:rPr>
      </w:pPr>
      <w:r w:rsidRPr="00804562">
        <w:rPr>
          <w:rFonts w:cstheme="minorHAnsi"/>
        </w:rPr>
        <w:t xml:space="preserve">Lundberg </w:t>
      </w:r>
      <w:r w:rsidR="00E857A0" w:rsidRPr="00804562">
        <w:rPr>
          <w:rFonts w:cstheme="minorHAnsi"/>
        </w:rPr>
        <w:t>&amp;</w:t>
      </w:r>
      <w:r w:rsidRPr="00804562">
        <w:rPr>
          <w:rFonts w:cstheme="minorHAnsi"/>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804562" w:rsidRDefault="006142EF" w:rsidP="006142EF">
      <w:pPr>
        <w:ind w:firstLine="708"/>
        <w:jc w:val="both"/>
        <w:rPr>
          <w:rFonts w:cstheme="minorHAnsi"/>
        </w:rPr>
      </w:pPr>
      <w:r w:rsidRPr="00804562">
        <w:rPr>
          <w:rFonts w:cstheme="minorHAnsi"/>
        </w:rPr>
        <w:t xml:space="preserve">A metodologia SHAP (SHApley Additive exPlanation)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rPr>
          <m:t>f(x)</m:t>
        </m:r>
      </m:oMath>
      <w:r w:rsidRPr="00804562">
        <w:rPr>
          <w:rFonts w:cstheme="minorHAnsi"/>
        </w:rPr>
        <w:t xml:space="preserve"> por uma função linear das variáveis binárias </w:t>
      </w:r>
      <m:oMath>
        <m:r>
          <w:rPr>
            <w:rFonts w:ascii="Cambria Math" w:hAnsi="Cambria Math" w:cstheme="minorHAnsi"/>
          </w:rPr>
          <m:t>g(x)</m:t>
        </m:r>
      </m:oMath>
      <w:r w:rsidRPr="00804562">
        <w:rPr>
          <w:rFonts w:cstheme="minorHAnsi"/>
        </w:rPr>
        <w:t xml:space="preserve">, sendo </w:t>
      </w:r>
      <m:oMath>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∈{0,1}</m:t>
        </m:r>
      </m:oMath>
      <w:r w:rsidRPr="00804562">
        <w:rPr>
          <w:rFonts w:eastAsiaTheme="minorEastAsia" w:cstheme="minorHAnsi"/>
        </w:rPr>
        <w:t xml:space="preserve"> as variáveis binarias e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m:rPr>
            <m:scr m:val="double-struck"/>
          </m:rPr>
          <w:rPr>
            <w:rFonts w:ascii="Cambria Math" w:hAnsi="Cambria Math" w:cstheme="minorHAnsi"/>
          </w:rPr>
          <m:t>∈R</m:t>
        </m:r>
      </m:oMath>
      <w:r w:rsidRPr="00804562">
        <w:rPr>
          <w:rFonts w:cstheme="minorHAnsi"/>
        </w:rPr>
        <w:t xml:space="preserve"> as quantidades de explicação, conforme:</w:t>
      </w:r>
    </w:p>
    <w:p w14:paraId="58A3ACBD" w14:textId="77777777" w:rsidR="006142EF" w:rsidRPr="00804562" w:rsidRDefault="006142EF" w:rsidP="006142EF">
      <w:pPr>
        <w:rPr>
          <w:rFonts w:cstheme="minorHAnsi"/>
        </w:rPr>
      </w:pPr>
      <m:oMathPara>
        <m:oMath>
          <m:r>
            <w:rPr>
              <w:rFonts w:ascii="Cambria Math" w:hAnsi="Cambria Math" w:cstheme="minorHAnsi"/>
            </w:rPr>
            <w:lastRenderedPageBreak/>
            <m:t>g(</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e>
                <m:sub>
                  <m:r>
                    <w:rPr>
                      <w:rFonts w:ascii="Cambria Math" w:hAnsi="Cambria Math" w:cstheme="minorHAnsi"/>
                    </w:rPr>
                    <m:t>i</m:t>
                  </m:r>
                </m:sub>
              </m:sSub>
            </m:e>
          </m:nary>
        </m:oMath>
      </m:oMathPara>
    </w:p>
    <w:p w14:paraId="1A26A129" w14:textId="77777777" w:rsidR="006142EF" w:rsidRPr="00804562" w:rsidRDefault="006142EF" w:rsidP="006142EF">
      <w:pPr>
        <w:rPr>
          <w:rFonts w:cstheme="minorHAnsi"/>
        </w:rPr>
      </w:pPr>
      <w:r w:rsidRPr="00804562">
        <w:rPr>
          <w:rFonts w:cstheme="minorHAnsi"/>
        </w:rPr>
        <w:t>onde M é o número de variáveis explicativas.</w:t>
      </w:r>
    </w:p>
    <w:p w14:paraId="6920D016" w14:textId="77777777" w:rsidR="006142EF" w:rsidRPr="00804562" w:rsidRDefault="006142EF" w:rsidP="00E857A0">
      <w:pPr>
        <w:ind w:firstLine="708"/>
        <w:jc w:val="both"/>
        <w:rPr>
          <w:rFonts w:cstheme="minorHAnsi"/>
        </w:rPr>
      </w:pPr>
      <w:r w:rsidRPr="00804562">
        <w:rPr>
          <w:rFonts w:cstheme="minorHAnsi"/>
        </w:rPr>
        <w:t xml:space="preserve">Somente modelos aditivos que satisfazem as propriedades de precisão local, </w:t>
      </w:r>
      <w:r w:rsidRPr="00804562">
        <w:rPr>
          <w:rFonts w:cstheme="minorHAnsi"/>
          <w:i/>
          <w:iCs/>
        </w:rPr>
        <w:t>missingness</w:t>
      </w:r>
      <w:r w:rsidRPr="00804562">
        <w:rPr>
          <w:rFonts w:cstheme="minorHAnsi"/>
        </w:rPr>
        <w:t xml:space="preserve"> e consistência podem ser obtidos ao atribuir para cada variável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804562">
        <w:rPr>
          <w:rFonts w:eastAsiaTheme="minorEastAsia" w:cstheme="minorHAnsi"/>
        </w:rPr>
        <w:t xml:space="preserve"> um efeito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oMath>
      <w:r w:rsidRPr="00804562">
        <w:rPr>
          <w:rFonts w:eastAsiaTheme="minorEastAsia" w:cstheme="minorHAnsi"/>
        </w:rPr>
        <w:t>, isto é, o valor</w:t>
      </w:r>
      <w:r w:rsidRPr="00804562">
        <w:rPr>
          <w:rFonts w:cstheme="minorHAnsi"/>
        </w:rPr>
        <w:t xml:space="preserve"> de Shapley (Scott et al., 2018):</w:t>
      </w:r>
    </w:p>
    <w:p w14:paraId="2ADBD23B" w14:textId="77777777" w:rsidR="006142EF" w:rsidRPr="00804562" w:rsidRDefault="00000000" w:rsidP="006142EF">
      <w:pPr>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f,x</m:t>
              </m:r>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z'⊆x'</m:t>
              </m:r>
            </m:sub>
            <m:sup/>
            <m:e>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-1</m:t>
                      </m:r>
                    </m:e>
                  </m:d>
                  <m:r>
                    <w:rPr>
                      <w:rFonts w:ascii="Cambria Math" w:eastAsiaTheme="minorEastAsia" w:hAnsi="Cambria Math" w:cstheme="minorHAnsi"/>
                    </w:rPr>
                    <m:t>!</m:t>
                  </m:r>
                </m:num>
                <m:den>
                  <m:r>
                    <w:rPr>
                      <w:rFonts w:ascii="Cambria Math" w:eastAsiaTheme="minorEastAsia" w:hAnsi="Cambria Math" w:cstheme="minorHAnsi"/>
                    </w:rPr>
                    <m:t>M!</m:t>
                  </m:r>
                </m:den>
              </m:f>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e>
              </m:d>
            </m:e>
          </m:nary>
        </m:oMath>
      </m:oMathPara>
    </w:p>
    <w:p w14:paraId="4E1CED09" w14:textId="0CF55DC9" w:rsidR="006142EF" w:rsidRPr="00804562" w:rsidRDefault="006142EF" w:rsidP="00E857A0">
      <w:pPr>
        <w:jc w:val="both"/>
        <w:rPr>
          <w:rFonts w:cstheme="minorHAnsi"/>
        </w:rPr>
      </w:pPr>
      <w:r w:rsidRPr="00804562">
        <w:rPr>
          <w:rFonts w:cstheme="minorHAnsi"/>
        </w:rPr>
        <w:t xml:space="preserve">onde </w:t>
      </w:r>
      <w:r w:rsidRPr="00804562">
        <w:rPr>
          <w:rFonts w:cstheme="minorHAnsi"/>
          <w:i/>
          <w:iCs/>
        </w:rPr>
        <w:t>f</w:t>
      </w:r>
      <w:r w:rsidRPr="00804562">
        <w:rPr>
          <w:rFonts w:cstheme="minorHAnsi"/>
        </w:rPr>
        <w:t xml:space="preserve"> é a explicação do modelo, </w:t>
      </w:r>
      <m:oMath>
        <m:r>
          <w:rPr>
            <w:rFonts w:ascii="Cambria Math" w:eastAsiaTheme="minorEastAsia" w:hAnsi="Cambria Math" w:cstheme="minorHAnsi"/>
          </w:rPr>
          <m:t>x</m:t>
        </m:r>
      </m:oMath>
      <w:r w:rsidRPr="00804562">
        <w:rPr>
          <w:rFonts w:cstheme="minorHAnsi"/>
        </w:rPr>
        <w:t xml:space="preserve"> são as variáveis disponíveis e </w:t>
      </w:r>
      <m:oMath>
        <m:r>
          <w:rPr>
            <w:rFonts w:ascii="Cambria Math" w:eastAsiaTheme="minorEastAsia" w:hAnsi="Cambria Math" w:cstheme="minorHAnsi"/>
          </w:rPr>
          <m:t>x'</m:t>
        </m:r>
      </m:oMath>
      <w:r w:rsidRPr="00804562">
        <w:rPr>
          <w:rFonts w:cstheme="minorHAnsi"/>
        </w:rPr>
        <w:t xml:space="preserve"> são as variáveis selecionadas.</w:t>
      </w:r>
      <w:r w:rsidR="00E857A0" w:rsidRPr="00804562">
        <w:rPr>
          <w:rFonts w:cstheme="minorHAnsi"/>
        </w:rPr>
        <w:t xml:space="preserve"> </w:t>
      </w:r>
      <w:r w:rsidRPr="00804562">
        <w:rPr>
          <w:rFonts w:cstheme="minorHAnsi"/>
        </w:rPr>
        <w:t xml:space="preserve">A expressão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r>
          <w:rPr>
            <w:rFonts w:ascii="Cambria Math" w:eastAsiaTheme="minorEastAsia" w:hAnsi="Cambria Math" w:cstheme="minorHAnsi"/>
          </w:rPr>
          <m:t xml:space="preserve"> </m:t>
        </m:r>
      </m:oMath>
      <w:r w:rsidRPr="00804562">
        <w:rPr>
          <w:rFonts w:cstheme="minorHAnsi"/>
        </w:rPr>
        <w:t>demonstrada, para cada predição individual, o desvio dos valores de Shapley de sua média, ou seja, a contribuição da i-ésima variável.</w:t>
      </w:r>
    </w:p>
    <w:p w14:paraId="46BE56AC" w14:textId="503B79BE" w:rsidR="006142EF" w:rsidRPr="00804562" w:rsidRDefault="006142EF" w:rsidP="00E857A0">
      <w:pPr>
        <w:ind w:firstLine="708"/>
        <w:jc w:val="both"/>
        <w:rPr>
          <w:rFonts w:cstheme="minorHAnsi"/>
        </w:rPr>
      </w:pPr>
      <w:r w:rsidRPr="00804562">
        <w:rPr>
          <w:rFonts w:cstheme="minorHAnsi"/>
        </w:rPr>
        <w:t xml:space="preserve">Intuitivamente, os valores de Shapley são um modelo explicativo que se aproxima localmente </w:t>
      </w:r>
      <w:r w:rsidR="00846B7A" w:rsidRPr="00804562">
        <w:rPr>
          <w:rFonts w:cstheme="minorHAnsi"/>
        </w:rPr>
        <w:t>d</w:t>
      </w:r>
      <w:r w:rsidRPr="00804562">
        <w:rPr>
          <w:rFonts w:cstheme="minorHAnsi"/>
        </w:rPr>
        <w:t xml:space="preserve">o modelo original. Sempre que </w:t>
      </w:r>
      <w:r w:rsidRPr="00804562">
        <w:rPr>
          <w:rFonts w:cstheme="minorHAnsi"/>
          <w:i/>
          <w:iCs/>
        </w:rPr>
        <w:t>x</w:t>
      </w:r>
      <w:r w:rsidRPr="00804562">
        <w:rPr>
          <w:rFonts w:cstheme="minorHAnsi"/>
        </w:rPr>
        <w:t xml:space="preserve"> for diferente de zero, o valor de Shapley também será</w:t>
      </w:r>
      <w:r w:rsidR="00846B7A" w:rsidRPr="00804562">
        <w:rPr>
          <w:rFonts w:cstheme="minorHAnsi"/>
        </w:rPr>
        <w:t xml:space="preserve"> (</w:t>
      </w:r>
      <w:r w:rsidRPr="00804562">
        <w:rPr>
          <w:rFonts w:cstheme="minorHAnsi"/>
        </w:rPr>
        <w:t xml:space="preserve">propriedade </w:t>
      </w:r>
      <w:r w:rsidRPr="00804562">
        <w:rPr>
          <w:rFonts w:cstheme="minorHAnsi"/>
          <w:i/>
          <w:iCs/>
        </w:rPr>
        <w:t>missingness</w:t>
      </w:r>
      <w:r w:rsidR="00846B7A" w:rsidRPr="00804562">
        <w:rPr>
          <w:rFonts w:cstheme="minorHAnsi"/>
          <w:i/>
          <w:iCs/>
        </w:rPr>
        <w:t>).</w:t>
      </w:r>
      <w:r w:rsidR="00846B7A" w:rsidRPr="00804562">
        <w:rPr>
          <w:rFonts w:cstheme="minorHAnsi"/>
        </w:rPr>
        <w:t xml:space="preserve"> S</w:t>
      </w:r>
      <w:r w:rsidRPr="00804562">
        <w:rPr>
          <w:rFonts w:cstheme="minorHAnsi"/>
        </w:rPr>
        <w:t xml:space="preserve">e para </w:t>
      </w:r>
      <w:r w:rsidR="00846B7A" w:rsidRPr="00804562">
        <w:rPr>
          <w:rFonts w:cstheme="minorHAnsi"/>
        </w:rPr>
        <w:t xml:space="preserve">um </w:t>
      </w:r>
      <w:r w:rsidRPr="00804562">
        <w:rPr>
          <w:rFonts w:cstheme="minorHAnsi"/>
        </w:rPr>
        <w:t>modelo diferente</w:t>
      </w:r>
      <w:r w:rsidR="00846B7A" w:rsidRPr="00804562">
        <w:rPr>
          <w:rFonts w:cstheme="minorHAnsi"/>
        </w:rPr>
        <w:t>,</w:t>
      </w:r>
      <w:r w:rsidRPr="00804562">
        <w:rPr>
          <w:rFonts w:cstheme="minorHAnsi"/>
        </w:rPr>
        <w:t xml:space="preserve"> a contribuição de uma variável </w:t>
      </w:r>
      <w:r w:rsidR="00846B7A" w:rsidRPr="00804562">
        <w:rPr>
          <w:rFonts w:cstheme="minorHAnsi"/>
        </w:rPr>
        <w:t xml:space="preserve">para a predição </w:t>
      </w:r>
      <w:r w:rsidRPr="00804562">
        <w:rPr>
          <w:rFonts w:cstheme="minorHAnsi"/>
        </w:rPr>
        <w:t xml:space="preserve">for maior, </w:t>
      </w:r>
      <w:r w:rsidR="00846B7A" w:rsidRPr="00804562">
        <w:rPr>
          <w:rFonts w:cstheme="minorHAnsi"/>
        </w:rPr>
        <w:t xml:space="preserve">então </w:t>
      </w:r>
      <w:r w:rsidRPr="00804562">
        <w:rPr>
          <w:rFonts w:cstheme="minorHAnsi"/>
        </w:rPr>
        <w:t>o valor de Shapley correspondente também será (propriedade de consistência).</w:t>
      </w:r>
    </w:p>
    <w:p w14:paraId="3F76C4BD" w14:textId="6CB3333B" w:rsidR="006142EF" w:rsidRPr="00804562" w:rsidRDefault="006142EF" w:rsidP="00E857A0">
      <w:pPr>
        <w:ind w:firstLine="708"/>
        <w:jc w:val="both"/>
        <w:rPr>
          <w:rFonts w:cstheme="minorHAnsi"/>
        </w:rPr>
      </w:pPr>
      <w:r w:rsidRPr="00804562">
        <w:rPr>
          <w:rFonts w:cstheme="minorHAnsi"/>
        </w:rPr>
        <w:t>Amb</w:t>
      </w:r>
      <w:r w:rsidR="00515E52" w:rsidRPr="00804562">
        <w:rPr>
          <w:rFonts w:cstheme="minorHAnsi"/>
        </w:rPr>
        <w:t xml:space="preserve">as as metodologias, </w:t>
      </w:r>
      <w:r w:rsidRPr="00804562">
        <w:rPr>
          <w:rFonts w:cstheme="minorHAnsi"/>
        </w:rPr>
        <w:t>LIME e SHAP</w:t>
      </w:r>
      <w:r w:rsidR="00515E52" w:rsidRPr="00804562">
        <w:rPr>
          <w:rFonts w:cstheme="minorHAnsi"/>
        </w:rPr>
        <w:t>,</w:t>
      </w:r>
      <w:r w:rsidRPr="00804562">
        <w:rPr>
          <w:rFonts w:cstheme="minorHAnsi"/>
        </w:rPr>
        <w:t xml:space="preserve"> obtêm os parâmetros para contribuição de cada </w:t>
      </w:r>
      <w:r w:rsidRPr="00804562">
        <w:rPr>
          <w:rFonts w:cstheme="minorHAnsi"/>
          <w:i/>
          <w:iCs/>
        </w:rPr>
        <w:t>feature</w:t>
      </w:r>
      <w:r w:rsidRPr="00804562">
        <w:rPr>
          <w:rFonts w:cstheme="minorHAnsi"/>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matriz de dissimilaridade construída sobre pesos LIME e valores SHAP, empregando a distância euclidiana padronizada como o base para agrupamento.</w:t>
      </w:r>
    </w:p>
    <w:p w14:paraId="4A6654A9" w14:textId="77777777" w:rsidR="006142EF" w:rsidRPr="00804562" w:rsidRDefault="006142EF" w:rsidP="006142EF">
      <w:pPr>
        <w:rPr>
          <w:rFonts w:cstheme="minorHAnsi"/>
        </w:rPr>
      </w:pPr>
    </w:p>
    <w:p w14:paraId="0F6BEF57" w14:textId="77777777" w:rsidR="008B44AF" w:rsidRPr="00804562" w:rsidRDefault="008B44AF" w:rsidP="00D82F60">
      <w:pPr>
        <w:rPr>
          <w:rFonts w:cstheme="minorHAnsi"/>
        </w:rPr>
      </w:pPr>
    </w:p>
    <w:p w14:paraId="3C524EFB" w14:textId="77777777" w:rsidR="008B44AF" w:rsidRPr="00804562" w:rsidRDefault="008B44AF" w:rsidP="00D82F60">
      <w:pPr>
        <w:rPr>
          <w:rFonts w:cstheme="minorHAnsi"/>
        </w:rPr>
      </w:pPr>
    </w:p>
    <w:p w14:paraId="053DFCDC" w14:textId="361A3321" w:rsidR="00456DDA" w:rsidRPr="00804562" w:rsidRDefault="00456DDA" w:rsidP="00360636">
      <w:pPr>
        <w:rPr>
          <w:rFonts w:cstheme="minorHAnsi"/>
        </w:rPr>
      </w:pPr>
    </w:p>
    <w:p w14:paraId="4AEAA95E" w14:textId="77777777" w:rsidR="00846B7A" w:rsidRDefault="00846B7A" w:rsidP="00360636"/>
    <w:p w14:paraId="1DA6E67F" w14:textId="77777777" w:rsidR="00846B7A" w:rsidRDefault="00846B7A" w:rsidP="00360636"/>
    <w:p w14:paraId="462053E1" w14:textId="77777777" w:rsidR="00846B7A" w:rsidRDefault="00846B7A" w:rsidP="00360636"/>
    <w:p w14:paraId="1A182CED" w14:textId="77777777" w:rsidR="00B3707D" w:rsidRDefault="00B3707D" w:rsidP="00360636"/>
    <w:p w14:paraId="4D13A267" w14:textId="77777777" w:rsidR="00B3707D" w:rsidRDefault="00B3707D" w:rsidP="00360636"/>
    <w:p w14:paraId="1C756009" w14:textId="77777777" w:rsidR="00B3707D" w:rsidRPr="00A925CD" w:rsidRDefault="00B3707D" w:rsidP="00B3707D">
      <w:pPr>
        <w:ind w:firstLine="708"/>
        <w:jc w:val="both"/>
        <w:rPr>
          <w:sz w:val="24"/>
          <w:szCs w:val="24"/>
        </w:rPr>
      </w:pPr>
    </w:p>
    <w:p w14:paraId="5DF2003A" w14:textId="5AF681A4" w:rsidR="00B3707D" w:rsidRPr="00A925CD" w:rsidRDefault="00000530" w:rsidP="00000530">
      <w:pPr>
        <w:rPr>
          <w:b/>
          <w:bCs/>
          <w:sz w:val="24"/>
          <w:szCs w:val="24"/>
        </w:rPr>
      </w:pPr>
      <w:r>
        <w:rPr>
          <w:b/>
          <w:bCs/>
          <w:sz w:val="24"/>
          <w:szCs w:val="24"/>
        </w:rPr>
        <w:t xml:space="preserve">4. Resultados </w:t>
      </w:r>
    </w:p>
    <w:p w14:paraId="1BCA880D" w14:textId="77777777" w:rsidR="00B3707D" w:rsidRDefault="00B3707D" w:rsidP="00B3707D">
      <w:pPr>
        <w:ind w:firstLine="360"/>
        <w:jc w:val="both"/>
        <w:rPr>
          <w:sz w:val="24"/>
          <w:szCs w:val="24"/>
        </w:rPr>
      </w:pPr>
    </w:p>
    <w:p w14:paraId="5A291252" w14:textId="77777777" w:rsidR="00000530" w:rsidRDefault="00000530" w:rsidP="00B3707D">
      <w:pPr>
        <w:ind w:firstLine="360"/>
        <w:jc w:val="both"/>
        <w:rPr>
          <w:sz w:val="24"/>
          <w:szCs w:val="24"/>
        </w:rPr>
      </w:pPr>
    </w:p>
    <w:p w14:paraId="3C96C1E8" w14:textId="77777777" w:rsidR="00000530" w:rsidRPr="00BD6A01" w:rsidRDefault="00000530" w:rsidP="00B3707D">
      <w:pPr>
        <w:ind w:firstLine="360"/>
        <w:jc w:val="both"/>
        <w:rPr>
          <w:sz w:val="24"/>
          <w:szCs w:val="24"/>
        </w:rPr>
      </w:pPr>
    </w:p>
    <w:p w14:paraId="43D22B92" w14:textId="18F1EB9E" w:rsidR="00B3707D" w:rsidRDefault="00B3707D" w:rsidP="00B3707D">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r w:rsidRPr="003A5166">
        <w:rPr>
          <w:color w:val="auto"/>
          <w:sz w:val="22"/>
          <w:szCs w:val="22"/>
        </w:rPr>
        <w:t xml:space="preserve"> –</w:t>
      </w:r>
      <w:r w:rsidR="00000530">
        <w:rPr>
          <w:color w:val="auto"/>
          <w:sz w:val="22"/>
          <w:szCs w:val="22"/>
        </w:rPr>
        <w:t xml:space="preserve"> Métricas de Precisão</w:t>
      </w:r>
    </w:p>
    <w:tbl>
      <w:tblPr>
        <w:tblStyle w:val="Tabelacomgrade"/>
        <w:tblW w:w="85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542"/>
        <w:gridCol w:w="1597"/>
        <w:gridCol w:w="1518"/>
        <w:gridCol w:w="2279"/>
      </w:tblGrid>
      <w:tr w:rsidR="00B451F7" w14:paraId="368F2B48" w14:textId="77777777" w:rsidTr="00B451F7">
        <w:trPr>
          <w:jc w:val="center"/>
        </w:trPr>
        <w:tc>
          <w:tcPr>
            <w:tcW w:w="1622" w:type="dxa"/>
            <w:tcBorders>
              <w:bottom w:val="single" w:sz="4" w:space="0" w:color="auto"/>
            </w:tcBorders>
            <w:vAlign w:val="center"/>
          </w:tcPr>
          <w:p w14:paraId="157D946F" w14:textId="77777777" w:rsidR="00000530" w:rsidRDefault="00000530" w:rsidP="00000530">
            <w:pPr>
              <w:jc w:val="center"/>
              <w:rPr>
                <w:lang w:bidi="ar-SA"/>
              </w:rPr>
            </w:pPr>
          </w:p>
        </w:tc>
        <w:tc>
          <w:tcPr>
            <w:tcW w:w="1542" w:type="dxa"/>
            <w:tcBorders>
              <w:bottom w:val="single" w:sz="4" w:space="0" w:color="auto"/>
            </w:tcBorders>
            <w:vAlign w:val="center"/>
          </w:tcPr>
          <w:p w14:paraId="57A4EB7A" w14:textId="1436CDB0" w:rsidR="00000530" w:rsidRDefault="00000530" w:rsidP="00000530">
            <w:pPr>
              <w:jc w:val="center"/>
              <w:rPr>
                <w:lang w:bidi="ar-SA"/>
              </w:rPr>
            </w:pPr>
          </w:p>
        </w:tc>
        <w:tc>
          <w:tcPr>
            <w:tcW w:w="1597" w:type="dxa"/>
            <w:tcBorders>
              <w:bottom w:val="single" w:sz="4" w:space="0" w:color="auto"/>
            </w:tcBorders>
            <w:vAlign w:val="center"/>
          </w:tcPr>
          <w:p w14:paraId="6CEA8DBF" w14:textId="77EA685F" w:rsidR="00000530" w:rsidRDefault="00000530" w:rsidP="00000530">
            <w:pPr>
              <w:jc w:val="center"/>
              <w:rPr>
                <w:lang w:bidi="ar-SA"/>
              </w:rPr>
            </w:pPr>
            <w:r>
              <w:rPr>
                <w:lang w:bidi="ar-SA"/>
              </w:rPr>
              <w:t>Catboost</w:t>
            </w:r>
          </w:p>
        </w:tc>
        <w:tc>
          <w:tcPr>
            <w:tcW w:w="1518"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2279" w:type="dxa"/>
            <w:tcBorders>
              <w:bottom w:val="single" w:sz="4" w:space="0" w:color="auto"/>
            </w:tcBorders>
            <w:vAlign w:val="center"/>
          </w:tcPr>
          <w:p w14:paraId="041BB8DA" w14:textId="34F080BF" w:rsidR="00000530" w:rsidRDefault="00000530" w:rsidP="00000530">
            <w:pPr>
              <w:jc w:val="center"/>
              <w:rPr>
                <w:lang w:bidi="ar-SA"/>
              </w:rPr>
            </w:pPr>
            <w:r>
              <w:rPr>
                <w:lang w:bidi="ar-SA"/>
              </w:rPr>
              <w:t>XGboost</w:t>
            </w:r>
          </w:p>
        </w:tc>
      </w:tr>
      <w:tr w:rsidR="00B451F7" w14:paraId="64482888" w14:textId="77777777" w:rsidTr="00B451F7">
        <w:trPr>
          <w:jc w:val="center"/>
        </w:trPr>
        <w:tc>
          <w:tcPr>
            <w:tcW w:w="1622" w:type="dxa"/>
            <w:tcBorders>
              <w:top w:val="single" w:sz="4" w:space="0" w:color="auto"/>
              <w:bottom w:val="nil"/>
            </w:tcBorders>
            <w:vAlign w:val="center"/>
          </w:tcPr>
          <w:p w14:paraId="52965067" w14:textId="7ADE86F6" w:rsidR="00000530" w:rsidRDefault="00000530" w:rsidP="00000530">
            <w:pPr>
              <w:jc w:val="center"/>
              <w:rPr>
                <w:lang w:bidi="ar-SA"/>
              </w:rPr>
            </w:pPr>
            <w:r>
              <w:rPr>
                <w:lang w:bidi="ar-SA"/>
              </w:rPr>
              <w:t>Treino</w:t>
            </w:r>
          </w:p>
        </w:tc>
        <w:tc>
          <w:tcPr>
            <w:tcW w:w="1542" w:type="dxa"/>
            <w:tcBorders>
              <w:top w:val="single" w:sz="4" w:space="0" w:color="auto"/>
              <w:bottom w:val="nil"/>
            </w:tcBorders>
            <w:vAlign w:val="center"/>
          </w:tcPr>
          <w:p w14:paraId="2D7C49D1" w14:textId="0DB42258" w:rsidR="00000530" w:rsidRDefault="00000530" w:rsidP="00000530">
            <w:pPr>
              <w:jc w:val="center"/>
              <w:rPr>
                <w:lang w:bidi="ar-SA"/>
              </w:rPr>
            </w:pPr>
            <w:r>
              <w:rPr>
                <w:lang w:bidi="ar-SA"/>
              </w:rPr>
              <w:t>Acurácia</w:t>
            </w:r>
          </w:p>
        </w:tc>
        <w:tc>
          <w:tcPr>
            <w:tcW w:w="1597" w:type="dxa"/>
            <w:tcBorders>
              <w:top w:val="single" w:sz="4" w:space="0" w:color="auto"/>
              <w:bottom w:val="nil"/>
            </w:tcBorders>
            <w:vAlign w:val="center"/>
          </w:tcPr>
          <w:p w14:paraId="1428968B" w14:textId="00BA61B7" w:rsidR="00000530" w:rsidRPr="00000530" w:rsidRDefault="00000530" w:rsidP="00000530">
            <w:pPr>
              <w:jc w:val="center"/>
              <w:rPr>
                <w:lang w:val="en-US" w:bidi="ar-SA"/>
              </w:rPr>
            </w:pPr>
          </w:p>
        </w:tc>
        <w:tc>
          <w:tcPr>
            <w:tcW w:w="1518" w:type="dxa"/>
            <w:tcBorders>
              <w:top w:val="single" w:sz="4" w:space="0" w:color="auto"/>
              <w:bottom w:val="nil"/>
            </w:tcBorders>
            <w:vAlign w:val="center"/>
          </w:tcPr>
          <w:p w14:paraId="74240E23" w14:textId="230D1780" w:rsidR="00000530" w:rsidRDefault="00000530" w:rsidP="00000530">
            <w:pPr>
              <w:jc w:val="center"/>
              <w:rPr>
                <w:lang w:bidi="ar-SA"/>
              </w:rPr>
            </w:pPr>
            <w:r w:rsidRPr="00000530">
              <w:rPr>
                <w:lang w:val="en-US" w:bidi="ar-SA"/>
              </w:rPr>
              <w:t>0</w:t>
            </w:r>
            <w:r>
              <w:rPr>
                <w:lang w:val="en-US" w:bidi="ar-SA"/>
              </w:rPr>
              <w:t>,</w:t>
            </w:r>
            <w:r w:rsidRPr="00000530">
              <w:rPr>
                <w:lang w:val="en-US" w:bidi="ar-SA"/>
              </w:rPr>
              <w:t>928</w:t>
            </w:r>
            <w:r w:rsidR="00B451F7">
              <w:rPr>
                <w:lang w:val="en-US" w:bidi="ar-SA"/>
              </w:rPr>
              <w:t>5</w:t>
            </w:r>
          </w:p>
        </w:tc>
        <w:tc>
          <w:tcPr>
            <w:tcW w:w="2279" w:type="dxa"/>
            <w:tcBorders>
              <w:top w:val="single" w:sz="4" w:space="0" w:color="auto"/>
              <w:bottom w:val="nil"/>
            </w:tcBorders>
            <w:vAlign w:val="center"/>
          </w:tcPr>
          <w:p w14:paraId="263F4509" w14:textId="39256F70" w:rsidR="00000530" w:rsidRDefault="00B451F7" w:rsidP="00000530">
            <w:pPr>
              <w:jc w:val="center"/>
              <w:rPr>
                <w:lang w:bidi="ar-SA"/>
              </w:rPr>
            </w:pPr>
            <w:r w:rsidRPr="00B451F7">
              <w:rPr>
                <w:lang w:bidi="ar-SA"/>
              </w:rPr>
              <w:t>0</w:t>
            </w:r>
            <w:r>
              <w:rPr>
                <w:lang w:bidi="ar-SA"/>
              </w:rPr>
              <w:t>,</w:t>
            </w:r>
            <w:r w:rsidRPr="00B451F7">
              <w:rPr>
                <w:lang w:bidi="ar-SA"/>
              </w:rPr>
              <w:t>9293</w:t>
            </w:r>
          </w:p>
        </w:tc>
      </w:tr>
      <w:tr w:rsidR="00B451F7" w14:paraId="1A4F656F" w14:textId="77777777" w:rsidTr="00B451F7">
        <w:trPr>
          <w:jc w:val="center"/>
        </w:trPr>
        <w:tc>
          <w:tcPr>
            <w:tcW w:w="1622" w:type="dxa"/>
            <w:tcBorders>
              <w:top w:val="nil"/>
              <w:bottom w:val="nil"/>
            </w:tcBorders>
            <w:vAlign w:val="center"/>
          </w:tcPr>
          <w:p w14:paraId="26CC9BB9" w14:textId="77777777" w:rsidR="00000530" w:rsidRDefault="00000530" w:rsidP="00000530">
            <w:pPr>
              <w:jc w:val="center"/>
              <w:rPr>
                <w:lang w:bidi="ar-SA"/>
              </w:rPr>
            </w:pPr>
          </w:p>
        </w:tc>
        <w:tc>
          <w:tcPr>
            <w:tcW w:w="1542" w:type="dxa"/>
            <w:tcBorders>
              <w:top w:val="nil"/>
              <w:bottom w:val="nil"/>
            </w:tcBorders>
            <w:vAlign w:val="center"/>
          </w:tcPr>
          <w:p w14:paraId="3F47E770" w14:textId="6B974F5D" w:rsidR="00000530" w:rsidRDefault="00000530" w:rsidP="00000530">
            <w:pPr>
              <w:jc w:val="center"/>
              <w:rPr>
                <w:lang w:bidi="ar-SA"/>
              </w:rPr>
            </w:pPr>
            <w:r>
              <w:rPr>
                <w:lang w:bidi="ar-SA"/>
              </w:rPr>
              <w:t>Escore F1</w:t>
            </w:r>
          </w:p>
        </w:tc>
        <w:tc>
          <w:tcPr>
            <w:tcW w:w="1597" w:type="dxa"/>
            <w:tcBorders>
              <w:top w:val="nil"/>
              <w:bottom w:val="nil"/>
            </w:tcBorders>
            <w:vAlign w:val="center"/>
          </w:tcPr>
          <w:p w14:paraId="44867B18" w14:textId="09436773" w:rsidR="00000530" w:rsidRDefault="00000530" w:rsidP="00000530">
            <w:pPr>
              <w:jc w:val="center"/>
              <w:rPr>
                <w:lang w:bidi="ar-SA"/>
              </w:rPr>
            </w:pPr>
          </w:p>
        </w:tc>
        <w:tc>
          <w:tcPr>
            <w:tcW w:w="1518" w:type="dxa"/>
            <w:tcBorders>
              <w:top w:val="nil"/>
              <w:bottom w:val="nil"/>
            </w:tcBorders>
            <w:vAlign w:val="center"/>
          </w:tcPr>
          <w:p w14:paraId="762D2587" w14:textId="387FB967" w:rsidR="00000530" w:rsidRDefault="00000530" w:rsidP="00000530">
            <w:pPr>
              <w:jc w:val="center"/>
              <w:rPr>
                <w:lang w:bidi="ar-SA"/>
              </w:rPr>
            </w:pPr>
            <w:r w:rsidRPr="00000530">
              <w:rPr>
                <w:lang w:val="en-US" w:bidi="ar-SA"/>
              </w:rPr>
              <w:t>0</w:t>
            </w:r>
            <w:r>
              <w:rPr>
                <w:lang w:val="en-US" w:bidi="ar-SA"/>
              </w:rPr>
              <w:t>,</w:t>
            </w:r>
            <w:r w:rsidRPr="00000530">
              <w:rPr>
                <w:lang w:val="en-US" w:bidi="ar-SA"/>
              </w:rPr>
              <w:t>1135</w:t>
            </w:r>
          </w:p>
        </w:tc>
        <w:tc>
          <w:tcPr>
            <w:tcW w:w="2279" w:type="dxa"/>
            <w:tcBorders>
              <w:top w:val="nil"/>
              <w:bottom w:val="nil"/>
            </w:tcBorders>
            <w:vAlign w:val="center"/>
          </w:tcPr>
          <w:p w14:paraId="3D0595C4" w14:textId="6C2B872A" w:rsidR="00000530" w:rsidRDefault="00B451F7" w:rsidP="00000530">
            <w:pPr>
              <w:jc w:val="center"/>
              <w:rPr>
                <w:lang w:bidi="ar-SA"/>
              </w:rPr>
            </w:pPr>
            <w:r w:rsidRPr="00B451F7">
              <w:rPr>
                <w:lang w:bidi="ar-SA"/>
              </w:rPr>
              <w:t>0</w:t>
            </w:r>
            <w:r>
              <w:rPr>
                <w:lang w:bidi="ar-SA"/>
              </w:rPr>
              <w:t>,</w:t>
            </w:r>
            <w:r w:rsidRPr="00B451F7">
              <w:rPr>
                <w:lang w:bidi="ar-SA"/>
              </w:rPr>
              <w:t>516</w:t>
            </w:r>
            <w:r>
              <w:rPr>
                <w:lang w:bidi="ar-SA"/>
              </w:rPr>
              <w:t>0</w:t>
            </w:r>
          </w:p>
        </w:tc>
      </w:tr>
      <w:tr w:rsidR="00B451F7" w14:paraId="0C093F60" w14:textId="77777777" w:rsidTr="00B451F7">
        <w:trPr>
          <w:jc w:val="center"/>
        </w:trPr>
        <w:tc>
          <w:tcPr>
            <w:tcW w:w="1622" w:type="dxa"/>
            <w:tcBorders>
              <w:top w:val="nil"/>
              <w:bottom w:val="nil"/>
            </w:tcBorders>
            <w:vAlign w:val="center"/>
          </w:tcPr>
          <w:p w14:paraId="23EFEEDE" w14:textId="77777777" w:rsidR="00000530" w:rsidRDefault="00000530" w:rsidP="00000530">
            <w:pPr>
              <w:jc w:val="center"/>
              <w:rPr>
                <w:lang w:bidi="ar-SA"/>
              </w:rPr>
            </w:pPr>
          </w:p>
        </w:tc>
        <w:tc>
          <w:tcPr>
            <w:tcW w:w="1542" w:type="dxa"/>
            <w:tcBorders>
              <w:top w:val="nil"/>
              <w:bottom w:val="nil"/>
            </w:tcBorders>
            <w:vAlign w:val="center"/>
          </w:tcPr>
          <w:p w14:paraId="686D68BA" w14:textId="127EC248" w:rsidR="00000530" w:rsidRDefault="00000530" w:rsidP="00000530">
            <w:pPr>
              <w:jc w:val="center"/>
              <w:rPr>
                <w:lang w:bidi="ar-SA"/>
              </w:rPr>
            </w:pPr>
            <w:r>
              <w:rPr>
                <w:lang w:bidi="ar-SA"/>
              </w:rPr>
              <w:t>Recall</w:t>
            </w:r>
          </w:p>
        </w:tc>
        <w:tc>
          <w:tcPr>
            <w:tcW w:w="1597" w:type="dxa"/>
            <w:tcBorders>
              <w:top w:val="nil"/>
              <w:bottom w:val="nil"/>
            </w:tcBorders>
            <w:vAlign w:val="center"/>
          </w:tcPr>
          <w:p w14:paraId="485794E4" w14:textId="79E46291" w:rsidR="00000530" w:rsidRPr="00000530" w:rsidRDefault="00000530" w:rsidP="00000530">
            <w:pPr>
              <w:jc w:val="center"/>
              <w:rPr>
                <w:lang w:val="en-US" w:bidi="ar-SA"/>
              </w:rPr>
            </w:pPr>
          </w:p>
        </w:tc>
        <w:tc>
          <w:tcPr>
            <w:tcW w:w="1518" w:type="dxa"/>
            <w:tcBorders>
              <w:top w:val="nil"/>
              <w:bottom w:val="nil"/>
            </w:tcBorders>
            <w:vAlign w:val="center"/>
          </w:tcPr>
          <w:p w14:paraId="62F7C931" w14:textId="16F874E5" w:rsidR="00000530" w:rsidRDefault="00000530" w:rsidP="00000530">
            <w:pPr>
              <w:jc w:val="center"/>
              <w:rPr>
                <w:lang w:bidi="ar-SA"/>
              </w:rPr>
            </w:pPr>
            <w:r w:rsidRPr="00000530">
              <w:rPr>
                <w:lang w:val="en-US" w:bidi="ar-SA"/>
              </w:rPr>
              <w:t>0</w:t>
            </w:r>
            <w:r>
              <w:rPr>
                <w:lang w:val="en-US" w:bidi="ar-SA"/>
              </w:rPr>
              <w:t>,</w:t>
            </w:r>
            <w:r w:rsidRPr="00000530">
              <w:rPr>
                <w:lang w:val="en-US" w:bidi="ar-SA"/>
              </w:rPr>
              <w:t>0644</w:t>
            </w:r>
          </w:p>
        </w:tc>
        <w:tc>
          <w:tcPr>
            <w:tcW w:w="2279" w:type="dxa"/>
            <w:tcBorders>
              <w:top w:val="nil"/>
              <w:bottom w:val="nil"/>
            </w:tcBorders>
            <w:vAlign w:val="center"/>
          </w:tcPr>
          <w:p w14:paraId="56EE38E3" w14:textId="03DD1FAE" w:rsidR="00000530" w:rsidRDefault="00B451F7" w:rsidP="00000530">
            <w:pPr>
              <w:jc w:val="center"/>
              <w:rPr>
                <w:lang w:bidi="ar-SA"/>
              </w:rPr>
            </w:pPr>
            <w:r w:rsidRPr="00B451F7">
              <w:rPr>
                <w:lang w:bidi="ar-SA"/>
              </w:rPr>
              <w:t>0</w:t>
            </w:r>
            <w:r>
              <w:rPr>
                <w:lang w:bidi="ar-SA"/>
              </w:rPr>
              <w:t>,</w:t>
            </w:r>
            <w:r w:rsidRPr="00B451F7">
              <w:rPr>
                <w:lang w:bidi="ar-SA"/>
              </w:rPr>
              <w:t>5297</w:t>
            </w:r>
          </w:p>
        </w:tc>
      </w:tr>
      <w:tr w:rsidR="00B451F7" w14:paraId="351E22E5" w14:textId="77777777" w:rsidTr="00B451F7">
        <w:trPr>
          <w:jc w:val="center"/>
        </w:trPr>
        <w:tc>
          <w:tcPr>
            <w:tcW w:w="1622" w:type="dxa"/>
            <w:tcBorders>
              <w:top w:val="nil"/>
              <w:bottom w:val="nil"/>
            </w:tcBorders>
            <w:vAlign w:val="center"/>
          </w:tcPr>
          <w:p w14:paraId="3CC02FDD" w14:textId="77777777" w:rsidR="00000530" w:rsidRDefault="00000530" w:rsidP="00000530">
            <w:pPr>
              <w:jc w:val="center"/>
              <w:rPr>
                <w:lang w:bidi="ar-SA"/>
              </w:rPr>
            </w:pPr>
          </w:p>
        </w:tc>
        <w:tc>
          <w:tcPr>
            <w:tcW w:w="1542" w:type="dxa"/>
            <w:tcBorders>
              <w:top w:val="nil"/>
              <w:bottom w:val="nil"/>
            </w:tcBorders>
            <w:vAlign w:val="center"/>
          </w:tcPr>
          <w:p w14:paraId="59D0F05C" w14:textId="46AB82A8" w:rsidR="00000530" w:rsidRDefault="00000530" w:rsidP="00000530">
            <w:pPr>
              <w:jc w:val="center"/>
              <w:rPr>
                <w:lang w:bidi="ar-SA"/>
              </w:rPr>
            </w:pPr>
            <w:r>
              <w:rPr>
                <w:lang w:bidi="ar-SA"/>
              </w:rPr>
              <w:t>Precisão</w:t>
            </w:r>
          </w:p>
        </w:tc>
        <w:tc>
          <w:tcPr>
            <w:tcW w:w="1597" w:type="dxa"/>
            <w:tcBorders>
              <w:top w:val="nil"/>
              <w:bottom w:val="nil"/>
            </w:tcBorders>
            <w:vAlign w:val="center"/>
          </w:tcPr>
          <w:p w14:paraId="3FA1D2E3" w14:textId="49A65E6E" w:rsidR="00000530" w:rsidRDefault="00000530" w:rsidP="00000530">
            <w:pPr>
              <w:jc w:val="center"/>
              <w:rPr>
                <w:lang w:bidi="ar-SA"/>
              </w:rPr>
            </w:pPr>
          </w:p>
        </w:tc>
        <w:tc>
          <w:tcPr>
            <w:tcW w:w="1518" w:type="dxa"/>
            <w:tcBorders>
              <w:top w:val="nil"/>
              <w:bottom w:val="nil"/>
            </w:tcBorders>
            <w:vAlign w:val="center"/>
          </w:tcPr>
          <w:p w14:paraId="3E2423A9" w14:textId="54A92BD0" w:rsidR="00000530" w:rsidRDefault="00000530" w:rsidP="00000530">
            <w:pPr>
              <w:jc w:val="center"/>
              <w:rPr>
                <w:lang w:bidi="ar-SA"/>
              </w:rPr>
            </w:pPr>
            <w:r w:rsidRPr="00000530">
              <w:rPr>
                <w:lang w:val="en-US" w:bidi="ar-SA"/>
              </w:rPr>
              <w:t>0</w:t>
            </w:r>
            <w:r>
              <w:rPr>
                <w:lang w:val="en-US" w:bidi="ar-SA"/>
              </w:rPr>
              <w:t>,</w:t>
            </w:r>
            <w:r w:rsidRPr="00000530">
              <w:rPr>
                <w:lang w:val="en-US" w:bidi="ar-SA"/>
              </w:rPr>
              <w:t>4785</w:t>
            </w:r>
          </w:p>
        </w:tc>
        <w:tc>
          <w:tcPr>
            <w:tcW w:w="2279" w:type="dxa"/>
            <w:tcBorders>
              <w:top w:val="nil"/>
              <w:bottom w:val="nil"/>
            </w:tcBorders>
            <w:vAlign w:val="center"/>
          </w:tcPr>
          <w:p w14:paraId="0B78D208" w14:textId="380981B7" w:rsidR="00000530" w:rsidRDefault="00B451F7" w:rsidP="00000530">
            <w:pPr>
              <w:jc w:val="center"/>
              <w:rPr>
                <w:lang w:bidi="ar-SA"/>
              </w:rPr>
            </w:pPr>
            <w:r w:rsidRPr="00B451F7">
              <w:rPr>
                <w:lang w:bidi="ar-SA"/>
              </w:rPr>
              <w:t>0</w:t>
            </w:r>
            <w:r>
              <w:rPr>
                <w:lang w:bidi="ar-SA"/>
              </w:rPr>
              <w:t>,</w:t>
            </w:r>
            <w:r w:rsidRPr="00B451F7">
              <w:rPr>
                <w:lang w:bidi="ar-SA"/>
              </w:rPr>
              <w:t>5029</w:t>
            </w:r>
          </w:p>
        </w:tc>
      </w:tr>
      <w:tr w:rsidR="00B451F7" w14:paraId="128BAC93" w14:textId="77777777" w:rsidTr="00B451F7">
        <w:trPr>
          <w:jc w:val="center"/>
        </w:trPr>
        <w:tc>
          <w:tcPr>
            <w:tcW w:w="1622" w:type="dxa"/>
            <w:tcBorders>
              <w:top w:val="nil"/>
              <w:bottom w:val="nil"/>
            </w:tcBorders>
            <w:vAlign w:val="center"/>
          </w:tcPr>
          <w:p w14:paraId="719D39C8" w14:textId="77777777" w:rsidR="00000530" w:rsidRDefault="00000530" w:rsidP="00000530">
            <w:pPr>
              <w:jc w:val="center"/>
              <w:rPr>
                <w:lang w:bidi="ar-SA"/>
              </w:rPr>
            </w:pPr>
          </w:p>
        </w:tc>
        <w:tc>
          <w:tcPr>
            <w:tcW w:w="1542" w:type="dxa"/>
            <w:tcBorders>
              <w:top w:val="nil"/>
              <w:bottom w:val="nil"/>
            </w:tcBorders>
            <w:vAlign w:val="center"/>
          </w:tcPr>
          <w:p w14:paraId="602D888D" w14:textId="33F8FA0B" w:rsidR="00000530" w:rsidRDefault="00000530" w:rsidP="00000530">
            <w:pPr>
              <w:jc w:val="center"/>
              <w:rPr>
                <w:lang w:bidi="ar-SA"/>
              </w:rPr>
            </w:pPr>
            <w:r>
              <w:rPr>
                <w:lang w:bidi="ar-SA"/>
              </w:rPr>
              <w:t>Escore KS</w:t>
            </w:r>
          </w:p>
        </w:tc>
        <w:tc>
          <w:tcPr>
            <w:tcW w:w="1597" w:type="dxa"/>
            <w:tcBorders>
              <w:top w:val="nil"/>
              <w:bottom w:val="nil"/>
            </w:tcBorders>
            <w:vAlign w:val="center"/>
          </w:tcPr>
          <w:p w14:paraId="4DDC6F80" w14:textId="0E818D09" w:rsidR="00000530" w:rsidRDefault="00000530" w:rsidP="00000530">
            <w:pPr>
              <w:jc w:val="center"/>
              <w:rPr>
                <w:lang w:bidi="ar-SA"/>
              </w:rPr>
            </w:pPr>
          </w:p>
        </w:tc>
        <w:tc>
          <w:tcPr>
            <w:tcW w:w="1518" w:type="dxa"/>
            <w:tcBorders>
              <w:top w:val="nil"/>
              <w:bottom w:val="nil"/>
            </w:tcBorders>
            <w:vAlign w:val="center"/>
          </w:tcPr>
          <w:p w14:paraId="1CAE5905" w14:textId="7902B45C" w:rsidR="00000530" w:rsidRDefault="00000530" w:rsidP="00000530">
            <w:pPr>
              <w:jc w:val="center"/>
              <w:rPr>
                <w:lang w:bidi="ar-SA"/>
              </w:rPr>
            </w:pPr>
            <w:r>
              <w:rPr>
                <w:lang w:bidi="ar-SA"/>
              </w:rPr>
              <w:t>0,7790</w:t>
            </w:r>
          </w:p>
        </w:tc>
        <w:tc>
          <w:tcPr>
            <w:tcW w:w="2279" w:type="dxa"/>
            <w:tcBorders>
              <w:top w:val="nil"/>
              <w:bottom w:val="nil"/>
            </w:tcBorders>
            <w:vAlign w:val="center"/>
          </w:tcPr>
          <w:p w14:paraId="6799CE49" w14:textId="77777777" w:rsidR="00000530" w:rsidRDefault="00000530" w:rsidP="00000530">
            <w:pPr>
              <w:jc w:val="center"/>
              <w:rPr>
                <w:lang w:bidi="ar-SA"/>
              </w:rPr>
            </w:pPr>
          </w:p>
        </w:tc>
      </w:tr>
      <w:tr w:rsidR="00B451F7" w14:paraId="5E145F36" w14:textId="77777777" w:rsidTr="00B451F7">
        <w:trPr>
          <w:jc w:val="center"/>
        </w:trPr>
        <w:tc>
          <w:tcPr>
            <w:tcW w:w="1622" w:type="dxa"/>
            <w:tcBorders>
              <w:top w:val="nil"/>
              <w:bottom w:val="single" w:sz="4" w:space="0" w:color="auto"/>
            </w:tcBorders>
            <w:vAlign w:val="center"/>
          </w:tcPr>
          <w:p w14:paraId="26240512" w14:textId="77777777" w:rsidR="00000530" w:rsidRDefault="00000530" w:rsidP="00000530">
            <w:pPr>
              <w:jc w:val="center"/>
              <w:rPr>
                <w:lang w:bidi="ar-SA"/>
              </w:rPr>
            </w:pPr>
          </w:p>
        </w:tc>
        <w:tc>
          <w:tcPr>
            <w:tcW w:w="1542" w:type="dxa"/>
            <w:tcBorders>
              <w:top w:val="nil"/>
              <w:bottom w:val="single" w:sz="4" w:space="0" w:color="auto"/>
            </w:tcBorders>
            <w:vAlign w:val="center"/>
          </w:tcPr>
          <w:p w14:paraId="7509E5B0" w14:textId="37BE99EE" w:rsidR="00000530" w:rsidRDefault="00000530" w:rsidP="00000530">
            <w:pPr>
              <w:jc w:val="center"/>
              <w:rPr>
                <w:lang w:bidi="ar-SA"/>
              </w:rPr>
            </w:pPr>
            <w:r>
              <w:rPr>
                <w:lang w:bidi="ar-SA"/>
              </w:rPr>
              <w:t>AUC</w:t>
            </w:r>
          </w:p>
        </w:tc>
        <w:tc>
          <w:tcPr>
            <w:tcW w:w="1597" w:type="dxa"/>
            <w:tcBorders>
              <w:top w:val="nil"/>
              <w:bottom w:val="single" w:sz="4" w:space="0" w:color="auto"/>
            </w:tcBorders>
            <w:vAlign w:val="center"/>
          </w:tcPr>
          <w:p w14:paraId="17BD86CD" w14:textId="1B0C5B67" w:rsidR="00000530" w:rsidRDefault="00000530" w:rsidP="00000530">
            <w:pPr>
              <w:jc w:val="center"/>
              <w:rPr>
                <w:lang w:bidi="ar-SA"/>
              </w:rPr>
            </w:pPr>
          </w:p>
        </w:tc>
        <w:tc>
          <w:tcPr>
            <w:tcW w:w="1518" w:type="dxa"/>
            <w:tcBorders>
              <w:top w:val="nil"/>
              <w:bottom w:val="single" w:sz="4" w:space="0" w:color="auto"/>
            </w:tcBorders>
            <w:vAlign w:val="center"/>
          </w:tcPr>
          <w:p w14:paraId="5CE935AC" w14:textId="77CE198A" w:rsidR="00000530" w:rsidRDefault="00000530" w:rsidP="00000530">
            <w:pPr>
              <w:jc w:val="center"/>
              <w:rPr>
                <w:lang w:bidi="ar-SA"/>
              </w:rPr>
            </w:pPr>
            <w:r>
              <w:rPr>
                <w:lang w:bidi="ar-SA"/>
              </w:rPr>
              <w:t>0,5295</w:t>
            </w:r>
          </w:p>
        </w:tc>
        <w:tc>
          <w:tcPr>
            <w:tcW w:w="2279" w:type="dxa"/>
            <w:tcBorders>
              <w:top w:val="nil"/>
              <w:bottom w:val="single" w:sz="4" w:space="0" w:color="auto"/>
            </w:tcBorders>
            <w:vAlign w:val="center"/>
          </w:tcPr>
          <w:p w14:paraId="79BCE118" w14:textId="79C53CAA" w:rsidR="00000530" w:rsidRDefault="00B451F7" w:rsidP="00000530">
            <w:pPr>
              <w:jc w:val="center"/>
              <w:rPr>
                <w:lang w:bidi="ar-SA"/>
              </w:rPr>
            </w:pPr>
            <w:r w:rsidRPr="00B451F7">
              <w:rPr>
                <w:lang w:bidi="ar-SA"/>
              </w:rPr>
              <w:t>0</w:t>
            </w:r>
            <w:r>
              <w:rPr>
                <w:lang w:bidi="ar-SA"/>
              </w:rPr>
              <w:t>,</w:t>
            </w:r>
            <w:r w:rsidRPr="00B451F7">
              <w:rPr>
                <w:lang w:bidi="ar-SA"/>
              </w:rPr>
              <w:t>9292</w:t>
            </w:r>
          </w:p>
        </w:tc>
      </w:tr>
      <w:tr w:rsidR="00B451F7" w:rsidRPr="00B451F7" w14:paraId="6007DE70" w14:textId="77777777" w:rsidTr="00B451F7">
        <w:trPr>
          <w:jc w:val="center"/>
        </w:trPr>
        <w:tc>
          <w:tcPr>
            <w:tcW w:w="1622" w:type="dxa"/>
            <w:tcBorders>
              <w:top w:val="single" w:sz="4" w:space="0" w:color="auto"/>
              <w:bottom w:val="nil"/>
            </w:tcBorders>
            <w:vAlign w:val="center"/>
          </w:tcPr>
          <w:p w14:paraId="6E78DF5B" w14:textId="6F5697C6" w:rsidR="00000530" w:rsidRDefault="00000530" w:rsidP="00000530">
            <w:pPr>
              <w:jc w:val="center"/>
              <w:rPr>
                <w:lang w:bidi="ar-SA"/>
              </w:rPr>
            </w:pPr>
            <w:r>
              <w:rPr>
                <w:lang w:bidi="ar-SA"/>
              </w:rPr>
              <w:t>Teste</w:t>
            </w:r>
          </w:p>
        </w:tc>
        <w:tc>
          <w:tcPr>
            <w:tcW w:w="1542" w:type="dxa"/>
            <w:tcBorders>
              <w:top w:val="single" w:sz="4" w:space="0" w:color="auto"/>
              <w:bottom w:val="nil"/>
            </w:tcBorders>
            <w:vAlign w:val="center"/>
          </w:tcPr>
          <w:p w14:paraId="2E1D9EEB" w14:textId="0C6366B9" w:rsidR="00000530" w:rsidRDefault="00000530" w:rsidP="00000530">
            <w:pPr>
              <w:jc w:val="center"/>
              <w:rPr>
                <w:lang w:bidi="ar-SA"/>
              </w:rPr>
            </w:pPr>
            <w:r>
              <w:rPr>
                <w:lang w:bidi="ar-SA"/>
              </w:rPr>
              <w:t>Acurácia</w:t>
            </w:r>
          </w:p>
        </w:tc>
        <w:tc>
          <w:tcPr>
            <w:tcW w:w="1597" w:type="dxa"/>
            <w:tcBorders>
              <w:top w:val="single" w:sz="4" w:space="0" w:color="auto"/>
              <w:bottom w:val="nil"/>
            </w:tcBorders>
            <w:vAlign w:val="center"/>
          </w:tcPr>
          <w:p w14:paraId="416676C3" w14:textId="77777777" w:rsidR="00000530" w:rsidRDefault="00000530" w:rsidP="00000530">
            <w:pPr>
              <w:jc w:val="center"/>
              <w:rPr>
                <w:lang w:bidi="ar-SA"/>
              </w:rPr>
            </w:pPr>
          </w:p>
        </w:tc>
        <w:tc>
          <w:tcPr>
            <w:tcW w:w="1518" w:type="dxa"/>
            <w:tcBorders>
              <w:top w:val="single" w:sz="4" w:space="0" w:color="auto"/>
              <w:bottom w:val="nil"/>
            </w:tcBorders>
            <w:vAlign w:val="center"/>
          </w:tcPr>
          <w:p w14:paraId="12E6E511" w14:textId="571184BF" w:rsidR="00000530" w:rsidRDefault="00000530" w:rsidP="00000530">
            <w:pPr>
              <w:jc w:val="center"/>
              <w:rPr>
                <w:lang w:bidi="ar-SA"/>
              </w:rPr>
            </w:pPr>
            <w:r w:rsidRPr="00000530">
              <w:rPr>
                <w:lang w:val="en-US" w:bidi="ar-SA"/>
              </w:rPr>
              <w:t>0</w:t>
            </w:r>
            <w:r>
              <w:rPr>
                <w:lang w:val="en-US" w:bidi="ar-SA"/>
              </w:rPr>
              <w:t>,</w:t>
            </w:r>
            <w:r w:rsidRPr="00000530">
              <w:rPr>
                <w:lang w:val="en-US" w:bidi="ar-SA"/>
              </w:rPr>
              <w:t>928</w:t>
            </w:r>
            <w:r w:rsidR="00B451F7">
              <w:rPr>
                <w:lang w:val="en-US" w:bidi="ar-SA"/>
              </w:rPr>
              <w:t>4</w:t>
            </w:r>
          </w:p>
        </w:tc>
        <w:tc>
          <w:tcPr>
            <w:tcW w:w="2279" w:type="dxa"/>
            <w:tcBorders>
              <w:top w:val="single" w:sz="4" w:space="0" w:color="auto"/>
              <w:bottom w:val="nil"/>
            </w:tcBorders>
            <w:vAlign w:val="center"/>
          </w:tcPr>
          <w:p w14:paraId="3EEE88EE" w14:textId="777EED6C" w:rsidR="00000530" w:rsidRPr="00B451F7" w:rsidRDefault="00B451F7" w:rsidP="00B451F7">
            <w:pPr>
              <w:jc w:val="center"/>
              <w:rPr>
                <w:lang w:val="en-US" w:bidi="ar-SA"/>
              </w:rPr>
            </w:pPr>
            <w:r w:rsidRPr="00B451F7">
              <w:rPr>
                <w:lang w:val="en-US" w:bidi="ar-SA"/>
              </w:rPr>
              <w:t>0</w:t>
            </w:r>
            <w:r>
              <w:rPr>
                <w:lang w:val="en-US" w:bidi="ar-SA"/>
              </w:rPr>
              <w:t>,</w:t>
            </w:r>
            <w:r w:rsidRPr="00B451F7">
              <w:rPr>
                <w:lang w:val="en-US" w:bidi="ar-SA"/>
              </w:rPr>
              <w:t>9106</w:t>
            </w:r>
          </w:p>
        </w:tc>
      </w:tr>
      <w:tr w:rsidR="00B451F7" w:rsidRPr="00B451F7" w14:paraId="2A99CF31" w14:textId="77777777" w:rsidTr="00B451F7">
        <w:trPr>
          <w:jc w:val="center"/>
        </w:trPr>
        <w:tc>
          <w:tcPr>
            <w:tcW w:w="1622" w:type="dxa"/>
            <w:tcBorders>
              <w:top w:val="nil"/>
              <w:bottom w:val="nil"/>
            </w:tcBorders>
            <w:vAlign w:val="center"/>
          </w:tcPr>
          <w:p w14:paraId="28ED4F92" w14:textId="77777777" w:rsidR="00000530" w:rsidRPr="00B451F7" w:rsidRDefault="00000530" w:rsidP="00000530">
            <w:pPr>
              <w:jc w:val="center"/>
              <w:rPr>
                <w:lang w:val="en-US" w:bidi="ar-SA"/>
              </w:rPr>
            </w:pPr>
          </w:p>
        </w:tc>
        <w:tc>
          <w:tcPr>
            <w:tcW w:w="1542" w:type="dxa"/>
            <w:tcBorders>
              <w:top w:val="nil"/>
              <w:bottom w:val="nil"/>
            </w:tcBorders>
            <w:vAlign w:val="center"/>
          </w:tcPr>
          <w:p w14:paraId="3312688F" w14:textId="5C68841F" w:rsidR="00000530" w:rsidRDefault="00000530" w:rsidP="00000530">
            <w:pPr>
              <w:jc w:val="center"/>
              <w:rPr>
                <w:lang w:bidi="ar-SA"/>
              </w:rPr>
            </w:pPr>
            <w:r>
              <w:rPr>
                <w:lang w:bidi="ar-SA"/>
              </w:rPr>
              <w:t>Escore F1</w:t>
            </w:r>
          </w:p>
        </w:tc>
        <w:tc>
          <w:tcPr>
            <w:tcW w:w="1597" w:type="dxa"/>
            <w:tcBorders>
              <w:top w:val="nil"/>
              <w:bottom w:val="nil"/>
            </w:tcBorders>
            <w:vAlign w:val="center"/>
          </w:tcPr>
          <w:p w14:paraId="64420B97" w14:textId="77777777" w:rsidR="00000530" w:rsidRDefault="00000530" w:rsidP="00000530">
            <w:pPr>
              <w:jc w:val="center"/>
              <w:rPr>
                <w:lang w:bidi="ar-SA"/>
              </w:rPr>
            </w:pPr>
          </w:p>
        </w:tc>
        <w:tc>
          <w:tcPr>
            <w:tcW w:w="1518" w:type="dxa"/>
            <w:tcBorders>
              <w:top w:val="nil"/>
              <w:bottom w:val="nil"/>
            </w:tcBorders>
            <w:vAlign w:val="center"/>
          </w:tcPr>
          <w:p w14:paraId="54C3914C" w14:textId="69343186" w:rsidR="00000530" w:rsidRDefault="00000530" w:rsidP="00000530">
            <w:pPr>
              <w:jc w:val="center"/>
              <w:rPr>
                <w:lang w:bidi="ar-SA"/>
              </w:rPr>
            </w:pPr>
            <w:r w:rsidRPr="00000530">
              <w:rPr>
                <w:lang w:val="en-US" w:bidi="ar-SA"/>
              </w:rPr>
              <w:t>0</w:t>
            </w:r>
            <w:r>
              <w:rPr>
                <w:lang w:val="en-US" w:bidi="ar-SA"/>
              </w:rPr>
              <w:t>,</w:t>
            </w:r>
            <w:r w:rsidRPr="00000530">
              <w:rPr>
                <w:lang w:val="en-US" w:bidi="ar-SA"/>
              </w:rPr>
              <w:t>109</w:t>
            </w:r>
            <w:r w:rsidR="00B451F7">
              <w:rPr>
                <w:lang w:val="en-US" w:bidi="ar-SA"/>
              </w:rPr>
              <w:t>8</w:t>
            </w:r>
          </w:p>
        </w:tc>
        <w:tc>
          <w:tcPr>
            <w:tcW w:w="2279" w:type="dxa"/>
            <w:tcBorders>
              <w:top w:val="nil"/>
              <w:bottom w:val="nil"/>
            </w:tcBorders>
            <w:vAlign w:val="center"/>
          </w:tcPr>
          <w:p w14:paraId="6DA9EA99" w14:textId="5B674224" w:rsidR="00000530" w:rsidRPr="00B451F7" w:rsidRDefault="00B451F7" w:rsidP="00B451F7">
            <w:pPr>
              <w:jc w:val="center"/>
              <w:rPr>
                <w:lang w:val="en-US" w:bidi="ar-SA"/>
              </w:rPr>
            </w:pPr>
            <w:r w:rsidRPr="00B451F7">
              <w:rPr>
                <w:lang w:val="en-US" w:bidi="ar-SA"/>
              </w:rPr>
              <w:t>0</w:t>
            </w:r>
            <w:r>
              <w:rPr>
                <w:lang w:val="en-US" w:bidi="ar-SA"/>
              </w:rPr>
              <w:t>,</w:t>
            </w:r>
            <w:r w:rsidRPr="00B451F7">
              <w:rPr>
                <w:lang w:val="en-US" w:bidi="ar-SA"/>
              </w:rPr>
              <w:t>3848</w:t>
            </w:r>
          </w:p>
        </w:tc>
      </w:tr>
      <w:tr w:rsidR="00B451F7" w14:paraId="02D93FB1" w14:textId="77777777" w:rsidTr="00B451F7">
        <w:trPr>
          <w:jc w:val="center"/>
        </w:trPr>
        <w:tc>
          <w:tcPr>
            <w:tcW w:w="1622" w:type="dxa"/>
            <w:tcBorders>
              <w:top w:val="nil"/>
              <w:bottom w:val="nil"/>
            </w:tcBorders>
            <w:vAlign w:val="center"/>
          </w:tcPr>
          <w:p w14:paraId="69AE5BF2" w14:textId="77777777" w:rsidR="00000530" w:rsidRPr="00B451F7" w:rsidRDefault="00000530" w:rsidP="00000530">
            <w:pPr>
              <w:jc w:val="center"/>
              <w:rPr>
                <w:lang w:val="en-US" w:bidi="ar-SA"/>
              </w:rPr>
            </w:pPr>
          </w:p>
        </w:tc>
        <w:tc>
          <w:tcPr>
            <w:tcW w:w="1542" w:type="dxa"/>
            <w:tcBorders>
              <w:top w:val="nil"/>
              <w:bottom w:val="nil"/>
            </w:tcBorders>
            <w:vAlign w:val="center"/>
          </w:tcPr>
          <w:p w14:paraId="610A4840" w14:textId="30A18CF4" w:rsidR="00000530" w:rsidRDefault="00000530" w:rsidP="00000530">
            <w:pPr>
              <w:jc w:val="center"/>
              <w:rPr>
                <w:lang w:bidi="ar-SA"/>
              </w:rPr>
            </w:pPr>
            <w:r>
              <w:rPr>
                <w:lang w:bidi="ar-SA"/>
              </w:rPr>
              <w:t>Recall</w:t>
            </w:r>
          </w:p>
        </w:tc>
        <w:tc>
          <w:tcPr>
            <w:tcW w:w="1597" w:type="dxa"/>
            <w:tcBorders>
              <w:top w:val="nil"/>
              <w:bottom w:val="nil"/>
            </w:tcBorders>
            <w:vAlign w:val="center"/>
          </w:tcPr>
          <w:p w14:paraId="6282AA52" w14:textId="77777777" w:rsidR="00000530" w:rsidRDefault="00000530" w:rsidP="00000530">
            <w:pPr>
              <w:jc w:val="center"/>
              <w:rPr>
                <w:lang w:bidi="ar-SA"/>
              </w:rPr>
            </w:pPr>
          </w:p>
        </w:tc>
        <w:tc>
          <w:tcPr>
            <w:tcW w:w="1518" w:type="dxa"/>
            <w:tcBorders>
              <w:top w:val="nil"/>
              <w:bottom w:val="nil"/>
            </w:tcBorders>
            <w:vAlign w:val="center"/>
          </w:tcPr>
          <w:p w14:paraId="49CCFB48" w14:textId="125CCEC7" w:rsidR="00000530" w:rsidRDefault="00000530" w:rsidP="00000530">
            <w:pPr>
              <w:jc w:val="center"/>
              <w:rPr>
                <w:lang w:bidi="ar-SA"/>
              </w:rPr>
            </w:pPr>
            <w:r w:rsidRPr="00000530">
              <w:rPr>
                <w:lang w:val="en-US" w:bidi="ar-SA"/>
              </w:rPr>
              <w:t>0</w:t>
            </w:r>
            <w:r>
              <w:rPr>
                <w:lang w:val="en-US" w:bidi="ar-SA"/>
              </w:rPr>
              <w:t>,</w:t>
            </w:r>
            <w:r w:rsidRPr="00000530">
              <w:rPr>
                <w:lang w:val="en-US" w:bidi="ar-SA"/>
              </w:rPr>
              <w:t>0628</w:t>
            </w:r>
          </w:p>
        </w:tc>
        <w:tc>
          <w:tcPr>
            <w:tcW w:w="2279" w:type="dxa"/>
            <w:tcBorders>
              <w:top w:val="nil"/>
              <w:bottom w:val="nil"/>
            </w:tcBorders>
            <w:vAlign w:val="center"/>
          </w:tcPr>
          <w:p w14:paraId="57D0DDC9" w14:textId="23614D4D" w:rsidR="00000530" w:rsidRDefault="00B451F7" w:rsidP="00B451F7">
            <w:pPr>
              <w:jc w:val="center"/>
              <w:rPr>
                <w:lang w:bidi="ar-SA"/>
              </w:rPr>
            </w:pPr>
            <w:r w:rsidRPr="00B451F7">
              <w:rPr>
                <w:lang w:val="en-US" w:bidi="ar-SA"/>
              </w:rPr>
              <w:t>0</w:t>
            </w:r>
            <w:r>
              <w:rPr>
                <w:lang w:val="en-US" w:bidi="ar-SA"/>
              </w:rPr>
              <w:t>,</w:t>
            </w:r>
            <w:r w:rsidRPr="00B451F7">
              <w:rPr>
                <w:lang w:val="en-US" w:bidi="ar-SA"/>
              </w:rPr>
              <w:t>3979</w:t>
            </w:r>
          </w:p>
        </w:tc>
      </w:tr>
      <w:tr w:rsidR="00B451F7" w14:paraId="0303A081" w14:textId="77777777" w:rsidTr="00B451F7">
        <w:trPr>
          <w:jc w:val="center"/>
        </w:trPr>
        <w:tc>
          <w:tcPr>
            <w:tcW w:w="1622" w:type="dxa"/>
            <w:tcBorders>
              <w:top w:val="nil"/>
              <w:bottom w:val="nil"/>
            </w:tcBorders>
            <w:vAlign w:val="center"/>
          </w:tcPr>
          <w:p w14:paraId="636D0A58" w14:textId="77777777" w:rsidR="00000530" w:rsidRDefault="00000530" w:rsidP="00000530">
            <w:pPr>
              <w:jc w:val="center"/>
              <w:rPr>
                <w:lang w:bidi="ar-SA"/>
              </w:rPr>
            </w:pPr>
          </w:p>
        </w:tc>
        <w:tc>
          <w:tcPr>
            <w:tcW w:w="1542" w:type="dxa"/>
            <w:tcBorders>
              <w:top w:val="nil"/>
              <w:bottom w:val="nil"/>
            </w:tcBorders>
            <w:vAlign w:val="center"/>
          </w:tcPr>
          <w:p w14:paraId="6932AFC7" w14:textId="40A93180" w:rsidR="00000530" w:rsidRDefault="00000530" w:rsidP="00000530">
            <w:pPr>
              <w:jc w:val="center"/>
              <w:rPr>
                <w:lang w:bidi="ar-SA"/>
              </w:rPr>
            </w:pPr>
            <w:r>
              <w:rPr>
                <w:lang w:bidi="ar-SA"/>
              </w:rPr>
              <w:t>Precisão</w:t>
            </w:r>
          </w:p>
        </w:tc>
        <w:tc>
          <w:tcPr>
            <w:tcW w:w="1597" w:type="dxa"/>
            <w:tcBorders>
              <w:top w:val="nil"/>
              <w:bottom w:val="nil"/>
            </w:tcBorders>
            <w:vAlign w:val="center"/>
          </w:tcPr>
          <w:p w14:paraId="588E6605" w14:textId="77777777" w:rsidR="00000530" w:rsidRDefault="00000530" w:rsidP="00000530">
            <w:pPr>
              <w:jc w:val="center"/>
              <w:rPr>
                <w:lang w:bidi="ar-SA"/>
              </w:rPr>
            </w:pPr>
          </w:p>
        </w:tc>
        <w:tc>
          <w:tcPr>
            <w:tcW w:w="1518" w:type="dxa"/>
            <w:tcBorders>
              <w:top w:val="nil"/>
              <w:bottom w:val="nil"/>
            </w:tcBorders>
            <w:vAlign w:val="center"/>
          </w:tcPr>
          <w:p w14:paraId="69ECA9E7" w14:textId="0D756DC1" w:rsidR="00000530" w:rsidRDefault="00000530" w:rsidP="00000530">
            <w:pPr>
              <w:jc w:val="center"/>
              <w:rPr>
                <w:lang w:bidi="ar-SA"/>
              </w:rPr>
            </w:pPr>
            <w:r w:rsidRPr="00000530">
              <w:rPr>
                <w:lang w:val="en-US" w:bidi="ar-SA"/>
              </w:rPr>
              <w:t>0</w:t>
            </w:r>
            <w:r>
              <w:rPr>
                <w:lang w:val="en-US" w:bidi="ar-SA"/>
              </w:rPr>
              <w:t>,</w:t>
            </w:r>
            <w:r w:rsidRPr="00000530">
              <w:rPr>
                <w:lang w:val="en-US" w:bidi="ar-SA"/>
              </w:rPr>
              <w:t>4332</w:t>
            </w:r>
          </w:p>
        </w:tc>
        <w:tc>
          <w:tcPr>
            <w:tcW w:w="2279" w:type="dxa"/>
            <w:tcBorders>
              <w:top w:val="nil"/>
              <w:bottom w:val="nil"/>
            </w:tcBorders>
            <w:vAlign w:val="center"/>
          </w:tcPr>
          <w:p w14:paraId="373EE5D3" w14:textId="36E555F7" w:rsidR="00000530" w:rsidRDefault="00B451F7" w:rsidP="00B451F7">
            <w:pPr>
              <w:jc w:val="center"/>
              <w:rPr>
                <w:lang w:bidi="ar-SA"/>
              </w:rPr>
            </w:pPr>
            <w:r w:rsidRPr="00B451F7">
              <w:rPr>
                <w:lang w:val="en-US" w:bidi="ar-SA"/>
              </w:rPr>
              <w:t>0</w:t>
            </w:r>
            <w:r>
              <w:rPr>
                <w:lang w:val="en-US" w:bidi="ar-SA"/>
              </w:rPr>
              <w:t>,</w:t>
            </w:r>
            <w:r w:rsidRPr="00B451F7">
              <w:rPr>
                <w:lang w:val="en-US" w:bidi="ar-SA"/>
              </w:rPr>
              <w:t>372</w:t>
            </w:r>
            <w:r>
              <w:rPr>
                <w:lang w:val="en-US" w:bidi="ar-SA"/>
              </w:rPr>
              <w:t>6</w:t>
            </w:r>
          </w:p>
        </w:tc>
      </w:tr>
      <w:tr w:rsidR="00B451F7" w14:paraId="2A251144" w14:textId="77777777" w:rsidTr="00B451F7">
        <w:trPr>
          <w:jc w:val="center"/>
        </w:trPr>
        <w:tc>
          <w:tcPr>
            <w:tcW w:w="1622" w:type="dxa"/>
            <w:tcBorders>
              <w:top w:val="nil"/>
              <w:bottom w:val="nil"/>
            </w:tcBorders>
            <w:vAlign w:val="center"/>
          </w:tcPr>
          <w:p w14:paraId="3D3127F7" w14:textId="77777777" w:rsidR="00000530" w:rsidRDefault="00000530" w:rsidP="00000530">
            <w:pPr>
              <w:jc w:val="center"/>
              <w:rPr>
                <w:lang w:bidi="ar-SA"/>
              </w:rPr>
            </w:pPr>
          </w:p>
        </w:tc>
        <w:tc>
          <w:tcPr>
            <w:tcW w:w="1542" w:type="dxa"/>
            <w:tcBorders>
              <w:top w:val="nil"/>
              <w:bottom w:val="nil"/>
            </w:tcBorders>
            <w:vAlign w:val="center"/>
          </w:tcPr>
          <w:p w14:paraId="21D703EE" w14:textId="35DCD291" w:rsidR="00000530" w:rsidRDefault="00000530" w:rsidP="00000530">
            <w:pPr>
              <w:jc w:val="center"/>
              <w:rPr>
                <w:lang w:bidi="ar-SA"/>
              </w:rPr>
            </w:pPr>
            <w:r>
              <w:rPr>
                <w:lang w:bidi="ar-SA"/>
              </w:rPr>
              <w:t>Escore KS</w:t>
            </w:r>
          </w:p>
        </w:tc>
        <w:tc>
          <w:tcPr>
            <w:tcW w:w="1597" w:type="dxa"/>
            <w:tcBorders>
              <w:top w:val="nil"/>
              <w:bottom w:val="nil"/>
            </w:tcBorders>
            <w:vAlign w:val="center"/>
          </w:tcPr>
          <w:p w14:paraId="50BE79BB" w14:textId="77777777" w:rsidR="00000530" w:rsidRDefault="00000530" w:rsidP="00000530">
            <w:pPr>
              <w:jc w:val="center"/>
              <w:rPr>
                <w:lang w:bidi="ar-SA"/>
              </w:rPr>
            </w:pPr>
          </w:p>
        </w:tc>
        <w:tc>
          <w:tcPr>
            <w:tcW w:w="1518" w:type="dxa"/>
            <w:tcBorders>
              <w:top w:val="nil"/>
              <w:bottom w:val="nil"/>
            </w:tcBorders>
            <w:vAlign w:val="center"/>
          </w:tcPr>
          <w:p w14:paraId="3650E495" w14:textId="6D004733" w:rsidR="00000530" w:rsidRDefault="00000530" w:rsidP="00000530">
            <w:pPr>
              <w:jc w:val="center"/>
              <w:rPr>
                <w:lang w:bidi="ar-SA"/>
              </w:rPr>
            </w:pPr>
            <w:r>
              <w:rPr>
                <w:lang w:bidi="ar-SA"/>
              </w:rPr>
              <w:t>0,</w:t>
            </w:r>
            <w:r w:rsidRPr="00000530">
              <w:rPr>
                <w:lang w:bidi="ar-SA"/>
              </w:rPr>
              <w:t>7795</w:t>
            </w:r>
          </w:p>
        </w:tc>
        <w:tc>
          <w:tcPr>
            <w:tcW w:w="2279" w:type="dxa"/>
            <w:tcBorders>
              <w:top w:val="nil"/>
              <w:bottom w:val="nil"/>
            </w:tcBorders>
            <w:vAlign w:val="center"/>
          </w:tcPr>
          <w:p w14:paraId="585E0650" w14:textId="77777777" w:rsidR="00000530" w:rsidRDefault="00000530" w:rsidP="00B451F7">
            <w:pPr>
              <w:jc w:val="center"/>
              <w:rPr>
                <w:lang w:bidi="ar-SA"/>
              </w:rPr>
            </w:pPr>
          </w:p>
        </w:tc>
      </w:tr>
      <w:tr w:rsidR="00B451F7" w14:paraId="5A8EDBEA" w14:textId="77777777" w:rsidTr="00B451F7">
        <w:trPr>
          <w:jc w:val="center"/>
        </w:trPr>
        <w:tc>
          <w:tcPr>
            <w:tcW w:w="1622" w:type="dxa"/>
            <w:tcBorders>
              <w:top w:val="nil"/>
              <w:bottom w:val="single" w:sz="4" w:space="0" w:color="auto"/>
            </w:tcBorders>
            <w:vAlign w:val="center"/>
          </w:tcPr>
          <w:p w14:paraId="6B142E40" w14:textId="77777777" w:rsidR="00000530" w:rsidRDefault="00000530" w:rsidP="00000530">
            <w:pPr>
              <w:jc w:val="center"/>
              <w:rPr>
                <w:lang w:bidi="ar-SA"/>
              </w:rPr>
            </w:pPr>
          </w:p>
        </w:tc>
        <w:tc>
          <w:tcPr>
            <w:tcW w:w="1542" w:type="dxa"/>
            <w:tcBorders>
              <w:top w:val="nil"/>
              <w:bottom w:val="single" w:sz="4" w:space="0" w:color="auto"/>
            </w:tcBorders>
            <w:vAlign w:val="center"/>
          </w:tcPr>
          <w:p w14:paraId="003F3135" w14:textId="7386E10F" w:rsidR="00000530" w:rsidRDefault="00000530" w:rsidP="00000530">
            <w:pPr>
              <w:jc w:val="center"/>
              <w:rPr>
                <w:lang w:bidi="ar-SA"/>
              </w:rPr>
            </w:pPr>
            <w:r>
              <w:rPr>
                <w:lang w:bidi="ar-SA"/>
              </w:rPr>
              <w:t>AUC</w:t>
            </w:r>
          </w:p>
        </w:tc>
        <w:tc>
          <w:tcPr>
            <w:tcW w:w="1597" w:type="dxa"/>
            <w:tcBorders>
              <w:top w:val="nil"/>
              <w:bottom w:val="single" w:sz="4" w:space="0" w:color="auto"/>
            </w:tcBorders>
            <w:vAlign w:val="center"/>
          </w:tcPr>
          <w:p w14:paraId="134F7DB9" w14:textId="77777777" w:rsidR="00000530" w:rsidRDefault="00000530" w:rsidP="00000530">
            <w:pPr>
              <w:jc w:val="center"/>
              <w:rPr>
                <w:lang w:bidi="ar-SA"/>
              </w:rPr>
            </w:pPr>
          </w:p>
        </w:tc>
        <w:tc>
          <w:tcPr>
            <w:tcW w:w="1518" w:type="dxa"/>
            <w:tcBorders>
              <w:top w:val="nil"/>
              <w:bottom w:val="single" w:sz="4" w:space="0" w:color="auto"/>
            </w:tcBorders>
            <w:vAlign w:val="center"/>
          </w:tcPr>
          <w:p w14:paraId="6B96CFEA" w14:textId="3EB8514F" w:rsidR="00000530" w:rsidRDefault="00000530" w:rsidP="00000530">
            <w:pPr>
              <w:jc w:val="center"/>
              <w:rPr>
                <w:lang w:bidi="ar-SA"/>
              </w:rPr>
            </w:pPr>
            <w:r>
              <w:rPr>
                <w:lang w:bidi="ar-SA"/>
              </w:rPr>
              <w:t>0,</w:t>
            </w:r>
            <w:r w:rsidRPr="00000530">
              <w:rPr>
                <w:lang w:bidi="ar-SA"/>
              </w:rPr>
              <w:t>5283</w:t>
            </w:r>
          </w:p>
        </w:tc>
        <w:tc>
          <w:tcPr>
            <w:tcW w:w="2279" w:type="dxa"/>
            <w:tcBorders>
              <w:top w:val="nil"/>
              <w:bottom w:val="single" w:sz="4" w:space="0" w:color="auto"/>
            </w:tcBorders>
            <w:vAlign w:val="center"/>
          </w:tcPr>
          <w:p w14:paraId="13B32493" w14:textId="0A7DE61C" w:rsidR="00000530" w:rsidRDefault="00B451F7" w:rsidP="00B451F7">
            <w:pPr>
              <w:jc w:val="center"/>
              <w:rPr>
                <w:lang w:bidi="ar-SA"/>
              </w:rPr>
            </w:pPr>
            <w:r w:rsidRPr="00B451F7">
              <w:rPr>
                <w:lang w:val="en-US" w:bidi="ar-SA"/>
              </w:rPr>
              <w:t>0</w:t>
            </w:r>
            <w:r>
              <w:rPr>
                <w:lang w:val="en-US" w:bidi="ar-SA"/>
              </w:rPr>
              <w:t>,</w:t>
            </w:r>
            <w:r w:rsidRPr="00B451F7">
              <w:rPr>
                <w:lang w:val="en-US" w:bidi="ar-SA"/>
              </w:rPr>
              <w:t>8819</w:t>
            </w:r>
          </w:p>
        </w:tc>
      </w:tr>
      <w:tr w:rsidR="00B451F7" w:rsidRPr="00B451F7" w14:paraId="66E1753D" w14:textId="77777777" w:rsidTr="00B451F7">
        <w:trPr>
          <w:jc w:val="center"/>
        </w:trPr>
        <w:tc>
          <w:tcPr>
            <w:tcW w:w="1622" w:type="dxa"/>
            <w:tcBorders>
              <w:top w:val="single" w:sz="4" w:space="0" w:color="auto"/>
            </w:tcBorders>
            <w:vAlign w:val="center"/>
          </w:tcPr>
          <w:p w14:paraId="2C226843" w14:textId="06E802B0" w:rsidR="00B451F7" w:rsidRDefault="00B451F7" w:rsidP="00B451F7">
            <w:pPr>
              <w:jc w:val="center"/>
              <w:rPr>
                <w:lang w:bidi="ar-SA"/>
              </w:rPr>
            </w:pPr>
            <w:r>
              <w:rPr>
                <w:lang w:bidi="ar-SA"/>
              </w:rPr>
              <w:t>Out-of-sample</w:t>
            </w:r>
          </w:p>
        </w:tc>
        <w:tc>
          <w:tcPr>
            <w:tcW w:w="1542" w:type="dxa"/>
            <w:tcBorders>
              <w:top w:val="single" w:sz="4" w:space="0" w:color="auto"/>
            </w:tcBorders>
            <w:vAlign w:val="center"/>
          </w:tcPr>
          <w:p w14:paraId="3F068B83" w14:textId="1D0A13E7" w:rsidR="00B451F7" w:rsidRDefault="00B451F7" w:rsidP="00B451F7">
            <w:pPr>
              <w:jc w:val="center"/>
              <w:rPr>
                <w:lang w:bidi="ar-SA"/>
              </w:rPr>
            </w:pPr>
            <w:r>
              <w:rPr>
                <w:lang w:bidi="ar-SA"/>
              </w:rPr>
              <w:t>Acurácia</w:t>
            </w:r>
          </w:p>
        </w:tc>
        <w:tc>
          <w:tcPr>
            <w:tcW w:w="1597" w:type="dxa"/>
            <w:tcBorders>
              <w:top w:val="single" w:sz="4" w:space="0" w:color="auto"/>
            </w:tcBorders>
            <w:vAlign w:val="center"/>
          </w:tcPr>
          <w:p w14:paraId="7922EAC4" w14:textId="77777777" w:rsidR="00B451F7" w:rsidRDefault="00B451F7" w:rsidP="00B451F7">
            <w:pPr>
              <w:jc w:val="center"/>
              <w:rPr>
                <w:lang w:bidi="ar-SA"/>
              </w:rPr>
            </w:pPr>
          </w:p>
        </w:tc>
        <w:tc>
          <w:tcPr>
            <w:tcW w:w="1518" w:type="dxa"/>
            <w:tcBorders>
              <w:top w:val="single" w:sz="4" w:space="0" w:color="auto"/>
            </w:tcBorders>
            <w:vAlign w:val="center"/>
          </w:tcPr>
          <w:p w14:paraId="4B955AA9" w14:textId="484B53FB" w:rsidR="00B451F7" w:rsidRDefault="00B451F7" w:rsidP="00B451F7">
            <w:pPr>
              <w:jc w:val="center"/>
              <w:rPr>
                <w:lang w:bidi="ar-SA"/>
              </w:rPr>
            </w:pPr>
            <w:r w:rsidRPr="00000530">
              <w:rPr>
                <w:lang w:val="en-US" w:bidi="ar-SA"/>
              </w:rPr>
              <w:t>0</w:t>
            </w:r>
            <w:r>
              <w:rPr>
                <w:lang w:val="en-US" w:bidi="ar-SA"/>
              </w:rPr>
              <w:t>,</w:t>
            </w:r>
            <w:r w:rsidRPr="00000530">
              <w:rPr>
                <w:lang w:val="en-US" w:bidi="ar-SA"/>
              </w:rPr>
              <w:t>9286</w:t>
            </w:r>
          </w:p>
        </w:tc>
        <w:tc>
          <w:tcPr>
            <w:tcW w:w="2279" w:type="dxa"/>
            <w:tcBorders>
              <w:top w:val="single" w:sz="4" w:space="0" w:color="auto"/>
            </w:tcBorders>
            <w:vAlign w:val="center"/>
          </w:tcPr>
          <w:p w14:paraId="3BC3F02B" w14:textId="38D46EA4" w:rsidR="00B451F7" w:rsidRPr="00B451F7" w:rsidRDefault="00B451F7" w:rsidP="00B451F7">
            <w:pPr>
              <w:jc w:val="center"/>
              <w:rPr>
                <w:lang w:val="en-US" w:bidi="ar-SA"/>
              </w:rPr>
            </w:pPr>
            <w:r w:rsidRPr="00B451F7">
              <w:rPr>
                <w:lang w:val="en-US" w:bidi="ar-SA"/>
              </w:rPr>
              <w:t>0</w:t>
            </w:r>
            <w:r>
              <w:rPr>
                <w:lang w:val="en-US" w:bidi="ar-SA"/>
              </w:rPr>
              <w:t>,</w:t>
            </w:r>
            <w:r w:rsidRPr="00B451F7">
              <w:rPr>
                <w:lang w:val="en-US" w:bidi="ar-SA"/>
              </w:rPr>
              <w:t>911</w:t>
            </w:r>
            <w:r>
              <w:rPr>
                <w:lang w:val="en-US" w:bidi="ar-SA"/>
              </w:rPr>
              <w:t>3</w:t>
            </w:r>
          </w:p>
        </w:tc>
      </w:tr>
      <w:tr w:rsidR="00B451F7" w14:paraId="37544A5B" w14:textId="77777777" w:rsidTr="00B451F7">
        <w:trPr>
          <w:jc w:val="center"/>
        </w:trPr>
        <w:tc>
          <w:tcPr>
            <w:tcW w:w="1622" w:type="dxa"/>
            <w:vAlign w:val="center"/>
          </w:tcPr>
          <w:p w14:paraId="725B9A45" w14:textId="77777777" w:rsidR="00B451F7" w:rsidRPr="00B451F7" w:rsidRDefault="00B451F7" w:rsidP="00B451F7">
            <w:pPr>
              <w:jc w:val="center"/>
              <w:rPr>
                <w:lang w:val="en-US" w:bidi="ar-SA"/>
              </w:rPr>
            </w:pPr>
          </w:p>
        </w:tc>
        <w:tc>
          <w:tcPr>
            <w:tcW w:w="1542" w:type="dxa"/>
            <w:vAlign w:val="center"/>
          </w:tcPr>
          <w:p w14:paraId="3F3A4599" w14:textId="26AA3C71" w:rsidR="00B451F7" w:rsidRPr="00B451F7" w:rsidRDefault="00B451F7" w:rsidP="00B451F7">
            <w:pPr>
              <w:jc w:val="center"/>
              <w:rPr>
                <w:lang w:val="en-US" w:bidi="ar-SA"/>
              </w:rPr>
            </w:pPr>
            <w:r>
              <w:rPr>
                <w:lang w:bidi="ar-SA"/>
              </w:rPr>
              <w:t>Escore F1</w:t>
            </w:r>
          </w:p>
        </w:tc>
        <w:tc>
          <w:tcPr>
            <w:tcW w:w="1597" w:type="dxa"/>
            <w:vAlign w:val="center"/>
          </w:tcPr>
          <w:p w14:paraId="398CD43A" w14:textId="77777777" w:rsidR="00B451F7" w:rsidRPr="00B451F7" w:rsidRDefault="00B451F7" w:rsidP="00B451F7">
            <w:pPr>
              <w:jc w:val="center"/>
              <w:rPr>
                <w:lang w:val="en-US" w:bidi="ar-SA"/>
              </w:rPr>
            </w:pPr>
          </w:p>
        </w:tc>
        <w:tc>
          <w:tcPr>
            <w:tcW w:w="1518" w:type="dxa"/>
            <w:vAlign w:val="center"/>
          </w:tcPr>
          <w:p w14:paraId="6AB68025" w14:textId="43E2FB99" w:rsidR="00B451F7" w:rsidRDefault="00B451F7" w:rsidP="00B451F7">
            <w:pPr>
              <w:jc w:val="center"/>
              <w:rPr>
                <w:lang w:bidi="ar-SA"/>
              </w:rPr>
            </w:pPr>
            <w:r w:rsidRPr="00000530">
              <w:rPr>
                <w:lang w:val="en-US" w:bidi="ar-SA"/>
              </w:rPr>
              <w:t>0</w:t>
            </w:r>
            <w:r>
              <w:rPr>
                <w:lang w:val="en-US" w:bidi="ar-SA"/>
              </w:rPr>
              <w:t>,</w:t>
            </w:r>
            <w:r w:rsidRPr="00000530">
              <w:rPr>
                <w:lang w:val="en-US" w:bidi="ar-SA"/>
              </w:rPr>
              <w:t>113</w:t>
            </w:r>
            <w:r>
              <w:rPr>
                <w:lang w:val="en-US" w:bidi="ar-SA"/>
              </w:rPr>
              <w:t>8</w:t>
            </w:r>
          </w:p>
        </w:tc>
        <w:tc>
          <w:tcPr>
            <w:tcW w:w="2279" w:type="dxa"/>
            <w:vAlign w:val="center"/>
          </w:tcPr>
          <w:p w14:paraId="765F0BCA" w14:textId="3C96A16F" w:rsidR="00B451F7" w:rsidRPr="00B451F7" w:rsidRDefault="00B451F7" w:rsidP="00B451F7">
            <w:pPr>
              <w:jc w:val="center"/>
              <w:rPr>
                <w:lang w:val="en-US" w:bidi="ar-SA"/>
              </w:rPr>
            </w:pPr>
            <w:r w:rsidRPr="00B451F7">
              <w:rPr>
                <w:lang w:val="en-US" w:bidi="ar-SA"/>
              </w:rPr>
              <w:t>0</w:t>
            </w:r>
            <w:r>
              <w:rPr>
                <w:lang w:val="en-US" w:bidi="ar-SA"/>
              </w:rPr>
              <w:t>,</w:t>
            </w:r>
            <w:r w:rsidRPr="00B451F7">
              <w:rPr>
                <w:lang w:val="en-US" w:bidi="ar-SA"/>
              </w:rPr>
              <w:t>388</w:t>
            </w:r>
            <w:r>
              <w:rPr>
                <w:lang w:val="en-US" w:bidi="ar-SA"/>
              </w:rPr>
              <w:t>5</w:t>
            </w:r>
          </w:p>
        </w:tc>
      </w:tr>
      <w:tr w:rsidR="00B451F7" w14:paraId="39F366CA" w14:textId="77777777" w:rsidTr="00B451F7">
        <w:trPr>
          <w:jc w:val="center"/>
        </w:trPr>
        <w:tc>
          <w:tcPr>
            <w:tcW w:w="1622" w:type="dxa"/>
            <w:vAlign w:val="center"/>
          </w:tcPr>
          <w:p w14:paraId="37B55635" w14:textId="77777777" w:rsidR="00B451F7" w:rsidRDefault="00B451F7" w:rsidP="00B451F7">
            <w:pPr>
              <w:jc w:val="center"/>
              <w:rPr>
                <w:lang w:bidi="ar-SA"/>
              </w:rPr>
            </w:pPr>
          </w:p>
        </w:tc>
        <w:tc>
          <w:tcPr>
            <w:tcW w:w="1542" w:type="dxa"/>
            <w:vAlign w:val="center"/>
          </w:tcPr>
          <w:p w14:paraId="42B8FE3A" w14:textId="6BDD8561" w:rsidR="00B451F7" w:rsidRDefault="00B451F7" w:rsidP="00B451F7">
            <w:pPr>
              <w:jc w:val="center"/>
              <w:rPr>
                <w:lang w:bidi="ar-SA"/>
              </w:rPr>
            </w:pPr>
            <w:r>
              <w:rPr>
                <w:lang w:bidi="ar-SA"/>
              </w:rPr>
              <w:t>Recall</w:t>
            </w:r>
          </w:p>
        </w:tc>
        <w:tc>
          <w:tcPr>
            <w:tcW w:w="1597" w:type="dxa"/>
            <w:vAlign w:val="center"/>
          </w:tcPr>
          <w:p w14:paraId="4DFDE224" w14:textId="77777777" w:rsidR="00B451F7" w:rsidRDefault="00B451F7" w:rsidP="00B451F7">
            <w:pPr>
              <w:jc w:val="center"/>
              <w:rPr>
                <w:lang w:bidi="ar-SA"/>
              </w:rPr>
            </w:pPr>
          </w:p>
        </w:tc>
        <w:tc>
          <w:tcPr>
            <w:tcW w:w="1518" w:type="dxa"/>
            <w:vAlign w:val="center"/>
          </w:tcPr>
          <w:p w14:paraId="1FD96E93" w14:textId="75DAEABB" w:rsidR="00B451F7" w:rsidRDefault="00B451F7" w:rsidP="00B451F7">
            <w:pPr>
              <w:jc w:val="center"/>
              <w:rPr>
                <w:lang w:bidi="ar-SA"/>
              </w:rPr>
            </w:pPr>
            <w:r w:rsidRPr="00000530">
              <w:rPr>
                <w:lang w:val="en-US" w:bidi="ar-SA"/>
              </w:rPr>
              <w:t>0</w:t>
            </w:r>
            <w:r>
              <w:rPr>
                <w:lang w:val="en-US" w:bidi="ar-SA"/>
              </w:rPr>
              <w:t>,</w:t>
            </w:r>
            <w:r w:rsidRPr="00000530">
              <w:rPr>
                <w:lang w:val="en-US" w:bidi="ar-SA"/>
              </w:rPr>
              <w:t>0662</w:t>
            </w:r>
          </w:p>
        </w:tc>
        <w:tc>
          <w:tcPr>
            <w:tcW w:w="2279" w:type="dxa"/>
            <w:vAlign w:val="center"/>
          </w:tcPr>
          <w:p w14:paraId="7373BBAA" w14:textId="0FEDF3A9" w:rsidR="00B451F7" w:rsidRDefault="00B451F7" w:rsidP="00B451F7">
            <w:pPr>
              <w:jc w:val="center"/>
              <w:rPr>
                <w:lang w:bidi="ar-SA"/>
              </w:rPr>
            </w:pPr>
            <w:r w:rsidRPr="00B451F7">
              <w:rPr>
                <w:lang w:val="en-US" w:bidi="ar-SA"/>
              </w:rPr>
              <w:t>0</w:t>
            </w:r>
            <w:r>
              <w:rPr>
                <w:lang w:val="en-US" w:bidi="ar-SA"/>
              </w:rPr>
              <w:t>,</w:t>
            </w:r>
            <w:r w:rsidRPr="00B451F7">
              <w:rPr>
                <w:lang w:val="en-US" w:bidi="ar-SA"/>
              </w:rPr>
              <w:t>407</w:t>
            </w:r>
            <w:r>
              <w:rPr>
                <w:lang w:val="en-US" w:bidi="ar-SA"/>
              </w:rPr>
              <w:t>5</w:t>
            </w:r>
          </w:p>
        </w:tc>
      </w:tr>
      <w:tr w:rsidR="00B451F7" w14:paraId="4920E99A" w14:textId="77777777" w:rsidTr="00B451F7">
        <w:trPr>
          <w:jc w:val="center"/>
        </w:trPr>
        <w:tc>
          <w:tcPr>
            <w:tcW w:w="1622" w:type="dxa"/>
            <w:vAlign w:val="center"/>
          </w:tcPr>
          <w:p w14:paraId="49BB1AF0" w14:textId="77777777" w:rsidR="00B451F7" w:rsidRDefault="00B451F7" w:rsidP="00B451F7">
            <w:pPr>
              <w:jc w:val="center"/>
              <w:rPr>
                <w:lang w:bidi="ar-SA"/>
              </w:rPr>
            </w:pPr>
          </w:p>
        </w:tc>
        <w:tc>
          <w:tcPr>
            <w:tcW w:w="1542" w:type="dxa"/>
            <w:vAlign w:val="center"/>
          </w:tcPr>
          <w:p w14:paraId="2A0554F0" w14:textId="2C52BB46" w:rsidR="00B451F7" w:rsidRDefault="00B451F7" w:rsidP="00B451F7">
            <w:pPr>
              <w:jc w:val="center"/>
              <w:rPr>
                <w:lang w:bidi="ar-SA"/>
              </w:rPr>
            </w:pPr>
            <w:r>
              <w:rPr>
                <w:lang w:bidi="ar-SA"/>
              </w:rPr>
              <w:t>Precisão</w:t>
            </w:r>
          </w:p>
        </w:tc>
        <w:tc>
          <w:tcPr>
            <w:tcW w:w="1597" w:type="dxa"/>
            <w:vAlign w:val="center"/>
          </w:tcPr>
          <w:p w14:paraId="2998364F" w14:textId="77777777" w:rsidR="00B451F7" w:rsidRDefault="00B451F7" w:rsidP="00B451F7">
            <w:pPr>
              <w:jc w:val="center"/>
              <w:rPr>
                <w:lang w:bidi="ar-SA"/>
              </w:rPr>
            </w:pPr>
          </w:p>
        </w:tc>
        <w:tc>
          <w:tcPr>
            <w:tcW w:w="1518" w:type="dxa"/>
            <w:vAlign w:val="center"/>
          </w:tcPr>
          <w:p w14:paraId="4F68343D" w14:textId="6A6BF314" w:rsidR="00B451F7" w:rsidRDefault="00B451F7" w:rsidP="00B451F7">
            <w:pPr>
              <w:jc w:val="center"/>
              <w:rPr>
                <w:lang w:bidi="ar-SA"/>
              </w:rPr>
            </w:pPr>
            <w:r w:rsidRPr="00000530">
              <w:rPr>
                <w:lang w:val="en-US" w:bidi="ar-SA"/>
              </w:rPr>
              <w:t>0</w:t>
            </w:r>
            <w:r>
              <w:rPr>
                <w:lang w:val="en-US" w:bidi="ar-SA"/>
              </w:rPr>
              <w:t>,</w:t>
            </w:r>
            <w:r w:rsidRPr="003B6A41">
              <w:rPr>
                <w:lang w:val="en-US" w:bidi="ar-SA"/>
              </w:rPr>
              <w:t>4035</w:t>
            </w:r>
          </w:p>
        </w:tc>
        <w:tc>
          <w:tcPr>
            <w:tcW w:w="2279" w:type="dxa"/>
            <w:vAlign w:val="center"/>
          </w:tcPr>
          <w:p w14:paraId="6BA8E332" w14:textId="2DC9E479" w:rsidR="00B451F7" w:rsidRDefault="00B451F7" w:rsidP="00B451F7">
            <w:pPr>
              <w:jc w:val="center"/>
              <w:rPr>
                <w:lang w:bidi="ar-SA"/>
              </w:rPr>
            </w:pPr>
            <w:r w:rsidRPr="00B451F7">
              <w:rPr>
                <w:lang w:val="en-US" w:bidi="ar-SA"/>
              </w:rPr>
              <w:t>0</w:t>
            </w:r>
            <w:r>
              <w:rPr>
                <w:lang w:val="en-US" w:bidi="ar-SA"/>
              </w:rPr>
              <w:t>,</w:t>
            </w:r>
            <w:r w:rsidRPr="00B451F7">
              <w:rPr>
                <w:lang w:val="en-US" w:bidi="ar-SA"/>
              </w:rPr>
              <w:t>371</w:t>
            </w:r>
            <w:r>
              <w:rPr>
                <w:lang w:val="en-US" w:bidi="ar-SA"/>
              </w:rPr>
              <w:t>2</w:t>
            </w:r>
          </w:p>
        </w:tc>
      </w:tr>
      <w:tr w:rsidR="00B451F7" w14:paraId="0E500BFE" w14:textId="77777777" w:rsidTr="00B451F7">
        <w:trPr>
          <w:jc w:val="center"/>
        </w:trPr>
        <w:tc>
          <w:tcPr>
            <w:tcW w:w="1622" w:type="dxa"/>
            <w:vAlign w:val="center"/>
          </w:tcPr>
          <w:p w14:paraId="0EAE9D47" w14:textId="77777777" w:rsidR="00B451F7" w:rsidRDefault="00B451F7" w:rsidP="00B451F7">
            <w:pPr>
              <w:jc w:val="center"/>
              <w:rPr>
                <w:lang w:bidi="ar-SA"/>
              </w:rPr>
            </w:pPr>
          </w:p>
        </w:tc>
        <w:tc>
          <w:tcPr>
            <w:tcW w:w="1542" w:type="dxa"/>
            <w:vAlign w:val="center"/>
          </w:tcPr>
          <w:p w14:paraId="5BD46896" w14:textId="7CE72898" w:rsidR="00B451F7" w:rsidRDefault="00B451F7" w:rsidP="00B451F7">
            <w:pPr>
              <w:jc w:val="center"/>
              <w:rPr>
                <w:lang w:bidi="ar-SA"/>
              </w:rPr>
            </w:pPr>
            <w:r>
              <w:rPr>
                <w:lang w:bidi="ar-SA"/>
              </w:rPr>
              <w:t>Escore KS</w:t>
            </w:r>
          </w:p>
        </w:tc>
        <w:tc>
          <w:tcPr>
            <w:tcW w:w="1597" w:type="dxa"/>
            <w:vAlign w:val="center"/>
          </w:tcPr>
          <w:p w14:paraId="7EBD1A61" w14:textId="77777777" w:rsidR="00B451F7" w:rsidRDefault="00B451F7" w:rsidP="00B451F7">
            <w:pPr>
              <w:jc w:val="center"/>
              <w:rPr>
                <w:lang w:bidi="ar-SA"/>
              </w:rPr>
            </w:pPr>
          </w:p>
        </w:tc>
        <w:tc>
          <w:tcPr>
            <w:tcW w:w="1518" w:type="dxa"/>
            <w:vAlign w:val="center"/>
          </w:tcPr>
          <w:p w14:paraId="37A9FDEA" w14:textId="4A593CE0" w:rsidR="00B451F7" w:rsidRDefault="00B451F7" w:rsidP="00B451F7">
            <w:pPr>
              <w:jc w:val="center"/>
              <w:rPr>
                <w:lang w:bidi="ar-SA"/>
              </w:rPr>
            </w:pPr>
            <w:r>
              <w:rPr>
                <w:lang w:bidi="ar-SA"/>
              </w:rPr>
              <w:t>0,</w:t>
            </w:r>
            <w:r w:rsidRPr="003B6A41">
              <w:rPr>
                <w:lang w:bidi="ar-SA"/>
              </w:rPr>
              <w:t>7712</w:t>
            </w:r>
          </w:p>
        </w:tc>
        <w:tc>
          <w:tcPr>
            <w:tcW w:w="2279" w:type="dxa"/>
            <w:vAlign w:val="center"/>
          </w:tcPr>
          <w:p w14:paraId="0F7ECB75" w14:textId="77777777" w:rsidR="00B451F7" w:rsidRDefault="00B451F7" w:rsidP="00B451F7">
            <w:pPr>
              <w:jc w:val="center"/>
              <w:rPr>
                <w:lang w:bidi="ar-SA"/>
              </w:rPr>
            </w:pPr>
          </w:p>
        </w:tc>
      </w:tr>
      <w:tr w:rsidR="00B451F7" w14:paraId="195BDDD2" w14:textId="77777777" w:rsidTr="00B451F7">
        <w:trPr>
          <w:jc w:val="center"/>
        </w:trPr>
        <w:tc>
          <w:tcPr>
            <w:tcW w:w="1622" w:type="dxa"/>
            <w:vAlign w:val="center"/>
          </w:tcPr>
          <w:p w14:paraId="2FE8C380" w14:textId="77777777" w:rsidR="00B451F7" w:rsidRDefault="00B451F7" w:rsidP="00B451F7">
            <w:pPr>
              <w:jc w:val="center"/>
              <w:rPr>
                <w:lang w:bidi="ar-SA"/>
              </w:rPr>
            </w:pPr>
          </w:p>
        </w:tc>
        <w:tc>
          <w:tcPr>
            <w:tcW w:w="1542" w:type="dxa"/>
            <w:vAlign w:val="center"/>
          </w:tcPr>
          <w:p w14:paraId="0FA0D022" w14:textId="4B0D49F3" w:rsidR="00B451F7" w:rsidRDefault="00B451F7" w:rsidP="00B451F7">
            <w:pPr>
              <w:jc w:val="center"/>
              <w:rPr>
                <w:lang w:bidi="ar-SA"/>
              </w:rPr>
            </w:pPr>
            <w:r>
              <w:rPr>
                <w:lang w:bidi="ar-SA"/>
              </w:rPr>
              <w:t>AUC</w:t>
            </w:r>
          </w:p>
        </w:tc>
        <w:tc>
          <w:tcPr>
            <w:tcW w:w="1597" w:type="dxa"/>
            <w:vAlign w:val="center"/>
          </w:tcPr>
          <w:p w14:paraId="275D5888" w14:textId="77777777" w:rsidR="00B451F7" w:rsidRDefault="00B451F7" w:rsidP="00B451F7">
            <w:pPr>
              <w:jc w:val="center"/>
              <w:rPr>
                <w:lang w:bidi="ar-SA"/>
              </w:rPr>
            </w:pPr>
          </w:p>
        </w:tc>
        <w:tc>
          <w:tcPr>
            <w:tcW w:w="1518" w:type="dxa"/>
            <w:vAlign w:val="center"/>
          </w:tcPr>
          <w:p w14:paraId="431A2B61" w14:textId="67468716" w:rsidR="00B451F7" w:rsidRDefault="00B451F7" w:rsidP="00B451F7">
            <w:pPr>
              <w:jc w:val="center"/>
              <w:rPr>
                <w:lang w:bidi="ar-SA"/>
              </w:rPr>
            </w:pPr>
            <w:r>
              <w:rPr>
                <w:lang w:bidi="ar-SA"/>
              </w:rPr>
              <w:t>0,</w:t>
            </w:r>
            <w:r w:rsidRPr="003B6A41">
              <w:rPr>
                <w:lang w:bidi="ar-SA"/>
              </w:rPr>
              <w:t>918</w:t>
            </w:r>
            <w:r>
              <w:rPr>
                <w:lang w:bidi="ar-SA"/>
              </w:rPr>
              <w:t>4</w:t>
            </w:r>
          </w:p>
        </w:tc>
        <w:tc>
          <w:tcPr>
            <w:tcW w:w="2279" w:type="dxa"/>
            <w:vAlign w:val="center"/>
          </w:tcPr>
          <w:p w14:paraId="5DFEF723" w14:textId="2460AD0A" w:rsidR="00B451F7" w:rsidRDefault="00B451F7" w:rsidP="00B451F7">
            <w:pPr>
              <w:jc w:val="center"/>
              <w:rPr>
                <w:lang w:bidi="ar-SA"/>
              </w:rPr>
            </w:pPr>
            <w:r>
              <w:rPr>
                <w:lang w:val="en-US" w:bidi="ar-SA"/>
              </w:rPr>
              <w:t>0,</w:t>
            </w:r>
            <w:r w:rsidRPr="00B451F7">
              <w:rPr>
                <w:lang w:val="en-US" w:bidi="ar-SA"/>
              </w:rPr>
              <w:t>881</w:t>
            </w:r>
            <w:r>
              <w:rPr>
                <w:lang w:val="en-US" w:bidi="ar-SA"/>
              </w:rPr>
              <w:t>1</w:t>
            </w:r>
          </w:p>
        </w:tc>
      </w:tr>
    </w:tbl>
    <w:p w14:paraId="3071BC9A" w14:textId="77777777" w:rsidR="00000530" w:rsidRPr="00000530" w:rsidRDefault="00000530" w:rsidP="00000530">
      <w:pPr>
        <w:rPr>
          <w:lang w:bidi="ar-SA"/>
        </w:rPr>
      </w:pPr>
    </w:p>
    <w:p w14:paraId="61630C67" w14:textId="77777777" w:rsidR="00B3707D" w:rsidRDefault="00B3707D" w:rsidP="00B3707D">
      <w:pPr>
        <w:pStyle w:val="Legenda"/>
        <w:rPr>
          <w:color w:val="auto"/>
          <w:sz w:val="22"/>
          <w:szCs w:val="22"/>
        </w:rPr>
      </w:pPr>
    </w:p>
    <w:p w14:paraId="05A725A1" w14:textId="77777777" w:rsidR="003B6A41" w:rsidRDefault="003B6A41" w:rsidP="003B6A41">
      <w:pPr>
        <w:rPr>
          <w:lang w:bidi="ar-SA"/>
        </w:rPr>
      </w:pPr>
    </w:p>
    <w:p w14:paraId="100D4C99" w14:textId="308EC3B3" w:rsidR="003B6A41" w:rsidRDefault="003B6A41" w:rsidP="003B6A41">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3B6A41">
        <w:trPr>
          <w:jc w:val="center"/>
        </w:trPr>
        <w:tc>
          <w:tcPr>
            <w:tcW w:w="1066" w:type="dxa"/>
            <w:tcBorders>
              <w:bottom w:val="single" w:sz="4" w:space="0" w:color="auto"/>
            </w:tcBorders>
            <w:vAlign w:val="center"/>
          </w:tcPr>
          <w:p w14:paraId="694053C2" w14:textId="77777777" w:rsidR="003B6A41" w:rsidRDefault="003B6A41" w:rsidP="003B6A41">
            <w:pPr>
              <w:jc w:val="center"/>
              <w:rPr>
                <w:lang w:bidi="ar-SA"/>
              </w:rPr>
            </w:pPr>
          </w:p>
        </w:tc>
        <w:tc>
          <w:tcPr>
            <w:tcW w:w="987" w:type="dxa"/>
            <w:tcBorders>
              <w:bottom w:val="single" w:sz="4" w:space="0" w:color="auto"/>
            </w:tcBorders>
            <w:vAlign w:val="center"/>
          </w:tcPr>
          <w:p w14:paraId="63DA32EF" w14:textId="30A9780B" w:rsidR="003B6A41" w:rsidRDefault="003B6A41" w:rsidP="003B6A41">
            <w:pPr>
              <w:jc w:val="center"/>
              <w:rPr>
                <w:lang w:bidi="ar-SA"/>
              </w:rPr>
            </w:pPr>
            <w:r>
              <w:rPr>
                <w:lang w:bidi="ar-SA"/>
              </w:rPr>
              <w:t>Target</w:t>
            </w:r>
          </w:p>
        </w:tc>
        <w:tc>
          <w:tcPr>
            <w:tcW w:w="1133" w:type="dxa"/>
            <w:tcBorders>
              <w:bottom w:val="single" w:sz="4" w:space="0" w:color="auto"/>
            </w:tcBorders>
          </w:tcPr>
          <w:p w14:paraId="664C603A" w14:textId="44713F7E" w:rsidR="003B6A41" w:rsidRDefault="003B6A41" w:rsidP="003B6A41">
            <w:pPr>
              <w:jc w:val="center"/>
              <w:rPr>
                <w:lang w:bidi="ar-SA"/>
              </w:rPr>
            </w:pPr>
            <w:r>
              <w:rPr>
                <w:lang w:bidi="ar-SA"/>
              </w:rPr>
              <w:t>Contagem</w:t>
            </w:r>
          </w:p>
        </w:tc>
        <w:tc>
          <w:tcPr>
            <w:tcW w:w="1052" w:type="dxa"/>
            <w:tcBorders>
              <w:bottom w:val="single" w:sz="4" w:space="0" w:color="auto"/>
            </w:tcBorders>
          </w:tcPr>
          <w:p w14:paraId="1B147CE5" w14:textId="31F07A7C" w:rsidR="003B6A41" w:rsidRDefault="003B6A41" w:rsidP="003B6A41">
            <w:pPr>
              <w:jc w:val="center"/>
              <w:rPr>
                <w:lang w:bidi="ar-SA"/>
              </w:rPr>
            </w:pPr>
            <w:r>
              <w:rPr>
                <w:lang w:bidi="ar-SA"/>
              </w:rPr>
              <w:t>Média</w:t>
            </w:r>
          </w:p>
        </w:tc>
        <w:tc>
          <w:tcPr>
            <w:tcW w:w="881" w:type="dxa"/>
            <w:tcBorders>
              <w:bottom w:val="single" w:sz="4" w:space="0" w:color="auto"/>
            </w:tcBorders>
          </w:tcPr>
          <w:p w14:paraId="7C082ABD" w14:textId="057DDB6A" w:rsidR="003B6A41" w:rsidRDefault="003B6A41" w:rsidP="003B6A41">
            <w:pPr>
              <w:jc w:val="center"/>
              <w:rPr>
                <w:lang w:bidi="ar-SA"/>
              </w:rPr>
            </w:pPr>
            <w:r>
              <w:rPr>
                <w:lang w:bidi="ar-SA"/>
              </w:rPr>
              <w:t>Desvio-Padrão</w:t>
            </w:r>
          </w:p>
        </w:tc>
        <w:tc>
          <w:tcPr>
            <w:tcW w:w="1165" w:type="dxa"/>
            <w:tcBorders>
              <w:bottom w:val="single" w:sz="4" w:space="0" w:color="auto"/>
            </w:tcBorders>
            <w:vAlign w:val="center"/>
          </w:tcPr>
          <w:p w14:paraId="44E0E586" w14:textId="5F76E388" w:rsidR="003B6A41" w:rsidRDefault="003B6A41" w:rsidP="003B6A41">
            <w:pPr>
              <w:jc w:val="center"/>
              <w:rPr>
                <w:lang w:bidi="ar-SA"/>
              </w:rPr>
            </w:pPr>
            <w:r>
              <w:rPr>
                <w:lang w:bidi="ar-SA"/>
              </w:rPr>
              <w:t>Percentil 25%</w:t>
            </w:r>
          </w:p>
        </w:tc>
        <w:tc>
          <w:tcPr>
            <w:tcW w:w="1159" w:type="dxa"/>
            <w:tcBorders>
              <w:bottom w:val="single" w:sz="4" w:space="0" w:color="auto"/>
            </w:tcBorders>
            <w:vAlign w:val="center"/>
          </w:tcPr>
          <w:p w14:paraId="02D21256" w14:textId="750739FC" w:rsidR="003B6A41" w:rsidRDefault="003B6A41" w:rsidP="003B6A41">
            <w:pPr>
              <w:jc w:val="center"/>
              <w:rPr>
                <w:lang w:bidi="ar-SA"/>
              </w:rPr>
            </w:pPr>
            <w:r>
              <w:rPr>
                <w:lang w:bidi="ar-SA"/>
              </w:rPr>
              <w:t>Percentil 50%</w:t>
            </w:r>
          </w:p>
        </w:tc>
        <w:tc>
          <w:tcPr>
            <w:tcW w:w="1061" w:type="dxa"/>
            <w:tcBorders>
              <w:bottom w:val="single" w:sz="4" w:space="0" w:color="auto"/>
            </w:tcBorders>
            <w:vAlign w:val="center"/>
          </w:tcPr>
          <w:p w14:paraId="501619C0" w14:textId="62201989" w:rsidR="003B6A41" w:rsidRDefault="003B6A41" w:rsidP="003B6A41">
            <w:pPr>
              <w:jc w:val="center"/>
              <w:rPr>
                <w:lang w:bidi="ar-SA"/>
              </w:rPr>
            </w:pPr>
            <w:r>
              <w:rPr>
                <w:lang w:bidi="ar-SA"/>
              </w:rPr>
              <w:t>Percentil 75%</w:t>
            </w:r>
          </w:p>
        </w:tc>
      </w:tr>
      <w:tr w:rsidR="00B451F7" w14:paraId="2BBCF63E" w14:textId="77777777" w:rsidTr="003B6A41">
        <w:trPr>
          <w:jc w:val="center"/>
        </w:trPr>
        <w:tc>
          <w:tcPr>
            <w:tcW w:w="1066" w:type="dxa"/>
            <w:tcBorders>
              <w:top w:val="single" w:sz="4" w:space="0" w:color="auto"/>
              <w:bottom w:val="dotted" w:sz="4" w:space="0" w:color="auto"/>
            </w:tcBorders>
            <w:vAlign w:val="center"/>
          </w:tcPr>
          <w:p w14:paraId="7F0FB483" w14:textId="4876A7F1" w:rsidR="003B6A41" w:rsidRDefault="003B6A41" w:rsidP="00AE3A29">
            <w:pPr>
              <w:jc w:val="center"/>
              <w:rPr>
                <w:lang w:bidi="ar-SA"/>
              </w:rPr>
            </w:pPr>
            <w:r>
              <w:rPr>
                <w:lang w:bidi="ar-SA"/>
              </w:rPr>
              <w:t>Catboost</w:t>
            </w:r>
          </w:p>
        </w:tc>
        <w:tc>
          <w:tcPr>
            <w:tcW w:w="987" w:type="dxa"/>
            <w:tcBorders>
              <w:top w:val="single" w:sz="4" w:space="0" w:color="auto"/>
              <w:bottom w:val="dotted" w:sz="4" w:space="0" w:color="auto"/>
            </w:tcBorders>
            <w:vAlign w:val="center"/>
          </w:tcPr>
          <w:p w14:paraId="188CF4B6" w14:textId="2C09875B" w:rsidR="003B6A41" w:rsidRDefault="003B6A41" w:rsidP="00AE3A29">
            <w:pPr>
              <w:jc w:val="center"/>
              <w:rPr>
                <w:lang w:bidi="ar-SA"/>
              </w:rPr>
            </w:pPr>
            <w:r>
              <w:rPr>
                <w:lang w:bidi="ar-SA"/>
              </w:rPr>
              <w:t>0</w:t>
            </w:r>
          </w:p>
        </w:tc>
        <w:tc>
          <w:tcPr>
            <w:tcW w:w="1133" w:type="dxa"/>
            <w:tcBorders>
              <w:top w:val="single" w:sz="4" w:space="0" w:color="auto"/>
              <w:bottom w:val="dotted" w:sz="4" w:space="0" w:color="auto"/>
            </w:tcBorders>
          </w:tcPr>
          <w:p w14:paraId="5AC4D43C" w14:textId="27608876" w:rsidR="003B6A41" w:rsidRPr="00000530" w:rsidRDefault="003B6A41" w:rsidP="00AE3A29">
            <w:pPr>
              <w:jc w:val="center"/>
              <w:rPr>
                <w:lang w:val="en-US" w:bidi="ar-SA"/>
              </w:rPr>
            </w:pPr>
            <w:r w:rsidRPr="003B6A41">
              <w:rPr>
                <w:lang w:val="en-US" w:bidi="ar-SA"/>
              </w:rPr>
              <w:t>116</w:t>
            </w:r>
            <w:r>
              <w:rPr>
                <w:lang w:val="en-US" w:bidi="ar-SA"/>
              </w:rPr>
              <w:t>.</w:t>
            </w:r>
            <w:r w:rsidRPr="003B6A41">
              <w:rPr>
                <w:lang w:val="en-US" w:bidi="ar-SA"/>
              </w:rPr>
              <w:t>654</w:t>
            </w:r>
          </w:p>
        </w:tc>
        <w:tc>
          <w:tcPr>
            <w:tcW w:w="1052" w:type="dxa"/>
            <w:tcBorders>
              <w:top w:val="single" w:sz="4" w:space="0" w:color="auto"/>
              <w:bottom w:val="dotted" w:sz="4" w:space="0" w:color="auto"/>
            </w:tcBorders>
          </w:tcPr>
          <w:p w14:paraId="4C0EED3E" w14:textId="358431DF" w:rsidR="003B6A41" w:rsidRPr="00000530" w:rsidRDefault="003B6A41" w:rsidP="00AE3A29">
            <w:pPr>
              <w:jc w:val="center"/>
              <w:rPr>
                <w:lang w:val="en-US" w:bidi="ar-SA"/>
              </w:rPr>
            </w:pPr>
          </w:p>
        </w:tc>
        <w:tc>
          <w:tcPr>
            <w:tcW w:w="881" w:type="dxa"/>
            <w:tcBorders>
              <w:top w:val="single" w:sz="4" w:space="0" w:color="auto"/>
              <w:bottom w:val="dotted" w:sz="4" w:space="0" w:color="auto"/>
            </w:tcBorders>
          </w:tcPr>
          <w:p w14:paraId="73B04F7E" w14:textId="77777777" w:rsidR="003B6A41" w:rsidRPr="00000530" w:rsidRDefault="003B6A41" w:rsidP="00AE3A29">
            <w:pPr>
              <w:jc w:val="center"/>
              <w:rPr>
                <w:lang w:val="en-US" w:bidi="ar-SA"/>
              </w:rPr>
            </w:pPr>
          </w:p>
        </w:tc>
        <w:tc>
          <w:tcPr>
            <w:tcW w:w="1165" w:type="dxa"/>
            <w:tcBorders>
              <w:top w:val="single" w:sz="4" w:space="0" w:color="auto"/>
              <w:bottom w:val="dotted" w:sz="4" w:space="0" w:color="auto"/>
            </w:tcBorders>
            <w:vAlign w:val="center"/>
          </w:tcPr>
          <w:p w14:paraId="7294ABFA" w14:textId="6A79C69B" w:rsidR="003B6A41" w:rsidRPr="00000530" w:rsidRDefault="003B6A41" w:rsidP="00AE3A29">
            <w:pPr>
              <w:jc w:val="center"/>
              <w:rPr>
                <w:lang w:val="en-US" w:bidi="ar-SA"/>
              </w:rPr>
            </w:pPr>
          </w:p>
        </w:tc>
        <w:tc>
          <w:tcPr>
            <w:tcW w:w="1159" w:type="dxa"/>
            <w:tcBorders>
              <w:top w:val="single" w:sz="4" w:space="0" w:color="auto"/>
              <w:bottom w:val="dotted" w:sz="4" w:space="0" w:color="auto"/>
            </w:tcBorders>
            <w:vAlign w:val="center"/>
          </w:tcPr>
          <w:p w14:paraId="4C96890F" w14:textId="6D37C42C" w:rsidR="003B6A41" w:rsidRDefault="003B6A41" w:rsidP="00AE3A29">
            <w:pPr>
              <w:jc w:val="center"/>
              <w:rPr>
                <w:lang w:bidi="ar-SA"/>
              </w:rPr>
            </w:pPr>
            <w:r w:rsidRPr="00000530">
              <w:rPr>
                <w:lang w:val="en-US" w:bidi="ar-SA"/>
              </w:rPr>
              <w:t>0</w:t>
            </w:r>
            <w:r>
              <w:rPr>
                <w:lang w:val="en-US" w:bidi="ar-SA"/>
              </w:rPr>
              <w:t>,</w:t>
            </w:r>
            <w:r w:rsidRPr="00000530">
              <w:rPr>
                <w:lang w:val="en-US" w:bidi="ar-SA"/>
              </w:rPr>
              <w:t>928</w:t>
            </w:r>
            <w:r w:rsidR="00B451F7">
              <w:rPr>
                <w:lang w:val="en-US" w:bidi="ar-SA"/>
              </w:rPr>
              <w:t>5</w:t>
            </w:r>
          </w:p>
        </w:tc>
        <w:tc>
          <w:tcPr>
            <w:tcW w:w="1061" w:type="dxa"/>
            <w:tcBorders>
              <w:top w:val="single" w:sz="4" w:space="0" w:color="auto"/>
              <w:bottom w:val="dotted" w:sz="4" w:space="0" w:color="auto"/>
            </w:tcBorders>
            <w:vAlign w:val="center"/>
          </w:tcPr>
          <w:p w14:paraId="4614EC60" w14:textId="77777777" w:rsidR="003B6A41" w:rsidRDefault="003B6A41" w:rsidP="00AE3A29">
            <w:pPr>
              <w:jc w:val="center"/>
              <w:rPr>
                <w:lang w:bidi="ar-SA"/>
              </w:rPr>
            </w:pPr>
          </w:p>
        </w:tc>
      </w:tr>
      <w:tr w:rsidR="00B451F7" w14:paraId="28C7FCC3" w14:textId="77777777" w:rsidTr="003B6A41">
        <w:trPr>
          <w:jc w:val="center"/>
        </w:trPr>
        <w:tc>
          <w:tcPr>
            <w:tcW w:w="1066" w:type="dxa"/>
            <w:tcBorders>
              <w:top w:val="dotted" w:sz="4" w:space="0" w:color="auto"/>
              <w:bottom w:val="single" w:sz="4" w:space="0" w:color="auto"/>
            </w:tcBorders>
            <w:vAlign w:val="center"/>
          </w:tcPr>
          <w:p w14:paraId="0B3F7A6C" w14:textId="77777777" w:rsidR="003B6A41" w:rsidRDefault="003B6A41" w:rsidP="00AE3A29">
            <w:pPr>
              <w:jc w:val="center"/>
              <w:rPr>
                <w:lang w:bidi="ar-SA"/>
              </w:rPr>
            </w:pPr>
          </w:p>
        </w:tc>
        <w:tc>
          <w:tcPr>
            <w:tcW w:w="987" w:type="dxa"/>
            <w:tcBorders>
              <w:top w:val="dotted" w:sz="4" w:space="0" w:color="auto"/>
              <w:bottom w:val="single" w:sz="4" w:space="0" w:color="auto"/>
            </w:tcBorders>
            <w:vAlign w:val="center"/>
          </w:tcPr>
          <w:p w14:paraId="1D48492B" w14:textId="06C9EE57" w:rsidR="003B6A41" w:rsidRDefault="003B6A41" w:rsidP="00AE3A29">
            <w:pPr>
              <w:jc w:val="center"/>
              <w:rPr>
                <w:lang w:bidi="ar-SA"/>
              </w:rPr>
            </w:pPr>
            <w:r>
              <w:rPr>
                <w:lang w:bidi="ar-SA"/>
              </w:rPr>
              <w:t>1</w:t>
            </w:r>
          </w:p>
        </w:tc>
        <w:tc>
          <w:tcPr>
            <w:tcW w:w="1133" w:type="dxa"/>
            <w:tcBorders>
              <w:top w:val="dotted" w:sz="4" w:space="0" w:color="auto"/>
              <w:bottom w:val="single" w:sz="4" w:space="0" w:color="auto"/>
            </w:tcBorders>
          </w:tcPr>
          <w:p w14:paraId="20757D70" w14:textId="3D5FE8B0" w:rsidR="003B6A41" w:rsidRPr="00000530" w:rsidRDefault="003B6A41" w:rsidP="00AE3A29">
            <w:pPr>
              <w:jc w:val="center"/>
              <w:rPr>
                <w:lang w:val="en-US" w:bidi="ar-SA"/>
              </w:rPr>
            </w:pPr>
            <w:r w:rsidRPr="003B6A41">
              <w:rPr>
                <w:lang w:val="en-US" w:bidi="ar-SA"/>
              </w:rPr>
              <w:t>8</w:t>
            </w:r>
            <w:r>
              <w:rPr>
                <w:lang w:val="en-US" w:bidi="ar-SA"/>
              </w:rPr>
              <w:t>.</w:t>
            </w:r>
            <w:r w:rsidRPr="003B6A41">
              <w:rPr>
                <w:lang w:val="en-US" w:bidi="ar-SA"/>
              </w:rPr>
              <w:t>862</w:t>
            </w:r>
          </w:p>
        </w:tc>
        <w:tc>
          <w:tcPr>
            <w:tcW w:w="1052" w:type="dxa"/>
            <w:tcBorders>
              <w:top w:val="dotted" w:sz="4" w:space="0" w:color="auto"/>
              <w:bottom w:val="single" w:sz="4" w:space="0" w:color="auto"/>
            </w:tcBorders>
          </w:tcPr>
          <w:p w14:paraId="5659E77C" w14:textId="2B79F8D4" w:rsidR="003B6A41" w:rsidRPr="00000530" w:rsidRDefault="003B6A41" w:rsidP="00AE3A29">
            <w:pPr>
              <w:jc w:val="center"/>
              <w:rPr>
                <w:lang w:val="en-US" w:bidi="ar-SA"/>
              </w:rPr>
            </w:pPr>
          </w:p>
        </w:tc>
        <w:tc>
          <w:tcPr>
            <w:tcW w:w="881" w:type="dxa"/>
            <w:tcBorders>
              <w:top w:val="dotted" w:sz="4" w:space="0" w:color="auto"/>
              <w:bottom w:val="single" w:sz="4" w:space="0" w:color="auto"/>
            </w:tcBorders>
          </w:tcPr>
          <w:p w14:paraId="521269EB" w14:textId="77777777" w:rsidR="003B6A41" w:rsidRPr="00000530" w:rsidRDefault="003B6A41" w:rsidP="00AE3A29">
            <w:pPr>
              <w:jc w:val="center"/>
              <w:rPr>
                <w:lang w:val="en-US" w:bidi="ar-SA"/>
              </w:rPr>
            </w:pPr>
          </w:p>
        </w:tc>
        <w:tc>
          <w:tcPr>
            <w:tcW w:w="1165" w:type="dxa"/>
            <w:tcBorders>
              <w:top w:val="dotted" w:sz="4" w:space="0" w:color="auto"/>
              <w:bottom w:val="single" w:sz="4" w:space="0" w:color="auto"/>
            </w:tcBorders>
            <w:vAlign w:val="center"/>
          </w:tcPr>
          <w:p w14:paraId="792BB87B" w14:textId="5CC51806" w:rsidR="003B6A41" w:rsidRDefault="003B6A41" w:rsidP="00AE3A29">
            <w:pPr>
              <w:jc w:val="center"/>
              <w:rPr>
                <w:lang w:bidi="ar-SA"/>
              </w:rPr>
            </w:pPr>
          </w:p>
        </w:tc>
        <w:tc>
          <w:tcPr>
            <w:tcW w:w="1159" w:type="dxa"/>
            <w:tcBorders>
              <w:top w:val="dotted" w:sz="4" w:space="0" w:color="auto"/>
              <w:bottom w:val="single" w:sz="4" w:space="0" w:color="auto"/>
            </w:tcBorders>
            <w:vAlign w:val="center"/>
          </w:tcPr>
          <w:p w14:paraId="1D5139ED" w14:textId="0F6DC286" w:rsidR="003B6A41" w:rsidRDefault="003B6A41" w:rsidP="00AE3A29">
            <w:pPr>
              <w:jc w:val="center"/>
              <w:rPr>
                <w:lang w:bidi="ar-SA"/>
              </w:rPr>
            </w:pPr>
            <w:r w:rsidRPr="00000530">
              <w:rPr>
                <w:lang w:val="en-US" w:bidi="ar-SA"/>
              </w:rPr>
              <w:t>0</w:t>
            </w:r>
            <w:r>
              <w:rPr>
                <w:lang w:val="en-US" w:bidi="ar-SA"/>
              </w:rPr>
              <w:t>,</w:t>
            </w:r>
            <w:r w:rsidRPr="00000530">
              <w:rPr>
                <w:lang w:val="en-US" w:bidi="ar-SA"/>
              </w:rPr>
              <w:t>1135</w:t>
            </w:r>
          </w:p>
        </w:tc>
        <w:tc>
          <w:tcPr>
            <w:tcW w:w="1061" w:type="dxa"/>
            <w:tcBorders>
              <w:top w:val="dotted" w:sz="4" w:space="0" w:color="auto"/>
              <w:bottom w:val="single" w:sz="4" w:space="0" w:color="auto"/>
            </w:tcBorders>
            <w:vAlign w:val="center"/>
          </w:tcPr>
          <w:p w14:paraId="5027FAA9" w14:textId="77777777" w:rsidR="003B6A41" w:rsidRDefault="003B6A41" w:rsidP="00AE3A29">
            <w:pPr>
              <w:jc w:val="center"/>
              <w:rPr>
                <w:lang w:bidi="ar-SA"/>
              </w:rPr>
            </w:pPr>
          </w:p>
        </w:tc>
      </w:tr>
      <w:tr w:rsidR="00B451F7" w14:paraId="364AEFF2" w14:textId="77777777" w:rsidTr="003B6A41">
        <w:trPr>
          <w:jc w:val="center"/>
        </w:trPr>
        <w:tc>
          <w:tcPr>
            <w:tcW w:w="1066" w:type="dxa"/>
            <w:vAlign w:val="center"/>
          </w:tcPr>
          <w:p w14:paraId="2CF675AC" w14:textId="3EE94052" w:rsidR="003B6A41" w:rsidRDefault="003B6A41" w:rsidP="003B6A41">
            <w:pPr>
              <w:jc w:val="center"/>
              <w:rPr>
                <w:lang w:bidi="ar-SA"/>
              </w:rPr>
            </w:pPr>
            <w:r>
              <w:rPr>
                <w:lang w:bidi="ar-SA"/>
              </w:rPr>
              <w:t>ELM</w:t>
            </w:r>
          </w:p>
        </w:tc>
        <w:tc>
          <w:tcPr>
            <w:tcW w:w="987" w:type="dxa"/>
            <w:vAlign w:val="center"/>
          </w:tcPr>
          <w:p w14:paraId="060D150A" w14:textId="66D2185B" w:rsidR="003B6A41" w:rsidRDefault="003B6A41" w:rsidP="003B6A41">
            <w:pPr>
              <w:jc w:val="center"/>
              <w:rPr>
                <w:lang w:bidi="ar-SA"/>
              </w:rPr>
            </w:pPr>
            <w:r>
              <w:rPr>
                <w:lang w:bidi="ar-SA"/>
              </w:rPr>
              <w:t>0</w:t>
            </w:r>
          </w:p>
        </w:tc>
        <w:tc>
          <w:tcPr>
            <w:tcW w:w="1133" w:type="dxa"/>
          </w:tcPr>
          <w:p w14:paraId="67E83239" w14:textId="236E8F44" w:rsidR="003B6A41" w:rsidRDefault="003B6A41" w:rsidP="003B6A41">
            <w:pPr>
              <w:jc w:val="center"/>
              <w:rPr>
                <w:lang w:bidi="ar-SA"/>
              </w:rPr>
            </w:pPr>
            <w:r w:rsidRPr="003B6A41">
              <w:rPr>
                <w:lang w:val="en-US" w:bidi="ar-SA"/>
              </w:rPr>
              <w:t>116</w:t>
            </w:r>
            <w:r>
              <w:rPr>
                <w:lang w:val="en-US" w:bidi="ar-SA"/>
              </w:rPr>
              <w:t>.</w:t>
            </w:r>
            <w:r w:rsidRPr="003B6A41">
              <w:rPr>
                <w:lang w:val="en-US" w:bidi="ar-SA"/>
              </w:rPr>
              <w:t>654</w:t>
            </w:r>
          </w:p>
        </w:tc>
        <w:tc>
          <w:tcPr>
            <w:tcW w:w="1052" w:type="dxa"/>
          </w:tcPr>
          <w:p w14:paraId="51DBAA6B" w14:textId="602CD96A" w:rsidR="003B6A41" w:rsidRDefault="003B6A41" w:rsidP="003B6A41">
            <w:pPr>
              <w:jc w:val="center"/>
              <w:rPr>
                <w:lang w:bidi="ar-SA"/>
              </w:rPr>
            </w:pPr>
            <w:r w:rsidRPr="003B6A41">
              <w:rPr>
                <w:lang w:val="en-US" w:bidi="ar-SA"/>
              </w:rPr>
              <w:t>0</w:t>
            </w:r>
            <w:r>
              <w:rPr>
                <w:lang w:val="en-US" w:bidi="ar-SA"/>
              </w:rPr>
              <w:t>,</w:t>
            </w:r>
            <w:r w:rsidRPr="003B6A41">
              <w:rPr>
                <w:lang w:val="en-US" w:bidi="ar-SA"/>
              </w:rPr>
              <w:t>129</w:t>
            </w:r>
            <w:r>
              <w:rPr>
                <w:lang w:val="en-US" w:bidi="ar-SA"/>
              </w:rPr>
              <w:t>6</w:t>
            </w:r>
          </w:p>
        </w:tc>
        <w:tc>
          <w:tcPr>
            <w:tcW w:w="881" w:type="dxa"/>
          </w:tcPr>
          <w:p w14:paraId="7325B26B" w14:textId="173B2913" w:rsidR="003B6A41" w:rsidRDefault="003B6A41" w:rsidP="003B6A41">
            <w:pPr>
              <w:rPr>
                <w:lang w:bidi="ar-SA"/>
              </w:rPr>
            </w:pPr>
            <w:r w:rsidRPr="003B6A41">
              <w:rPr>
                <w:lang w:bidi="ar-SA"/>
              </w:rPr>
              <w:t>0</w:t>
            </w:r>
            <w:r>
              <w:rPr>
                <w:lang w:bidi="ar-SA"/>
              </w:rPr>
              <w:t>,</w:t>
            </w:r>
            <w:r w:rsidRPr="003B6A41">
              <w:rPr>
                <w:lang w:bidi="ar-SA"/>
              </w:rPr>
              <w:t>081</w:t>
            </w:r>
            <w:r>
              <w:rPr>
                <w:lang w:bidi="ar-SA"/>
              </w:rPr>
              <w:t>1</w:t>
            </w:r>
          </w:p>
        </w:tc>
        <w:tc>
          <w:tcPr>
            <w:tcW w:w="1165" w:type="dxa"/>
            <w:vAlign w:val="center"/>
          </w:tcPr>
          <w:p w14:paraId="3EECD409" w14:textId="1DCB2ADE" w:rsidR="003B6A41" w:rsidRDefault="003B6A41" w:rsidP="003B6A41">
            <w:pPr>
              <w:jc w:val="center"/>
              <w:rPr>
                <w:lang w:bidi="ar-SA"/>
              </w:rPr>
            </w:pPr>
            <w:r w:rsidRPr="00000530">
              <w:rPr>
                <w:lang w:val="en-US" w:bidi="ar-SA"/>
              </w:rPr>
              <w:t>0</w:t>
            </w:r>
            <w:r>
              <w:rPr>
                <w:lang w:val="en-US" w:bidi="ar-SA"/>
              </w:rPr>
              <w:t>,0976</w:t>
            </w:r>
          </w:p>
        </w:tc>
        <w:tc>
          <w:tcPr>
            <w:tcW w:w="1159" w:type="dxa"/>
            <w:vAlign w:val="center"/>
          </w:tcPr>
          <w:p w14:paraId="1E8F27FA" w14:textId="5B3A0DB0" w:rsidR="003B6A41" w:rsidRDefault="003B6A41" w:rsidP="003B6A41">
            <w:pPr>
              <w:jc w:val="center"/>
              <w:rPr>
                <w:lang w:bidi="ar-SA"/>
              </w:rPr>
            </w:pPr>
            <w:r w:rsidRPr="00000530">
              <w:rPr>
                <w:lang w:val="en-US" w:bidi="ar-SA"/>
              </w:rPr>
              <w:t>0</w:t>
            </w:r>
            <w:r>
              <w:rPr>
                <w:lang w:val="en-US" w:bidi="ar-SA"/>
              </w:rPr>
              <w:t>,1008</w:t>
            </w:r>
          </w:p>
        </w:tc>
        <w:tc>
          <w:tcPr>
            <w:tcW w:w="1061" w:type="dxa"/>
            <w:vAlign w:val="center"/>
          </w:tcPr>
          <w:p w14:paraId="74FD58F7" w14:textId="204E586D" w:rsidR="003B6A41" w:rsidRDefault="003B6A41" w:rsidP="003B6A41">
            <w:pPr>
              <w:jc w:val="center"/>
              <w:rPr>
                <w:lang w:bidi="ar-SA"/>
              </w:rPr>
            </w:pPr>
            <w:r>
              <w:rPr>
                <w:lang w:bidi="ar-SA"/>
              </w:rPr>
              <w:t>0,1260</w:t>
            </w:r>
          </w:p>
        </w:tc>
      </w:tr>
      <w:tr w:rsidR="00B451F7" w14:paraId="1F099D30" w14:textId="77777777" w:rsidTr="003B6A41">
        <w:trPr>
          <w:jc w:val="center"/>
        </w:trPr>
        <w:tc>
          <w:tcPr>
            <w:tcW w:w="1066" w:type="dxa"/>
            <w:tcBorders>
              <w:bottom w:val="single" w:sz="4" w:space="0" w:color="auto"/>
            </w:tcBorders>
            <w:vAlign w:val="center"/>
          </w:tcPr>
          <w:p w14:paraId="73E3E643" w14:textId="5706B88A" w:rsidR="003B6A41" w:rsidRDefault="003B6A41" w:rsidP="003B6A41">
            <w:pPr>
              <w:jc w:val="center"/>
              <w:rPr>
                <w:lang w:bidi="ar-SA"/>
              </w:rPr>
            </w:pPr>
          </w:p>
        </w:tc>
        <w:tc>
          <w:tcPr>
            <w:tcW w:w="987" w:type="dxa"/>
            <w:tcBorders>
              <w:bottom w:val="single" w:sz="4" w:space="0" w:color="auto"/>
            </w:tcBorders>
            <w:vAlign w:val="center"/>
          </w:tcPr>
          <w:p w14:paraId="09057FE5" w14:textId="26A8AAC1" w:rsidR="003B6A41" w:rsidRDefault="003B6A41" w:rsidP="003B6A41">
            <w:pPr>
              <w:jc w:val="center"/>
              <w:rPr>
                <w:lang w:bidi="ar-SA"/>
              </w:rPr>
            </w:pPr>
            <w:r>
              <w:rPr>
                <w:lang w:bidi="ar-SA"/>
              </w:rPr>
              <w:t>1</w:t>
            </w:r>
          </w:p>
        </w:tc>
        <w:tc>
          <w:tcPr>
            <w:tcW w:w="1133" w:type="dxa"/>
            <w:tcBorders>
              <w:bottom w:val="single" w:sz="4" w:space="0" w:color="auto"/>
            </w:tcBorders>
          </w:tcPr>
          <w:p w14:paraId="4F1CEFD7" w14:textId="637AE9AF" w:rsidR="003B6A41" w:rsidRDefault="003B6A41" w:rsidP="003B6A41">
            <w:pPr>
              <w:jc w:val="center"/>
              <w:rPr>
                <w:lang w:bidi="ar-SA"/>
              </w:rPr>
            </w:pPr>
            <w:r w:rsidRPr="003B6A41">
              <w:rPr>
                <w:lang w:val="en-US" w:bidi="ar-SA"/>
              </w:rPr>
              <w:t>8</w:t>
            </w:r>
            <w:r>
              <w:rPr>
                <w:lang w:val="en-US" w:bidi="ar-SA"/>
              </w:rPr>
              <w:t>.</w:t>
            </w:r>
            <w:r w:rsidRPr="003B6A41">
              <w:rPr>
                <w:lang w:val="en-US" w:bidi="ar-SA"/>
              </w:rPr>
              <w:t>862</w:t>
            </w:r>
          </w:p>
        </w:tc>
        <w:tc>
          <w:tcPr>
            <w:tcW w:w="1052" w:type="dxa"/>
            <w:tcBorders>
              <w:bottom w:val="single" w:sz="4" w:space="0" w:color="auto"/>
            </w:tcBorders>
          </w:tcPr>
          <w:p w14:paraId="2429D822" w14:textId="339D94F2" w:rsidR="003B6A41" w:rsidRDefault="003B6A41" w:rsidP="003B6A41">
            <w:pPr>
              <w:jc w:val="center"/>
              <w:rPr>
                <w:lang w:bidi="ar-SA"/>
              </w:rPr>
            </w:pPr>
            <w:r w:rsidRPr="003B6A41">
              <w:rPr>
                <w:lang w:val="en-US" w:bidi="ar-SA"/>
              </w:rPr>
              <w:t>0</w:t>
            </w:r>
            <w:r>
              <w:rPr>
                <w:lang w:val="en-US" w:bidi="ar-SA"/>
              </w:rPr>
              <w:t>,</w:t>
            </w:r>
            <w:r w:rsidRPr="003B6A41">
              <w:rPr>
                <w:lang w:val="en-US" w:bidi="ar-SA"/>
              </w:rPr>
              <w:t>2918</w:t>
            </w:r>
          </w:p>
        </w:tc>
        <w:tc>
          <w:tcPr>
            <w:tcW w:w="881" w:type="dxa"/>
            <w:tcBorders>
              <w:bottom w:val="single" w:sz="4" w:space="0" w:color="auto"/>
            </w:tcBorders>
          </w:tcPr>
          <w:p w14:paraId="74555FB3" w14:textId="72F3D6EB" w:rsidR="003B6A41" w:rsidRDefault="003B6A41" w:rsidP="003B6A41">
            <w:pPr>
              <w:jc w:val="center"/>
              <w:rPr>
                <w:lang w:bidi="ar-SA"/>
              </w:rPr>
            </w:pPr>
            <w:r w:rsidRPr="003B6A41">
              <w:rPr>
                <w:lang w:bidi="ar-SA"/>
              </w:rPr>
              <w:t>0</w:t>
            </w:r>
            <w:r>
              <w:rPr>
                <w:lang w:bidi="ar-SA"/>
              </w:rPr>
              <w:t>,</w:t>
            </w:r>
            <w:r w:rsidRPr="003B6A41">
              <w:rPr>
                <w:lang w:bidi="ar-SA"/>
              </w:rPr>
              <w:t>2476</w:t>
            </w:r>
          </w:p>
        </w:tc>
        <w:tc>
          <w:tcPr>
            <w:tcW w:w="1165" w:type="dxa"/>
            <w:tcBorders>
              <w:bottom w:val="single" w:sz="4" w:space="0" w:color="auto"/>
            </w:tcBorders>
            <w:vAlign w:val="center"/>
          </w:tcPr>
          <w:p w14:paraId="330828DE" w14:textId="16384B10" w:rsidR="003B6A41" w:rsidRDefault="003B6A41" w:rsidP="003B6A41">
            <w:pPr>
              <w:jc w:val="center"/>
              <w:rPr>
                <w:lang w:bidi="ar-SA"/>
              </w:rPr>
            </w:pPr>
            <w:r w:rsidRPr="00000530">
              <w:rPr>
                <w:lang w:val="en-US" w:bidi="ar-SA"/>
              </w:rPr>
              <w:t>0</w:t>
            </w:r>
            <w:r>
              <w:rPr>
                <w:lang w:val="en-US" w:bidi="ar-SA"/>
              </w:rPr>
              <w:t>,2034</w:t>
            </w:r>
          </w:p>
        </w:tc>
        <w:tc>
          <w:tcPr>
            <w:tcW w:w="1159" w:type="dxa"/>
            <w:tcBorders>
              <w:bottom w:val="single" w:sz="4" w:space="0" w:color="auto"/>
            </w:tcBorders>
            <w:vAlign w:val="center"/>
          </w:tcPr>
          <w:p w14:paraId="5B149AB9" w14:textId="6312970F" w:rsidR="003B6A41" w:rsidRDefault="003B6A41" w:rsidP="003B6A41">
            <w:pPr>
              <w:jc w:val="center"/>
              <w:rPr>
                <w:lang w:bidi="ar-SA"/>
              </w:rPr>
            </w:pPr>
            <w:r w:rsidRPr="00000530">
              <w:rPr>
                <w:lang w:val="en-US" w:bidi="ar-SA"/>
              </w:rPr>
              <w:t>0</w:t>
            </w:r>
            <w:r>
              <w:rPr>
                <w:lang w:val="en-US" w:bidi="ar-SA"/>
              </w:rPr>
              <w:t>,2482</w:t>
            </w:r>
          </w:p>
        </w:tc>
        <w:tc>
          <w:tcPr>
            <w:tcW w:w="1061" w:type="dxa"/>
            <w:tcBorders>
              <w:bottom w:val="single" w:sz="4" w:space="0" w:color="auto"/>
            </w:tcBorders>
            <w:vAlign w:val="center"/>
          </w:tcPr>
          <w:p w14:paraId="40808F63" w14:textId="274679C6" w:rsidR="003B6A41" w:rsidRDefault="003B6A41" w:rsidP="003B6A41">
            <w:pPr>
              <w:jc w:val="center"/>
              <w:rPr>
                <w:lang w:bidi="ar-SA"/>
              </w:rPr>
            </w:pPr>
            <w:r>
              <w:rPr>
                <w:lang w:bidi="ar-SA"/>
              </w:rPr>
              <w:t>0,3185</w:t>
            </w:r>
          </w:p>
        </w:tc>
      </w:tr>
      <w:tr w:rsidR="00B451F7" w14:paraId="036DD03B" w14:textId="77777777" w:rsidTr="003B6A41">
        <w:trPr>
          <w:jc w:val="center"/>
        </w:trPr>
        <w:tc>
          <w:tcPr>
            <w:tcW w:w="1066" w:type="dxa"/>
            <w:tcBorders>
              <w:top w:val="single" w:sz="4" w:space="0" w:color="auto"/>
              <w:bottom w:val="dotted" w:sz="4" w:space="0" w:color="auto"/>
            </w:tcBorders>
            <w:vAlign w:val="center"/>
          </w:tcPr>
          <w:p w14:paraId="76449704" w14:textId="613DFC50" w:rsidR="00B451F7" w:rsidRDefault="00B451F7" w:rsidP="00B451F7">
            <w:pPr>
              <w:jc w:val="center"/>
              <w:rPr>
                <w:lang w:bidi="ar-SA"/>
              </w:rPr>
            </w:pPr>
            <w:r>
              <w:rPr>
                <w:lang w:bidi="ar-SA"/>
              </w:rPr>
              <w:t>XGboost</w:t>
            </w:r>
          </w:p>
        </w:tc>
        <w:tc>
          <w:tcPr>
            <w:tcW w:w="987" w:type="dxa"/>
            <w:tcBorders>
              <w:top w:val="single" w:sz="4" w:space="0" w:color="auto"/>
              <w:bottom w:val="dotted" w:sz="4" w:space="0" w:color="auto"/>
            </w:tcBorders>
            <w:vAlign w:val="center"/>
          </w:tcPr>
          <w:p w14:paraId="40627063" w14:textId="40ECA820" w:rsidR="00B451F7" w:rsidRDefault="00B451F7" w:rsidP="00B451F7">
            <w:pPr>
              <w:jc w:val="center"/>
              <w:rPr>
                <w:lang w:bidi="ar-SA"/>
              </w:rPr>
            </w:pPr>
            <w:r>
              <w:rPr>
                <w:lang w:bidi="ar-SA"/>
              </w:rPr>
              <w:t>0</w:t>
            </w:r>
          </w:p>
        </w:tc>
        <w:tc>
          <w:tcPr>
            <w:tcW w:w="1133" w:type="dxa"/>
            <w:tcBorders>
              <w:top w:val="single" w:sz="4" w:space="0" w:color="auto"/>
              <w:bottom w:val="dotted" w:sz="4" w:space="0" w:color="auto"/>
            </w:tcBorders>
          </w:tcPr>
          <w:p w14:paraId="38D071A1" w14:textId="7D63D170" w:rsidR="00B451F7" w:rsidRDefault="00B451F7" w:rsidP="00B451F7">
            <w:pPr>
              <w:jc w:val="center"/>
              <w:rPr>
                <w:lang w:bidi="ar-SA"/>
              </w:rPr>
            </w:pPr>
            <w:r w:rsidRPr="003B6A41">
              <w:rPr>
                <w:lang w:val="en-US" w:bidi="ar-SA"/>
              </w:rPr>
              <w:t>116</w:t>
            </w:r>
            <w:r>
              <w:rPr>
                <w:lang w:val="en-US" w:bidi="ar-SA"/>
              </w:rPr>
              <w:t>.</w:t>
            </w:r>
            <w:r w:rsidRPr="003B6A41">
              <w:rPr>
                <w:lang w:val="en-US" w:bidi="ar-SA"/>
              </w:rPr>
              <w:t>654</w:t>
            </w:r>
          </w:p>
        </w:tc>
        <w:tc>
          <w:tcPr>
            <w:tcW w:w="1052" w:type="dxa"/>
            <w:tcBorders>
              <w:top w:val="single" w:sz="4" w:space="0" w:color="auto"/>
              <w:bottom w:val="dotted" w:sz="4" w:space="0" w:color="auto"/>
            </w:tcBorders>
          </w:tcPr>
          <w:p w14:paraId="2FA40F0C" w14:textId="30F42123" w:rsidR="00B451F7" w:rsidRDefault="00B451F7" w:rsidP="00B451F7">
            <w:pPr>
              <w:jc w:val="center"/>
              <w:rPr>
                <w:lang w:bidi="ar-SA"/>
              </w:rPr>
            </w:pPr>
            <w:r w:rsidRPr="00B451F7">
              <w:rPr>
                <w:lang w:bidi="ar-SA"/>
              </w:rPr>
              <w:t>0</w:t>
            </w:r>
            <w:r>
              <w:rPr>
                <w:lang w:bidi="ar-SA"/>
              </w:rPr>
              <w:t>,</w:t>
            </w:r>
            <w:r w:rsidRPr="00B451F7">
              <w:rPr>
                <w:lang w:bidi="ar-SA"/>
              </w:rPr>
              <w:t>0452</w:t>
            </w:r>
          </w:p>
        </w:tc>
        <w:tc>
          <w:tcPr>
            <w:tcW w:w="881" w:type="dxa"/>
            <w:tcBorders>
              <w:top w:val="single" w:sz="4" w:space="0" w:color="auto"/>
              <w:bottom w:val="dotted" w:sz="4" w:space="0" w:color="auto"/>
            </w:tcBorders>
          </w:tcPr>
          <w:p w14:paraId="43E205DE" w14:textId="5CE36781" w:rsidR="00B451F7" w:rsidRDefault="00B451F7" w:rsidP="00B451F7">
            <w:pPr>
              <w:jc w:val="center"/>
              <w:rPr>
                <w:lang w:bidi="ar-SA"/>
              </w:rPr>
            </w:pPr>
            <w:r w:rsidRPr="00B451F7">
              <w:rPr>
                <w:lang w:bidi="ar-SA"/>
              </w:rPr>
              <w:t>0</w:t>
            </w:r>
            <w:r>
              <w:rPr>
                <w:lang w:bidi="ar-SA"/>
              </w:rPr>
              <w:t>,</w:t>
            </w:r>
            <w:r w:rsidRPr="00B451F7">
              <w:rPr>
                <w:lang w:bidi="ar-SA"/>
              </w:rPr>
              <w:t>196</w:t>
            </w:r>
            <w:r>
              <w:rPr>
                <w:lang w:bidi="ar-SA"/>
              </w:rPr>
              <w:t>6</w:t>
            </w:r>
          </w:p>
        </w:tc>
        <w:tc>
          <w:tcPr>
            <w:tcW w:w="1165" w:type="dxa"/>
            <w:tcBorders>
              <w:top w:val="single" w:sz="4" w:space="0" w:color="auto"/>
              <w:bottom w:val="dotted" w:sz="4" w:space="0" w:color="auto"/>
            </w:tcBorders>
            <w:vAlign w:val="center"/>
          </w:tcPr>
          <w:p w14:paraId="1B7E4A3A" w14:textId="7621E59C" w:rsidR="00B451F7" w:rsidRDefault="00B451F7" w:rsidP="00B451F7">
            <w:pPr>
              <w:jc w:val="center"/>
              <w:rPr>
                <w:lang w:bidi="ar-SA"/>
              </w:rPr>
            </w:pPr>
            <w:r>
              <w:rPr>
                <w:lang w:bidi="ar-SA"/>
              </w:rPr>
              <w:t>0,0000</w:t>
            </w:r>
          </w:p>
        </w:tc>
        <w:tc>
          <w:tcPr>
            <w:tcW w:w="1159" w:type="dxa"/>
            <w:tcBorders>
              <w:top w:val="single" w:sz="4" w:space="0" w:color="auto"/>
              <w:bottom w:val="dotted" w:sz="4" w:space="0" w:color="auto"/>
            </w:tcBorders>
            <w:vAlign w:val="center"/>
          </w:tcPr>
          <w:p w14:paraId="56F258C1" w14:textId="2BB78B29" w:rsidR="00B451F7" w:rsidRDefault="00B451F7" w:rsidP="00B451F7">
            <w:pPr>
              <w:jc w:val="center"/>
              <w:rPr>
                <w:lang w:bidi="ar-SA"/>
              </w:rPr>
            </w:pPr>
            <w:r w:rsidRPr="00B451F7">
              <w:rPr>
                <w:lang w:val="en-US" w:bidi="ar-SA"/>
              </w:rPr>
              <w:t>0,0000001</w:t>
            </w:r>
          </w:p>
        </w:tc>
        <w:tc>
          <w:tcPr>
            <w:tcW w:w="1061" w:type="dxa"/>
            <w:tcBorders>
              <w:top w:val="single" w:sz="4" w:space="0" w:color="auto"/>
              <w:bottom w:val="dotted" w:sz="4" w:space="0" w:color="auto"/>
            </w:tcBorders>
            <w:vAlign w:val="center"/>
          </w:tcPr>
          <w:p w14:paraId="2A43BB1B" w14:textId="52E7495A" w:rsidR="00B451F7" w:rsidRDefault="00B451F7" w:rsidP="00B451F7">
            <w:pPr>
              <w:jc w:val="center"/>
              <w:rPr>
                <w:lang w:bidi="ar-SA"/>
              </w:rPr>
            </w:pPr>
            <w:r w:rsidRPr="00000530">
              <w:rPr>
                <w:lang w:val="en-US" w:bidi="ar-SA"/>
              </w:rPr>
              <w:t>0</w:t>
            </w:r>
            <w:r>
              <w:rPr>
                <w:lang w:val="en-US" w:bidi="ar-SA"/>
              </w:rPr>
              <w:t>,000</w:t>
            </w:r>
            <w:r w:rsidR="005804C4">
              <w:rPr>
                <w:lang w:val="en-US" w:bidi="ar-SA"/>
              </w:rPr>
              <w:t>1</w:t>
            </w:r>
          </w:p>
        </w:tc>
      </w:tr>
      <w:tr w:rsidR="00B451F7" w14:paraId="22C96358" w14:textId="77777777" w:rsidTr="003B6A41">
        <w:trPr>
          <w:jc w:val="center"/>
        </w:trPr>
        <w:tc>
          <w:tcPr>
            <w:tcW w:w="1066" w:type="dxa"/>
            <w:tcBorders>
              <w:top w:val="dotted" w:sz="4" w:space="0" w:color="auto"/>
              <w:bottom w:val="single" w:sz="4" w:space="0" w:color="auto"/>
            </w:tcBorders>
            <w:vAlign w:val="center"/>
          </w:tcPr>
          <w:p w14:paraId="26DA1D9C" w14:textId="77777777" w:rsidR="00B451F7" w:rsidRDefault="00B451F7" w:rsidP="00B451F7">
            <w:pPr>
              <w:jc w:val="center"/>
              <w:rPr>
                <w:lang w:bidi="ar-SA"/>
              </w:rPr>
            </w:pPr>
          </w:p>
        </w:tc>
        <w:tc>
          <w:tcPr>
            <w:tcW w:w="987" w:type="dxa"/>
            <w:tcBorders>
              <w:top w:val="dotted" w:sz="4" w:space="0" w:color="auto"/>
              <w:bottom w:val="single" w:sz="4" w:space="0" w:color="auto"/>
            </w:tcBorders>
            <w:vAlign w:val="center"/>
          </w:tcPr>
          <w:p w14:paraId="18AEA9AA" w14:textId="51FAAA51" w:rsidR="00B451F7" w:rsidRDefault="00B451F7" w:rsidP="00B451F7">
            <w:pPr>
              <w:jc w:val="center"/>
              <w:rPr>
                <w:lang w:bidi="ar-SA"/>
              </w:rPr>
            </w:pPr>
            <w:r>
              <w:rPr>
                <w:lang w:bidi="ar-SA"/>
              </w:rPr>
              <w:t>1</w:t>
            </w:r>
          </w:p>
        </w:tc>
        <w:tc>
          <w:tcPr>
            <w:tcW w:w="1133" w:type="dxa"/>
            <w:tcBorders>
              <w:top w:val="dotted" w:sz="4" w:space="0" w:color="auto"/>
              <w:bottom w:val="single" w:sz="4" w:space="0" w:color="auto"/>
            </w:tcBorders>
          </w:tcPr>
          <w:p w14:paraId="380B4520" w14:textId="56E84309" w:rsidR="00B451F7" w:rsidRDefault="00B451F7" w:rsidP="00B451F7">
            <w:pPr>
              <w:jc w:val="center"/>
              <w:rPr>
                <w:lang w:bidi="ar-SA"/>
              </w:rPr>
            </w:pPr>
            <w:r w:rsidRPr="003B6A41">
              <w:rPr>
                <w:lang w:val="en-US" w:bidi="ar-SA"/>
              </w:rPr>
              <w:t>8862</w:t>
            </w:r>
          </w:p>
        </w:tc>
        <w:tc>
          <w:tcPr>
            <w:tcW w:w="1052" w:type="dxa"/>
            <w:tcBorders>
              <w:top w:val="dotted" w:sz="4" w:space="0" w:color="auto"/>
              <w:bottom w:val="single" w:sz="4" w:space="0" w:color="auto"/>
            </w:tcBorders>
          </w:tcPr>
          <w:p w14:paraId="2367BD49" w14:textId="131F4F95" w:rsidR="00B451F7" w:rsidRDefault="00B451F7" w:rsidP="00B451F7">
            <w:pPr>
              <w:jc w:val="center"/>
              <w:rPr>
                <w:lang w:bidi="ar-SA"/>
              </w:rPr>
            </w:pPr>
            <w:r w:rsidRPr="00B451F7">
              <w:rPr>
                <w:lang w:bidi="ar-SA"/>
              </w:rPr>
              <w:t>0</w:t>
            </w:r>
            <w:r>
              <w:rPr>
                <w:lang w:bidi="ar-SA"/>
              </w:rPr>
              <w:t>,</w:t>
            </w:r>
            <w:r w:rsidRPr="00B451F7">
              <w:rPr>
                <w:lang w:bidi="ar-SA"/>
              </w:rPr>
              <w:t>47</w:t>
            </w:r>
            <w:r>
              <w:rPr>
                <w:lang w:bidi="ar-SA"/>
              </w:rPr>
              <w:t>90</w:t>
            </w:r>
          </w:p>
        </w:tc>
        <w:tc>
          <w:tcPr>
            <w:tcW w:w="881" w:type="dxa"/>
            <w:tcBorders>
              <w:top w:val="dotted" w:sz="4" w:space="0" w:color="auto"/>
              <w:bottom w:val="single" w:sz="4" w:space="0" w:color="auto"/>
            </w:tcBorders>
          </w:tcPr>
          <w:p w14:paraId="5DD55922" w14:textId="274CA71D" w:rsidR="00B451F7" w:rsidRDefault="00B451F7" w:rsidP="00B451F7">
            <w:pPr>
              <w:jc w:val="center"/>
              <w:rPr>
                <w:lang w:bidi="ar-SA"/>
              </w:rPr>
            </w:pPr>
            <w:r w:rsidRPr="00B451F7">
              <w:rPr>
                <w:lang w:bidi="ar-SA"/>
              </w:rPr>
              <w:t>0</w:t>
            </w:r>
            <w:r>
              <w:rPr>
                <w:lang w:bidi="ar-SA"/>
              </w:rPr>
              <w:t>,</w:t>
            </w:r>
            <w:r w:rsidRPr="00B451F7">
              <w:rPr>
                <w:lang w:bidi="ar-SA"/>
              </w:rPr>
              <w:t>4697</w:t>
            </w:r>
          </w:p>
        </w:tc>
        <w:tc>
          <w:tcPr>
            <w:tcW w:w="1165" w:type="dxa"/>
            <w:tcBorders>
              <w:top w:val="dotted" w:sz="4" w:space="0" w:color="auto"/>
              <w:bottom w:val="single" w:sz="4" w:space="0" w:color="auto"/>
            </w:tcBorders>
            <w:vAlign w:val="center"/>
          </w:tcPr>
          <w:p w14:paraId="7FAF96E0" w14:textId="0DF5D9F7" w:rsidR="00B451F7" w:rsidRDefault="005804C4" w:rsidP="00B451F7">
            <w:pPr>
              <w:jc w:val="center"/>
              <w:rPr>
                <w:lang w:bidi="ar-SA"/>
              </w:rPr>
            </w:pPr>
            <w:r w:rsidRPr="005804C4">
              <w:rPr>
                <w:lang w:val="en-US" w:bidi="ar-SA"/>
              </w:rPr>
              <w:t>0,0003</w:t>
            </w:r>
          </w:p>
        </w:tc>
        <w:tc>
          <w:tcPr>
            <w:tcW w:w="1159" w:type="dxa"/>
            <w:tcBorders>
              <w:top w:val="dotted" w:sz="4" w:space="0" w:color="auto"/>
              <w:bottom w:val="single" w:sz="4" w:space="0" w:color="auto"/>
            </w:tcBorders>
            <w:vAlign w:val="center"/>
          </w:tcPr>
          <w:p w14:paraId="0E3C1174" w14:textId="77CE7D66" w:rsidR="00B451F7" w:rsidRDefault="00B451F7" w:rsidP="00B451F7">
            <w:pPr>
              <w:jc w:val="center"/>
              <w:rPr>
                <w:lang w:bidi="ar-SA"/>
              </w:rPr>
            </w:pPr>
            <w:r w:rsidRPr="00000530">
              <w:rPr>
                <w:lang w:val="en-US" w:bidi="ar-SA"/>
              </w:rPr>
              <w:t>0</w:t>
            </w:r>
            <w:r>
              <w:rPr>
                <w:lang w:val="en-US" w:bidi="ar-SA"/>
              </w:rPr>
              <w:t>,3345</w:t>
            </w:r>
          </w:p>
        </w:tc>
        <w:tc>
          <w:tcPr>
            <w:tcW w:w="1061" w:type="dxa"/>
            <w:tcBorders>
              <w:top w:val="dotted" w:sz="4" w:space="0" w:color="auto"/>
              <w:bottom w:val="single" w:sz="4" w:space="0" w:color="auto"/>
            </w:tcBorders>
            <w:vAlign w:val="center"/>
          </w:tcPr>
          <w:p w14:paraId="31764F35" w14:textId="5BEB7D97" w:rsidR="00B451F7" w:rsidRDefault="00B451F7" w:rsidP="00B451F7">
            <w:pPr>
              <w:jc w:val="center"/>
              <w:rPr>
                <w:lang w:bidi="ar-SA"/>
              </w:rPr>
            </w:pPr>
            <w:r>
              <w:rPr>
                <w:lang w:bidi="ar-SA"/>
              </w:rPr>
              <w:t>0,</w:t>
            </w:r>
            <w:r>
              <w:rPr>
                <w:lang w:bidi="ar-SA"/>
              </w:rPr>
              <w:t>9997</w:t>
            </w:r>
          </w:p>
        </w:tc>
      </w:tr>
    </w:tbl>
    <w:p w14:paraId="629F3050" w14:textId="77777777" w:rsidR="003B6A41" w:rsidRPr="003B6A41" w:rsidRDefault="003B6A41" w:rsidP="003B6A41">
      <w:pPr>
        <w:rPr>
          <w:lang w:bidi="ar-SA"/>
        </w:rPr>
      </w:pPr>
    </w:p>
    <w:p w14:paraId="07C471D3" w14:textId="77777777" w:rsidR="00B3707D" w:rsidRDefault="00B3707D" w:rsidP="00360636"/>
    <w:p w14:paraId="25E3DE28" w14:textId="3E02C388" w:rsidR="003B6A41" w:rsidRDefault="003B6A41" w:rsidP="003B6A41">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5</w:t>
      </w:r>
      <w:r w:rsidRPr="003A5166">
        <w:rPr>
          <w:color w:val="auto"/>
          <w:sz w:val="22"/>
          <w:szCs w:val="22"/>
        </w:rPr>
        <w:fldChar w:fldCharType="end"/>
      </w:r>
      <w:r w:rsidRPr="003A5166">
        <w:rPr>
          <w:color w:val="auto"/>
          <w:sz w:val="22"/>
          <w:szCs w:val="22"/>
        </w:rPr>
        <w:t xml:space="preserve"> –</w:t>
      </w:r>
      <w:r>
        <w:rPr>
          <w:color w:val="auto"/>
          <w:sz w:val="22"/>
          <w:szCs w:val="22"/>
        </w:rPr>
        <w:t xml:space="preserve"> Limiares de Probabilidade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6"/>
        <w:gridCol w:w="987"/>
        <w:gridCol w:w="1133"/>
        <w:gridCol w:w="1052"/>
        <w:gridCol w:w="881"/>
        <w:gridCol w:w="1165"/>
        <w:gridCol w:w="1159"/>
        <w:gridCol w:w="1061"/>
      </w:tblGrid>
      <w:tr w:rsidR="003B6A41" w14:paraId="55BD6D02" w14:textId="77777777" w:rsidTr="00AE3A29">
        <w:trPr>
          <w:jc w:val="center"/>
        </w:trPr>
        <w:tc>
          <w:tcPr>
            <w:tcW w:w="1066" w:type="dxa"/>
            <w:tcBorders>
              <w:bottom w:val="single" w:sz="4" w:space="0" w:color="auto"/>
            </w:tcBorders>
            <w:vAlign w:val="center"/>
          </w:tcPr>
          <w:p w14:paraId="31CE5A7B" w14:textId="77777777" w:rsidR="003B6A41" w:rsidRDefault="003B6A41" w:rsidP="00AE3A29">
            <w:pPr>
              <w:jc w:val="center"/>
              <w:rPr>
                <w:lang w:bidi="ar-SA"/>
              </w:rPr>
            </w:pPr>
          </w:p>
        </w:tc>
        <w:tc>
          <w:tcPr>
            <w:tcW w:w="987" w:type="dxa"/>
            <w:tcBorders>
              <w:bottom w:val="single" w:sz="4" w:space="0" w:color="auto"/>
            </w:tcBorders>
            <w:vAlign w:val="center"/>
          </w:tcPr>
          <w:p w14:paraId="5471F221" w14:textId="77777777" w:rsidR="003B6A41" w:rsidRDefault="003B6A41" w:rsidP="00AE3A29">
            <w:pPr>
              <w:jc w:val="center"/>
              <w:rPr>
                <w:lang w:bidi="ar-SA"/>
              </w:rPr>
            </w:pPr>
            <w:r>
              <w:rPr>
                <w:lang w:bidi="ar-SA"/>
              </w:rPr>
              <w:t>Target</w:t>
            </w:r>
          </w:p>
        </w:tc>
        <w:tc>
          <w:tcPr>
            <w:tcW w:w="1133" w:type="dxa"/>
            <w:tcBorders>
              <w:bottom w:val="single" w:sz="4" w:space="0" w:color="auto"/>
            </w:tcBorders>
          </w:tcPr>
          <w:p w14:paraId="3262C6D6" w14:textId="77777777" w:rsidR="003B6A41" w:rsidRDefault="003B6A41" w:rsidP="00AE3A29">
            <w:pPr>
              <w:jc w:val="center"/>
              <w:rPr>
                <w:lang w:bidi="ar-SA"/>
              </w:rPr>
            </w:pPr>
            <w:r>
              <w:rPr>
                <w:lang w:bidi="ar-SA"/>
              </w:rPr>
              <w:t>Contagem</w:t>
            </w:r>
          </w:p>
        </w:tc>
        <w:tc>
          <w:tcPr>
            <w:tcW w:w="1052" w:type="dxa"/>
            <w:tcBorders>
              <w:bottom w:val="single" w:sz="4" w:space="0" w:color="auto"/>
            </w:tcBorders>
          </w:tcPr>
          <w:p w14:paraId="1272DA55" w14:textId="77777777" w:rsidR="003B6A41" w:rsidRDefault="003B6A41" w:rsidP="00AE3A29">
            <w:pPr>
              <w:jc w:val="center"/>
              <w:rPr>
                <w:lang w:bidi="ar-SA"/>
              </w:rPr>
            </w:pPr>
            <w:r>
              <w:rPr>
                <w:lang w:bidi="ar-SA"/>
              </w:rPr>
              <w:t>Média</w:t>
            </w:r>
          </w:p>
        </w:tc>
        <w:tc>
          <w:tcPr>
            <w:tcW w:w="881" w:type="dxa"/>
            <w:tcBorders>
              <w:bottom w:val="single" w:sz="4" w:space="0" w:color="auto"/>
            </w:tcBorders>
          </w:tcPr>
          <w:p w14:paraId="5B2EB982" w14:textId="77777777" w:rsidR="003B6A41" w:rsidRDefault="003B6A41" w:rsidP="00AE3A29">
            <w:pPr>
              <w:jc w:val="center"/>
              <w:rPr>
                <w:lang w:bidi="ar-SA"/>
              </w:rPr>
            </w:pPr>
            <w:r>
              <w:rPr>
                <w:lang w:bidi="ar-SA"/>
              </w:rPr>
              <w:t>Desvio-Padrão</w:t>
            </w:r>
          </w:p>
        </w:tc>
        <w:tc>
          <w:tcPr>
            <w:tcW w:w="1165" w:type="dxa"/>
            <w:tcBorders>
              <w:bottom w:val="single" w:sz="4" w:space="0" w:color="auto"/>
            </w:tcBorders>
            <w:vAlign w:val="center"/>
          </w:tcPr>
          <w:p w14:paraId="2A8F86C5" w14:textId="77777777" w:rsidR="003B6A41" w:rsidRDefault="003B6A41" w:rsidP="00AE3A29">
            <w:pPr>
              <w:jc w:val="center"/>
              <w:rPr>
                <w:lang w:bidi="ar-SA"/>
              </w:rPr>
            </w:pPr>
            <w:r>
              <w:rPr>
                <w:lang w:bidi="ar-SA"/>
              </w:rPr>
              <w:t>Percentil 25%</w:t>
            </w:r>
          </w:p>
        </w:tc>
        <w:tc>
          <w:tcPr>
            <w:tcW w:w="1159" w:type="dxa"/>
            <w:tcBorders>
              <w:bottom w:val="single" w:sz="4" w:space="0" w:color="auto"/>
            </w:tcBorders>
            <w:vAlign w:val="center"/>
          </w:tcPr>
          <w:p w14:paraId="5F320589" w14:textId="77777777" w:rsidR="003B6A41" w:rsidRDefault="003B6A41" w:rsidP="00AE3A29">
            <w:pPr>
              <w:jc w:val="center"/>
              <w:rPr>
                <w:lang w:bidi="ar-SA"/>
              </w:rPr>
            </w:pPr>
            <w:r>
              <w:rPr>
                <w:lang w:bidi="ar-SA"/>
              </w:rPr>
              <w:t>Percentil 50%</w:t>
            </w:r>
          </w:p>
        </w:tc>
        <w:tc>
          <w:tcPr>
            <w:tcW w:w="1061" w:type="dxa"/>
            <w:tcBorders>
              <w:bottom w:val="single" w:sz="4" w:space="0" w:color="auto"/>
            </w:tcBorders>
            <w:vAlign w:val="center"/>
          </w:tcPr>
          <w:p w14:paraId="1D0B4E09" w14:textId="77777777" w:rsidR="003B6A41" w:rsidRDefault="003B6A41" w:rsidP="00AE3A29">
            <w:pPr>
              <w:jc w:val="center"/>
              <w:rPr>
                <w:lang w:bidi="ar-SA"/>
              </w:rPr>
            </w:pPr>
            <w:r>
              <w:rPr>
                <w:lang w:bidi="ar-SA"/>
              </w:rPr>
              <w:t>Percentil 75%</w:t>
            </w:r>
          </w:p>
        </w:tc>
      </w:tr>
      <w:tr w:rsidR="003B6A41" w14:paraId="069AB15A" w14:textId="77777777" w:rsidTr="00AE3A29">
        <w:trPr>
          <w:jc w:val="center"/>
        </w:trPr>
        <w:tc>
          <w:tcPr>
            <w:tcW w:w="1066" w:type="dxa"/>
            <w:tcBorders>
              <w:top w:val="single" w:sz="4" w:space="0" w:color="auto"/>
              <w:bottom w:val="dotted" w:sz="4" w:space="0" w:color="auto"/>
            </w:tcBorders>
            <w:vAlign w:val="center"/>
          </w:tcPr>
          <w:p w14:paraId="5F0BD957" w14:textId="77777777" w:rsidR="003B6A41" w:rsidRDefault="003B6A41" w:rsidP="00AE3A29">
            <w:pPr>
              <w:jc w:val="center"/>
              <w:rPr>
                <w:lang w:bidi="ar-SA"/>
              </w:rPr>
            </w:pPr>
            <w:r>
              <w:rPr>
                <w:lang w:bidi="ar-SA"/>
              </w:rPr>
              <w:t>Catboost</w:t>
            </w:r>
          </w:p>
        </w:tc>
        <w:tc>
          <w:tcPr>
            <w:tcW w:w="987" w:type="dxa"/>
            <w:tcBorders>
              <w:top w:val="single" w:sz="4" w:space="0" w:color="auto"/>
              <w:bottom w:val="dotted" w:sz="4" w:space="0" w:color="auto"/>
            </w:tcBorders>
            <w:vAlign w:val="center"/>
          </w:tcPr>
          <w:p w14:paraId="649DC2DC" w14:textId="77777777" w:rsidR="003B6A41" w:rsidRDefault="003B6A41" w:rsidP="00AE3A29">
            <w:pPr>
              <w:jc w:val="center"/>
              <w:rPr>
                <w:lang w:bidi="ar-SA"/>
              </w:rPr>
            </w:pPr>
            <w:r>
              <w:rPr>
                <w:lang w:bidi="ar-SA"/>
              </w:rPr>
              <w:t>0</w:t>
            </w:r>
          </w:p>
        </w:tc>
        <w:tc>
          <w:tcPr>
            <w:tcW w:w="1133" w:type="dxa"/>
            <w:tcBorders>
              <w:top w:val="single" w:sz="4" w:space="0" w:color="auto"/>
              <w:bottom w:val="dotted" w:sz="4" w:space="0" w:color="auto"/>
            </w:tcBorders>
          </w:tcPr>
          <w:p w14:paraId="13494D1D" w14:textId="77777777" w:rsidR="003B6A41" w:rsidRPr="00000530" w:rsidRDefault="003B6A41" w:rsidP="00AE3A29">
            <w:pPr>
              <w:jc w:val="center"/>
              <w:rPr>
                <w:lang w:val="en-US" w:bidi="ar-SA"/>
              </w:rPr>
            </w:pPr>
            <w:r w:rsidRPr="003B6A41">
              <w:rPr>
                <w:lang w:val="en-US" w:bidi="ar-SA"/>
              </w:rPr>
              <w:t>116</w:t>
            </w:r>
            <w:r>
              <w:rPr>
                <w:lang w:val="en-US" w:bidi="ar-SA"/>
              </w:rPr>
              <w:t>.</w:t>
            </w:r>
            <w:r w:rsidRPr="003B6A41">
              <w:rPr>
                <w:lang w:val="en-US" w:bidi="ar-SA"/>
              </w:rPr>
              <w:t>654</w:t>
            </w:r>
          </w:p>
        </w:tc>
        <w:tc>
          <w:tcPr>
            <w:tcW w:w="1052" w:type="dxa"/>
            <w:tcBorders>
              <w:top w:val="single" w:sz="4" w:space="0" w:color="auto"/>
              <w:bottom w:val="dotted" w:sz="4" w:space="0" w:color="auto"/>
            </w:tcBorders>
          </w:tcPr>
          <w:p w14:paraId="7E20072E" w14:textId="77777777" w:rsidR="003B6A41" w:rsidRPr="00000530" w:rsidRDefault="003B6A41" w:rsidP="00AE3A29">
            <w:pPr>
              <w:jc w:val="center"/>
              <w:rPr>
                <w:lang w:val="en-US" w:bidi="ar-SA"/>
              </w:rPr>
            </w:pPr>
          </w:p>
        </w:tc>
        <w:tc>
          <w:tcPr>
            <w:tcW w:w="881" w:type="dxa"/>
            <w:tcBorders>
              <w:top w:val="single" w:sz="4" w:space="0" w:color="auto"/>
              <w:bottom w:val="dotted" w:sz="4" w:space="0" w:color="auto"/>
            </w:tcBorders>
          </w:tcPr>
          <w:p w14:paraId="2DC07203" w14:textId="77777777" w:rsidR="003B6A41" w:rsidRPr="00000530" w:rsidRDefault="003B6A41" w:rsidP="00AE3A29">
            <w:pPr>
              <w:jc w:val="center"/>
              <w:rPr>
                <w:lang w:val="en-US" w:bidi="ar-SA"/>
              </w:rPr>
            </w:pPr>
          </w:p>
        </w:tc>
        <w:tc>
          <w:tcPr>
            <w:tcW w:w="1165" w:type="dxa"/>
            <w:tcBorders>
              <w:top w:val="single" w:sz="4" w:space="0" w:color="auto"/>
              <w:bottom w:val="dotted" w:sz="4" w:space="0" w:color="auto"/>
            </w:tcBorders>
            <w:vAlign w:val="center"/>
          </w:tcPr>
          <w:p w14:paraId="4AE2B222" w14:textId="77777777" w:rsidR="003B6A41" w:rsidRPr="00000530" w:rsidRDefault="003B6A41" w:rsidP="00AE3A29">
            <w:pPr>
              <w:jc w:val="center"/>
              <w:rPr>
                <w:lang w:val="en-US" w:bidi="ar-SA"/>
              </w:rPr>
            </w:pPr>
          </w:p>
        </w:tc>
        <w:tc>
          <w:tcPr>
            <w:tcW w:w="1159" w:type="dxa"/>
            <w:tcBorders>
              <w:top w:val="single" w:sz="4" w:space="0" w:color="auto"/>
              <w:bottom w:val="dotted" w:sz="4" w:space="0" w:color="auto"/>
            </w:tcBorders>
            <w:vAlign w:val="center"/>
          </w:tcPr>
          <w:p w14:paraId="75D8A268" w14:textId="77777777" w:rsidR="003B6A41" w:rsidRDefault="003B6A41" w:rsidP="00AE3A29">
            <w:pPr>
              <w:jc w:val="center"/>
              <w:rPr>
                <w:lang w:bidi="ar-SA"/>
              </w:rPr>
            </w:pPr>
            <w:r w:rsidRPr="00000530">
              <w:rPr>
                <w:lang w:val="en-US" w:bidi="ar-SA"/>
              </w:rPr>
              <w:t>0</w:t>
            </w:r>
            <w:r>
              <w:rPr>
                <w:lang w:val="en-US" w:bidi="ar-SA"/>
              </w:rPr>
              <w:t>,</w:t>
            </w:r>
            <w:r w:rsidRPr="00000530">
              <w:rPr>
                <w:lang w:val="en-US" w:bidi="ar-SA"/>
              </w:rPr>
              <w:t>92845</w:t>
            </w:r>
            <w:r>
              <w:rPr>
                <w:lang w:val="en-US" w:bidi="ar-SA"/>
              </w:rPr>
              <w:t>5</w:t>
            </w:r>
          </w:p>
        </w:tc>
        <w:tc>
          <w:tcPr>
            <w:tcW w:w="1061" w:type="dxa"/>
            <w:tcBorders>
              <w:top w:val="single" w:sz="4" w:space="0" w:color="auto"/>
              <w:bottom w:val="dotted" w:sz="4" w:space="0" w:color="auto"/>
            </w:tcBorders>
            <w:vAlign w:val="center"/>
          </w:tcPr>
          <w:p w14:paraId="12DB6ABE" w14:textId="77777777" w:rsidR="003B6A41" w:rsidRDefault="003B6A41" w:rsidP="00AE3A29">
            <w:pPr>
              <w:jc w:val="center"/>
              <w:rPr>
                <w:lang w:bidi="ar-SA"/>
              </w:rPr>
            </w:pPr>
          </w:p>
        </w:tc>
      </w:tr>
      <w:tr w:rsidR="003B6A41" w14:paraId="6C798344" w14:textId="77777777" w:rsidTr="00AE3A29">
        <w:trPr>
          <w:jc w:val="center"/>
        </w:trPr>
        <w:tc>
          <w:tcPr>
            <w:tcW w:w="1066" w:type="dxa"/>
            <w:tcBorders>
              <w:top w:val="dotted" w:sz="4" w:space="0" w:color="auto"/>
              <w:bottom w:val="single" w:sz="4" w:space="0" w:color="auto"/>
            </w:tcBorders>
            <w:vAlign w:val="center"/>
          </w:tcPr>
          <w:p w14:paraId="77927141" w14:textId="77777777" w:rsidR="003B6A41" w:rsidRDefault="003B6A41" w:rsidP="00AE3A29">
            <w:pPr>
              <w:jc w:val="center"/>
              <w:rPr>
                <w:lang w:bidi="ar-SA"/>
              </w:rPr>
            </w:pPr>
          </w:p>
        </w:tc>
        <w:tc>
          <w:tcPr>
            <w:tcW w:w="987" w:type="dxa"/>
            <w:tcBorders>
              <w:top w:val="dotted" w:sz="4" w:space="0" w:color="auto"/>
              <w:bottom w:val="single" w:sz="4" w:space="0" w:color="auto"/>
            </w:tcBorders>
            <w:vAlign w:val="center"/>
          </w:tcPr>
          <w:p w14:paraId="480FC738" w14:textId="77777777" w:rsidR="003B6A41" w:rsidRDefault="003B6A41" w:rsidP="00AE3A29">
            <w:pPr>
              <w:jc w:val="center"/>
              <w:rPr>
                <w:lang w:bidi="ar-SA"/>
              </w:rPr>
            </w:pPr>
            <w:r>
              <w:rPr>
                <w:lang w:bidi="ar-SA"/>
              </w:rPr>
              <w:t>1</w:t>
            </w:r>
          </w:p>
        </w:tc>
        <w:tc>
          <w:tcPr>
            <w:tcW w:w="1133" w:type="dxa"/>
            <w:tcBorders>
              <w:top w:val="dotted" w:sz="4" w:space="0" w:color="auto"/>
              <w:bottom w:val="single" w:sz="4" w:space="0" w:color="auto"/>
            </w:tcBorders>
          </w:tcPr>
          <w:p w14:paraId="205A8BE2" w14:textId="77777777" w:rsidR="003B6A41" w:rsidRPr="00000530" w:rsidRDefault="003B6A41" w:rsidP="00AE3A29">
            <w:pPr>
              <w:jc w:val="center"/>
              <w:rPr>
                <w:lang w:val="en-US" w:bidi="ar-SA"/>
              </w:rPr>
            </w:pPr>
            <w:r w:rsidRPr="003B6A41">
              <w:rPr>
                <w:lang w:val="en-US" w:bidi="ar-SA"/>
              </w:rPr>
              <w:t>8</w:t>
            </w:r>
            <w:r>
              <w:rPr>
                <w:lang w:val="en-US" w:bidi="ar-SA"/>
              </w:rPr>
              <w:t>.</w:t>
            </w:r>
            <w:r w:rsidRPr="003B6A41">
              <w:rPr>
                <w:lang w:val="en-US" w:bidi="ar-SA"/>
              </w:rPr>
              <w:t>862</w:t>
            </w:r>
          </w:p>
        </w:tc>
        <w:tc>
          <w:tcPr>
            <w:tcW w:w="1052" w:type="dxa"/>
            <w:tcBorders>
              <w:top w:val="dotted" w:sz="4" w:space="0" w:color="auto"/>
              <w:bottom w:val="single" w:sz="4" w:space="0" w:color="auto"/>
            </w:tcBorders>
          </w:tcPr>
          <w:p w14:paraId="4CB51D17" w14:textId="77777777" w:rsidR="003B6A41" w:rsidRPr="00000530" w:rsidRDefault="003B6A41" w:rsidP="00AE3A29">
            <w:pPr>
              <w:jc w:val="center"/>
              <w:rPr>
                <w:lang w:val="en-US" w:bidi="ar-SA"/>
              </w:rPr>
            </w:pPr>
          </w:p>
        </w:tc>
        <w:tc>
          <w:tcPr>
            <w:tcW w:w="881" w:type="dxa"/>
            <w:tcBorders>
              <w:top w:val="dotted" w:sz="4" w:space="0" w:color="auto"/>
              <w:bottom w:val="single" w:sz="4" w:space="0" w:color="auto"/>
            </w:tcBorders>
          </w:tcPr>
          <w:p w14:paraId="5B29D9D7" w14:textId="77777777" w:rsidR="003B6A41" w:rsidRPr="00000530" w:rsidRDefault="003B6A41" w:rsidP="00AE3A29">
            <w:pPr>
              <w:jc w:val="center"/>
              <w:rPr>
                <w:lang w:val="en-US" w:bidi="ar-SA"/>
              </w:rPr>
            </w:pPr>
          </w:p>
        </w:tc>
        <w:tc>
          <w:tcPr>
            <w:tcW w:w="1165" w:type="dxa"/>
            <w:tcBorders>
              <w:top w:val="dotted" w:sz="4" w:space="0" w:color="auto"/>
              <w:bottom w:val="single" w:sz="4" w:space="0" w:color="auto"/>
            </w:tcBorders>
            <w:vAlign w:val="center"/>
          </w:tcPr>
          <w:p w14:paraId="6F96E8D1" w14:textId="77777777" w:rsidR="003B6A41" w:rsidRDefault="003B6A41" w:rsidP="00AE3A29">
            <w:pPr>
              <w:jc w:val="center"/>
              <w:rPr>
                <w:lang w:bidi="ar-SA"/>
              </w:rPr>
            </w:pPr>
          </w:p>
        </w:tc>
        <w:tc>
          <w:tcPr>
            <w:tcW w:w="1159" w:type="dxa"/>
            <w:tcBorders>
              <w:top w:val="dotted" w:sz="4" w:space="0" w:color="auto"/>
              <w:bottom w:val="single" w:sz="4" w:space="0" w:color="auto"/>
            </w:tcBorders>
            <w:vAlign w:val="center"/>
          </w:tcPr>
          <w:p w14:paraId="0B6E805B" w14:textId="77777777" w:rsidR="003B6A41" w:rsidRDefault="003B6A41" w:rsidP="00AE3A29">
            <w:pPr>
              <w:jc w:val="center"/>
              <w:rPr>
                <w:lang w:bidi="ar-SA"/>
              </w:rPr>
            </w:pPr>
            <w:r w:rsidRPr="00000530">
              <w:rPr>
                <w:lang w:val="en-US" w:bidi="ar-SA"/>
              </w:rPr>
              <w:t>0</w:t>
            </w:r>
            <w:r>
              <w:rPr>
                <w:lang w:val="en-US" w:bidi="ar-SA"/>
              </w:rPr>
              <w:t>,</w:t>
            </w:r>
            <w:r w:rsidRPr="00000530">
              <w:rPr>
                <w:lang w:val="en-US" w:bidi="ar-SA"/>
              </w:rPr>
              <w:t>113524</w:t>
            </w:r>
          </w:p>
        </w:tc>
        <w:tc>
          <w:tcPr>
            <w:tcW w:w="1061" w:type="dxa"/>
            <w:tcBorders>
              <w:top w:val="dotted" w:sz="4" w:space="0" w:color="auto"/>
              <w:bottom w:val="single" w:sz="4" w:space="0" w:color="auto"/>
            </w:tcBorders>
            <w:vAlign w:val="center"/>
          </w:tcPr>
          <w:p w14:paraId="293EE23A" w14:textId="77777777" w:rsidR="003B6A41" w:rsidRDefault="003B6A41" w:rsidP="00AE3A29">
            <w:pPr>
              <w:jc w:val="center"/>
              <w:rPr>
                <w:lang w:bidi="ar-SA"/>
              </w:rPr>
            </w:pPr>
          </w:p>
        </w:tc>
      </w:tr>
      <w:tr w:rsidR="003B6A41" w14:paraId="6BBF3DE8" w14:textId="77777777" w:rsidTr="00AE3A29">
        <w:trPr>
          <w:jc w:val="center"/>
        </w:trPr>
        <w:tc>
          <w:tcPr>
            <w:tcW w:w="1066" w:type="dxa"/>
            <w:vAlign w:val="center"/>
          </w:tcPr>
          <w:p w14:paraId="0CADAA63" w14:textId="77777777" w:rsidR="003B6A41" w:rsidRDefault="003B6A41" w:rsidP="00AE3A29">
            <w:pPr>
              <w:jc w:val="center"/>
              <w:rPr>
                <w:lang w:bidi="ar-SA"/>
              </w:rPr>
            </w:pPr>
            <w:r>
              <w:rPr>
                <w:lang w:bidi="ar-SA"/>
              </w:rPr>
              <w:t>ELM</w:t>
            </w:r>
          </w:p>
        </w:tc>
        <w:tc>
          <w:tcPr>
            <w:tcW w:w="987" w:type="dxa"/>
            <w:vAlign w:val="center"/>
          </w:tcPr>
          <w:p w14:paraId="7D6E53FB" w14:textId="77777777" w:rsidR="003B6A41" w:rsidRDefault="003B6A41" w:rsidP="00AE3A29">
            <w:pPr>
              <w:jc w:val="center"/>
              <w:rPr>
                <w:lang w:bidi="ar-SA"/>
              </w:rPr>
            </w:pPr>
            <w:r>
              <w:rPr>
                <w:lang w:bidi="ar-SA"/>
              </w:rPr>
              <w:t>0</w:t>
            </w:r>
          </w:p>
        </w:tc>
        <w:tc>
          <w:tcPr>
            <w:tcW w:w="1133" w:type="dxa"/>
          </w:tcPr>
          <w:p w14:paraId="0C98B0FC" w14:textId="77777777" w:rsidR="003B6A41" w:rsidRDefault="003B6A41" w:rsidP="00AE3A29">
            <w:pPr>
              <w:jc w:val="center"/>
              <w:rPr>
                <w:lang w:bidi="ar-SA"/>
              </w:rPr>
            </w:pPr>
            <w:r w:rsidRPr="003B6A41">
              <w:rPr>
                <w:lang w:val="en-US" w:bidi="ar-SA"/>
              </w:rPr>
              <w:t>116</w:t>
            </w:r>
            <w:r>
              <w:rPr>
                <w:lang w:val="en-US" w:bidi="ar-SA"/>
              </w:rPr>
              <w:t>.</w:t>
            </w:r>
            <w:r w:rsidRPr="003B6A41">
              <w:rPr>
                <w:lang w:val="en-US" w:bidi="ar-SA"/>
              </w:rPr>
              <w:t>654</w:t>
            </w:r>
          </w:p>
        </w:tc>
        <w:tc>
          <w:tcPr>
            <w:tcW w:w="1052" w:type="dxa"/>
          </w:tcPr>
          <w:p w14:paraId="58CA5D22" w14:textId="77777777" w:rsidR="003B6A41" w:rsidRDefault="003B6A41" w:rsidP="00AE3A29">
            <w:pPr>
              <w:jc w:val="center"/>
              <w:rPr>
                <w:lang w:bidi="ar-SA"/>
              </w:rPr>
            </w:pPr>
            <w:r w:rsidRPr="003B6A41">
              <w:rPr>
                <w:lang w:val="en-US" w:bidi="ar-SA"/>
              </w:rPr>
              <w:t>0</w:t>
            </w:r>
            <w:r>
              <w:rPr>
                <w:lang w:val="en-US" w:bidi="ar-SA"/>
              </w:rPr>
              <w:t>,</w:t>
            </w:r>
            <w:r w:rsidRPr="003B6A41">
              <w:rPr>
                <w:lang w:val="en-US" w:bidi="ar-SA"/>
              </w:rPr>
              <w:t>129</w:t>
            </w:r>
            <w:r>
              <w:rPr>
                <w:lang w:val="en-US" w:bidi="ar-SA"/>
              </w:rPr>
              <w:t>6</w:t>
            </w:r>
          </w:p>
        </w:tc>
        <w:tc>
          <w:tcPr>
            <w:tcW w:w="881" w:type="dxa"/>
          </w:tcPr>
          <w:p w14:paraId="6663B3EC" w14:textId="77777777" w:rsidR="003B6A41" w:rsidRDefault="003B6A41" w:rsidP="00AE3A29">
            <w:pPr>
              <w:rPr>
                <w:lang w:bidi="ar-SA"/>
              </w:rPr>
            </w:pPr>
            <w:r w:rsidRPr="003B6A41">
              <w:rPr>
                <w:lang w:bidi="ar-SA"/>
              </w:rPr>
              <w:t>0</w:t>
            </w:r>
            <w:r>
              <w:rPr>
                <w:lang w:bidi="ar-SA"/>
              </w:rPr>
              <w:t>,</w:t>
            </w:r>
            <w:r w:rsidRPr="003B6A41">
              <w:rPr>
                <w:lang w:bidi="ar-SA"/>
              </w:rPr>
              <w:t>081</w:t>
            </w:r>
            <w:r>
              <w:rPr>
                <w:lang w:bidi="ar-SA"/>
              </w:rPr>
              <w:t>1</w:t>
            </w:r>
          </w:p>
        </w:tc>
        <w:tc>
          <w:tcPr>
            <w:tcW w:w="1165" w:type="dxa"/>
            <w:vAlign w:val="center"/>
          </w:tcPr>
          <w:p w14:paraId="19FA4505" w14:textId="77777777" w:rsidR="003B6A41" w:rsidRDefault="003B6A41" w:rsidP="00AE3A29">
            <w:pPr>
              <w:jc w:val="center"/>
              <w:rPr>
                <w:lang w:bidi="ar-SA"/>
              </w:rPr>
            </w:pPr>
            <w:r w:rsidRPr="00000530">
              <w:rPr>
                <w:lang w:val="en-US" w:bidi="ar-SA"/>
              </w:rPr>
              <w:t>0</w:t>
            </w:r>
            <w:r>
              <w:rPr>
                <w:lang w:val="en-US" w:bidi="ar-SA"/>
              </w:rPr>
              <w:t>,0976</w:t>
            </w:r>
          </w:p>
        </w:tc>
        <w:tc>
          <w:tcPr>
            <w:tcW w:w="1159" w:type="dxa"/>
            <w:vAlign w:val="center"/>
          </w:tcPr>
          <w:p w14:paraId="313693F4" w14:textId="77777777" w:rsidR="003B6A41" w:rsidRDefault="003B6A41" w:rsidP="00AE3A29">
            <w:pPr>
              <w:jc w:val="center"/>
              <w:rPr>
                <w:lang w:bidi="ar-SA"/>
              </w:rPr>
            </w:pPr>
            <w:r w:rsidRPr="00000530">
              <w:rPr>
                <w:lang w:val="en-US" w:bidi="ar-SA"/>
              </w:rPr>
              <w:t>0</w:t>
            </w:r>
            <w:r>
              <w:rPr>
                <w:lang w:val="en-US" w:bidi="ar-SA"/>
              </w:rPr>
              <w:t>,1008</w:t>
            </w:r>
          </w:p>
        </w:tc>
        <w:tc>
          <w:tcPr>
            <w:tcW w:w="1061" w:type="dxa"/>
            <w:vAlign w:val="center"/>
          </w:tcPr>
          <w:p w14:paraId="15D6C7E4" w14:textId="77777777" w:rsidR="003B6A41" w:rsidRDefault="003B6A41" w:rsidP="00AE3A29">
            <w:pPr>
              <w:jc w:val="center"/>
              <w:rPr>
                <w:lang w:bidi="ar-SA"/>
              </w:rPr>
            </w:pPr>
            <w:r>
              <w:rPr>
                <w:lang w:bidi="ar-SA"/>
              </w:rPr>
              <w:t>0,1260</w:t>
            </w:r>
          </w:p>
        </w:tc>
      </w:tr>
      <w:tr w:rsidR="003B6A41" w14:paraId="3A02236C" w14:textId="77777777" w:rsidTr="00AE3A29">
        <w:trPr>
          <w:jc w:val="center"/>
        </w:trPr>
        <w:tc>
          <w:tcPr>
            <w:tcW w:w="1066" w:type="dxa"/>
            <w:tcBorders>
              <w:bottom w:val="single" w:sz="4" w:space="0" w:color="auto"/>
            </w:tcBorders>
            <w:vAlign w:val="center"/>
          </w:tcPr>
          <w:p w14:paraId="22B6E372" w14:textId="77777777" w:rsidR="003B6A41" w:rsidRDefault="003B6A41" w:rsidP="00AE3A29">
            <w:pPr>
              <w:jc w:val="center"/>
              <w:rPr>
                <w:lang w:bidi="ar-SA"/>
              </w:rPr>
            </w:pPr>
          </w:p>
        </w:tc>
        <w:tc>
          <w:tcPr>
            <w:tcW w:w="987" w:type="dxa"/>
            <w:tcBorders>
              <w:bottom w:val="single" w:sz="4" w:space="0" w:color="auto"/>
            </w:tcBorders>
            <w:vAlign w:val="center"/>
          </w:tcPr>
          <w:p w14:paraId="5D40511F" w14:textId="77777777" w:rsidR="003B6A41" w:rsidRDefault="003B6A41" w:rsidP="00AE3A29">
            <w:pPr>
              <w:jc w:val="center"/>
              <w:rPr>
                <w:lang w:bidi="ar-SA"/>
              </w:rPr>
            </w:pPr>
            <w:r>
              <w:rPr>
                <w:lang w:bidi="ar-SA"/>
              </w:rPr>
              <w:t>1</w:t>
            </w:r>
          </w:p>
        </w:tc>
        <w:tc>
          <w:tcPr>
            <w:tcW w:w="1133" w:type="dxa"/>
            <w:tcBorders>
              <w:bottom w:val="single" w:sz="4" w:space="0" w:color="auto"/>
            </w:tcBorders>
          </w:tcPr>
          <w:p w14:paraId="077501C2" w14:textId="77777777" w:rsidR="003B6A41" w:rsidRDefault="003B6A41" w:rsidP="00AE3A29">
            <w:pPr>
              <w:jc w:val="center"/>
              <w:rPr>
                <w:lang w:bidi="ar-SA"/>
              </w:rPr>
            </w:pPr>
            <w:r w:rsidRPr="003B6A41">
              <w:rPr>
                <w:lang w:val="en-US" w:bidi="ar-SA"/>
              </w:rPr>
              <w:t>8</w:t>
            </w:r>
            <w:r>
              <w:rPr>
                <w:lang w:val="en-US" w:bidi="ar-SA"/>
              </w:rPr>
              <w:t>.</w:t>
            </w:r>
            <w:r w:rsidRPr="003B6A41">
              <w:rPr>
                <w:lang w:val="en-US" w:bidi="ar-SA"/>
              </w:rPr>
              <w:t>862</w:t>
            </w:r>
          </w:p>
        </w:tc>
        <w:tc>
          <w:tcPr>
            <w:tcW w:w="1052" w:type="dxa"/>
            <w:tcBorders>
              <w:bottom w:val="single" w:sz="4" w:space="0" w:color="auto"/>
            </w:tcBorders>
          </w:tcPr>
          <w:p w14:paraId="2ED12DBE" w14:textId="77777777" w:rsidR="003B6A41" w:rsidRDefault="003B6A41" w:rsidP="00AE3A29">
            <w:pPr>
              <w:jc w:val="center"/>
              <w:rPr>
                <w:lang w:bidi="ar-SA"/>
              </w:rPr>
            </w:pPr>
            <w:r w:rsidRPr="003B6A41">
              <w:rPr>
                <w:lang w:val="en-US" w:bidi="ar-SA"/>
              </w:rPr>
              <w:t>0</w:t>
            </w:r>
            <w:r>
              <w:rPr>
                <w:lang w:val="en-US" w:bidi="ar-SA"/>
              </w:rPr>
              <w:t>,</w:t>
            </w:r>
            <w:r w:rsidRPr="003B6A41">
              <w:rPr>
                <w:lang w:val="en-US" w:bidi="ar-SA"/>
              </w:rPr>
              <w:t>2918</w:t>
            </w:r>
          </w:p>
        </w:tc>
        <w:tc>
          <w:tcPr>
            <w:tcW w:w="881" w:type="dxa"/>
            <w:tcBorders>
              <w:bottom w:val="single" w:sz="4" w:space="0" w:color="auto"/>
            </w:tcBorders>
          </w:tcPr>
          <w:p w14:paraId="29D4A9B1" w14:textId="77777777" w:rsidR="003B6A41" w:rsidRDefault="003B6A41" w:rsidP="00AE3A29">
            <w:pPr>
              <w:jc w:val="center"/>
              <w:rPr>
                <w:lang w:bidi="ar-SA"/>
              </w:rPr>
            </w:pPr>
            <w:r w:rsidRPr="003B6A41">
              <w:rPr>
                <w:lang w:bidi="ar-SA"/>
              </w:rPr>
              <w:t>0</w:t>
            </w:r>
            <w:r>
              <w:rPr>
                <w:lang w:bidi="ar-SA"/>
              </w:rPr>
              <w:t>,</w:t>
            </w:r>
            <w:r w:rsidRPr="003B6A41">
              <w:rPr>
                <w:lang w:bidi="ar-SA"/>
              </w:rPr>
              <w:t>2476</w:t>
            </w:r>
          </w:p>
        </w:tc>
        <w:tc>
          <w:tcPr>
            <w:tcW w:w="1165" w:type="dxa"/>
            <w:tcBorders>
              <w:bottom w:val="single" w:sz="4" w:space="0" w:color="auto"/>
            </w:tcBorders>
            <w:vAlign w:val="center"/>
          </w:tcPr>
          <w:p w14:paraId="5E7EB2B5" w14:textId="77777777" w:rsidR="003B6A41" w:rsidRDefault="003B6A41" w:rsidP="00AE3A29">
            <w:pPr>
              <w:jc w:val="center"/>
              <w:rPr>
                <w:lang w:bidi="ar-SA"/>
              </w:rPr>
            </w:pPr>
            <w:r w:rsidRPr="00000530">
              <w:rPr>
                <w:lang w:val="en-US" w:bidi="ar-SA"/>
              </w:rPr>
              <w:t>0</w:t>
            </w:r>
            <w:r>
              <w:rPr>
                <w:lang w:val="en-US" w:bidi="ar-SA"/>
              </w:rPr>
              <w:t>,2034</w:t>
            </w:r>
          </w:p>
        </w:tc>
        <w:tc>
          <w:tcPr>
            <w:tcW w:w="1159" w:type="dxa"/>
            <w:tcBorders>
              <w:bottom w:val="single" w:sz="4" w:space="0" w:color="auto"/>
            </w:tcBorders>
            <w:vAlign w:val="center"/>
          </w:tcPr>
          <w:p w14:paraId="3D9AA791" w14:textId="77777777" w:rsidR="003B6A41" w:rsidRDefault="003B6A41" w:rsidP="00AE3A29">
            <w:pPr>
              <w:jc w:val="center"/>
              <w:rPr>
                <w:lang w:bidi="ar-SA"/>
              </w:rPr>
            </w:pPr>
            <w:r w:rsidRPr="00000530">
              <w:rPr>
                <w:lang w:val="en-US" w:bidi="ar-SA"/>
              </w:rPr>
              <w:t>0</w:t>
            </w:r>
            <w:r>
              <w:rPr>
                <w:lang w:val="en-US" w:bidi="ar-SA"/>
              </w:rPr>
              <w:t>,2482</w:t>
            </w:r>
          </w:p>
        </w:tc>
        <w:tc>
          <w:tcPr>
            <w:tcW w:w="1061" w:type="dxa"/>
            <w:tcBorders>
              <w:bottom w:val="single" w:sz="4" w:space="0" w:color="auto"/>
            </w:tcBorders>
            <w:vAlign w:val="center"/>
          </w:tcPr>
          <w:p w14:paraId="711B2909" w14:textId="77777777" w:rsidR="003B6A41" w:rsidRDefault="003B6A41" w:rsidP="00AE3A29">
            <w:pPr>
              <w:jc w:val="center"/>
              <w:rPr>
                <w:lang w:bidi="ar-SA"/>
              </w:rPr>
            </w:pPr>
            <w:r>
              <w:rPr>
                <w:lang w:bidi="ar-SA"/>
              </w:rPr>
              <w:t>0,3185</w:t>
            </w:r>
          </w:p>
        </w:tc>
      </w:tr>
      <w:tr w:rsidR="003B6A41" w14:paraId="5A13E852" w14:textId="77777777" w:rsidTr="00AE3A29">
        <w:trPr>
          <w:jc w:val="center"/>
        </w:trPr>
        <w:tc>
          <w:tcPr>
            <w:tcW w:w="1066" w:type="dxa"/>
            <w:tcBorders>
              <w:top w:val="single" w:sz="4" w:space="0" w:color="auto"/>
              <w:bottom w:val="dotted" w:sz="4" w:space="0" w:color="auto"/>
            </w:tcBorders>
            <w:vAlign w:val="center"/>
          </w:tcPr>
          <w:p w14:paraId="7F15C876" w14:textId="77777777" w:rsidR="003B6A41" w:rsidRDefault="003B6A41" w:rsidP="00AE3A29">
            <w:pPr>
              <w:jc w:val="center"/>
              <w:rPr>
                <w:lang w:bidi="ar-SA"/>
              </w:rPr>
            </w:pPr>
            <w:r>
              <w:rPr>
                <w:lang w:bidi="ar-SA"/>
              </w:rPr>
              <w:t>XGboost</w:t>
            </w:r>
          </w:p>
        </w:tc>
        <w:tc>
          <w:tcPr>
            <w:tcW w:w="987" w:type="dxa"/>
            <w:tcBorders>
              <w:top w:val="single" w:sz="4" w:space="0" w:color="auto"/>
              <w:bottom w:val="dotted" w:sz="4" w:space="0" w:color="auto"/>
            </w:tcBorders>
            <w:vAlign w:val="center"/>
          </w:tcPr>
          <w:p w14:paraId="01B85C18" w14:textId="77777777" w:rsidR="003B6A41" w:rsidRDefault="003B6A41" w:rsidP="00AE3A29">
            <w:pPr>
              <w:jc w:val="center"/>
              <w:rPr>
                <w:lang w:bidi="ar-SA"/>
              </w:rPr>
            </w:pPr>
            <w:r>
              <w:rPr>
                <w:lang w:bidi="ar-SA"/>
              </w:rPr>
              <w:t>0</w:t>
            </w:r>
          </w:p>
        </w:tc>
        <w:tc>
          <w:tcPr>
            <w:tcW w:w="1133" w:type="dxa"/>
            <w:tcBorders>
              <w:top w:val="single" w:sz="4" w:space="0" w:color="auto"/>
              <w:bottom w:val="dotted" w:sz="4" w:space="0" w:color="auto"/>
            </w:tcBorders>
          </w:tcPr>
          <w:p w14:paraId="18B1B6B3" w14:textId="77777777" w:rsidR="003B6A41" w:rsidRDefault="003B6A41" w:rsidP="00AE3A29">
            <w:pPr>
              <w:jc w:val="center"/>
              <w:rPr>
                <w:lang w:bidi="ar-SA"/>
              </w:rPr>
            </w:pPr>
            <w:r w:rsidRPr="003B6A41">
              <w:rPr>
                <w:lang w:val="en-US" w:bidi="ar-SA"/>
              </w:rPr>
              <w:t>116</w:t>
            </w:r>
            <w:r>
              <w:rPr>
                <w:lang w:val="en-US" w:bidi="ar-SA"/>
              </w:rPr>
              <w:t>.</w:t>
            </w:r>
            <w:r w:rsidRPr="003B6A41">
              <w:rPr>
                <w:lang w:val="en-US" w:bidi="ar-SA"/>
              </w:rPr>
              <w:t>654</w:t>
            </w:r>
          </w:p>
        </w:tc>
        <w:tc>
          <w:tcPr>
            <w:tcW w:w="1052" w:type="dxa"/>
            <w:tcBorders>
              <w:top w:val="single" w:sz="4" w:space="0" w:color="auto"/>
              <w:bottom w:val="dotted" w:sz="4" w:space="0" w:color="auto"/>
            </w:tcBorders>
          </w:tcPr>
          <w:p w14:paraId="74BAAA6C" w14:textId="77777777" w:rsidR="003B6A41" w:rsidRDefault="003B6A41" w:rsidP="00AE3A29">
            <w:pPr>
              <w:jc w:val="center"/>
              <w:rPr>
                <w:lang w:bidi="ar-SA"/>
              </w:rPr>
            </w:pPr>
          </w:p>
        </w:tc>
        <w:tc>
          <w:tcPr>
            <w:tcW w:w="881" w:type="dxa"/>
            <w:tcBorders>
              <w:top w:val="single" w:sz="4" w:space="0" w:color="auto"/>
              <w:bottom w:val="dotted" w:sz="4" w:space="0" w:color="auto"/>
            </w:tcBorders>
          </w:tcPr>
          <w:p w14:paraId="3828E752" w14:textId="77777777" w:rsidR="003B6A41" w:rsidRDefault="003B6A41" w:rsidP="00AE3A29">
            <w:pPr>
              <w:jc w:val="center"/>
              <w:rPr>
                <w:lang w:bidi="ar-SA"/>
              </w:rPr>
            </w:pPr>
          </w:p>
        </w:tc>
        <w:tc>
          <w:tcPr>
            <w:tcW w:w="1165" w:type="dxa"/>
            <w:tcBorders>
              <w:top w:val="single" w:sz="4" w:space="0" w:color="auto"/>
              <w:bottom w:val="dotted" w:sz="4" w:space="0" w:color="auto"/>
            </w:tcBorders>
            <w:vAlign w:val="center"/>
          </w:tcPr>
          <w:p w14:paraId="143F18D2" w14:textId="77777777" w:rsidR="003B6A41" w:rsidRDefault="003B6A41" w:rsidP="00AE3A29">
            <w:pPr>
              <w:jc w:val="center"/>
              <w:rPr>
                <w:lang w:bidi="ar-SA"/>
              </w:rPr>
            </w:pPr>
          </w:p>
        </w:tc>
        <w:tc>
          <w:tcPr>
            <w:tcW w:w="1159" w:type="dxa"/>
            <w:tcBorders>
              <w:top w:val="single" w:sz="4" w:space="0" w:color="auto"/>
              <w:bottom w:val="dotted" w:sz="4" w:space="0" w:color="auto"/>
            </w:tcBorders>
            <w:vAlign w:val="center"/>
          </w:tcPr>
          <w:p w14:paraId="53A7F692" w14:textId="77777777" w:rsidR="003B6A41" w:rsidRDefault="003B6A41" w:rsidP="00AE3A29">
            <w:pPr>
              <w:jc w:val="center"/>
              <w:rPr>
                <w:lang w:bidi="ar-SA"/>
              </w:rPr>
            </w:pPr>
            <w:r w:rsidRPr="00000530">
              <w:rPr>
                <w:lang w:val="en-US" w:bidi="ar-SA"/>
              </w:rPr>
              <w:t>0</w:t>
            </w:r>
            <w:r>
              <w:rPr>
                <w:lang w:val="en-US" w:bidi="ar-SA"/>
              </w:rPr>
              <w:t>,</w:t>
            </w:r>
            <w:r w:rsidRPr="00000530">
              <w:rPr>
                <w:lang w:val="en-US" w:bidi="ar-SA"/>
              </w:rPr>
              <w:t>11379</w:t>
            </w:r>
            <w:r>
              <w:rPr>
                <w:lang w:val="en-US" w:bidi="ar-SA"/>
              </w:rPr>
              <w:t>1</w:t>
            </w:r>
          </w:p>
        </w:tc>
        <w:tc>
          <w:tcPr>
            <w:tcW w:w="1061" w:type="dxa"/>
            <w:tcBorders>
              <w:top w:val="single" w:sz="4" w:space="0" w:color="auto"/>
              <w:bottom w:val="dotted" w:sz="4" w:space="0" w:color="auto"/>
            </w:tcBorders>
            <w:vAlign w:val="center"/>
          </w:tcPr>
          <w:p w14:paraId="6DAB2769" w14:textId="77777777" w:rsidR="003B6A41" w:rsidRDefault="003B6A41" w:rsidP="00AE3A29">
            <w:pPr>
              <w:jc w:val="center"/>
              <w:rPr>
                <w:lang w:bidi="ar-SA"/>
              </w:rPr>
            </w:pPr>
          </w:p>
        </w:tc>
      </w:tr>
      <w:tr w:rsidR="003B6A41" w14:paraId="153BE105" w14:textId="77777777" w:rsidTr="00AE3A29">
        <w:trPr>
          <w:jc w:val="center"/>
        </w:trPr>
        <w:tc>
          <w:tcPr>
            <w:tcW w:w="1066" w:type="dxa"/>
            <w:tcBorders>
              <w:top w:val="dotted" w:sz="4" w:space="0" w:color="auto"/>
              <w:bottom w:val="single" w:sz="4" w:space="0" w:color="auto"/>
            </w:tcBorders>
            <w:vAlign w:val="center"/>
          </w:tcPr>
          <w:p w14:paraId="48C47153" w14:textId="77777777" w:rsidR="003B6A41" w:rsidRDefault="003B6A41" w:rsidP="00AE3A29">
            <w:pPr>
              <w:jc w:val="center"/>
              <w:rPr>
                <w:lang w:bidi="ar-SA"/>
              </w:rPr>
            </w:pPr>
          </w:p>
        </w:tc>
        <w:tc>
          <w:tcPr>
            <w:tcW w:w="987" w:type="dxa"/>
            <w:tcBorders>
              <w:top w:val="dotted" w:sz="4" w:space="0" w:color="auto"/>
              <w:bottom w:val="single" w:sz="4" w:space="0" w:color="auto"/>
            </w:tcBorders>
            <w:vAlign w:val="center"/>
          </w:tcPr>
          <w:p w14:paraId="333C4755" w14:textId="77777777" w:rsidR="003B6A41" w:rsidRDefault="003B6A41" w:rsidP="00AE3A29">
            <w:pPr>
              <w:jc w:val="center"/>
              <w:rPr>
                <w:lang w:bidi="ar-SA"/>
              </w:rPr>
            </w:pPr>
            <w:r>
              <w:rPr>
                <w:lang w:bidi="ar-SA"/>
              </w:rPr>
              <w:t>1</w:t>
            </w:r>
          </w:p>
        </w:tc>
        <w:tc>
          <w:tcPr>
            <w:tcW w:w="1133" w:type="dxa"/>
            <w:tcBorders>
              <w:top w:val="dotted" w:sz="4" w:space="0" w:color="auto"/>
              <w:bottom w:val="single" w:sz="4" w:space="0" w:color="auto"/>
            </w:tcBorders>
          </w:tcPr>
          <w:p w14:paraId="2A895AFA" w14:textId="77777777" w:rsidR="003B6A41" w:rsidRDefault="003B6A41" w:rsidP="00AE3A29">
            <w:pPr>
              <w:jc w:val="center"/>
              <w:rPr>
                <w:lang w:bidi="ar-SA"/>
              </w:rPr>
            </w:pPr>
            <w:r w:rsidRPr="003B6A41">
              <w:rPr>
                <w:lang w:val="en-US" w:bidi="ar-SA"/>
              </w:rPr>
              <w:t>8862</w:t>
            </w:r>
          </w:p>
        </w:tc>
        <w:tc>
          <w:tcPr>
            <w:tcW w:w="1052" w:type="dxa"/>
            <w:tcBorders>
              <w:top w:val="dotted" w:sz="4" w:space="0" w:color="auto"/>
              <w:bottom w:val="single" w:sz="4" w:space="0" w:color="auto"/>
            </w:tcBorders>
          </w:tcPr>
          <w:p w14:paraId="7273ED27" w14:textId="77777777" w:rsidR="003B6A41" w:rsidRDefault="003B6A41" w:rsidP="00AE3A29">
            <w:pPr>
              <w:jc w:val="center"/>
              <w:rPr>
                <w:lang w:bidi="ar-SA"/>
              </w:rPr>
            </w:pPr>
          </w:p>
        </w:tc>
        <w:tc>
          <w:tcPr>
            <w:tcW w:w="881" w:type="dxa"/>
            <w:tcBorders>
              <w:top w:val="dotted" w:sz="4" w:space="0" w:color="auto"/>
              <w:bottom w:val="single" w:sz="4" w:space="0" w:color="auto"/>
            </w:tcBorders>
          </w:tcPr>
          <w:p w14:paraId="645DE42E" w14:textId="77777777" w:rsidR="003B6A41" w:rsidRDefault="003B6A41" w:rsidP="00AE3A29">
            <w:pPr>
              <w:jc w:val="center"/>
              <w:rPr>
                <w:lang w:bidi="ar-SA"/>
              </w:rPr>
            </w:pPr>
          </w:p>
        </w:tc>
        <w:tc>
          <w:tcPr>
            <w:tcW w:w="1165" w:type="dxa"/>
            <w:tcBorders>
              <w:top w:val="dotted" w:sz="4" w:space="0" w:color="auto"/>
              <w:bottom w:val="single" w:sz="4" w:space="0" w:color="auto"/>
            </w:tcBorders>
            <w:vAlign w:val="center"/>
          </w:tcPr>
          <w:p w14:paraId="0107B206" w14:textId="77777777" w:rsidR="003B6A41" w:rsidRDefault="003B6A41" w:rsidP="00AE3A29">
            <w:pPr>
              <w:jc w:val="center"/>
              <w:rPr>
                <w:lang w:bidi="ar-SA"/>
              </w:rPr>
            </w:pPr>
          </w:p>
        </w:tc>
        <w:tc>
          <w:tcPr>
            <w:tcW w:w="1159" w:type="dxa"/>
            <w:tcBorders>
              <w:top w:val="dotted" w:sz="4" w:space="0" w:color="auto"/>
              <w:bottom w:val="single" w:sz="4" w:space="0" w:color="auto"/>
            </w:tcBorders>
            <w:vAlign w:val="center"/>
          </w:tcPr>
          <w:p w14:paraId="1F454694" w14:textId="77777777" w:rsidR="003B6A41" w:rsidRDefault="003B6A41" w:rsidP="00AE3A29">
            <w:pPr>
              <w:jc w:val="center"/>
              <w:rPr>
                <w:lang w:bidi="ar-SA"/>
              </w:rPr>
            </w:pPr>
            <w:r w:rsidRPr="00000530">
              <w:rPr>
                <w:lang w:val="en-US" w:bidi="ar-SA"/>
              </w:rPr>
              <w:t>0</w:t>
            </w:r>
            <w:r>
              <w:rPr>
                <w:lang w:val="en-US" w:bidi="ar-SA"/>
              </w:rPr>
              <w:t>,</w:t>
            </w:r>
            <w:r w:rsidRPr="00000530">
              <w:rPr>
                <w:lang w:val="en-US" w:bidi="ar-SA"/>
              </w:rPr>
              <w:t>06623</w:t>
            </w:r>
            <w:r>
              <w:rPr>
                <w:lang w:val="en-US" w:bidi="ar-SA"/>
              </w:rPr>
              <w:t>5</w:t>
            </w:r>
          </w:p>
        </w:tc>
        <w:tc>
          <w:tcPr>
            <w:tcW w:w="1061" w:type="dxa"/>
            <w:tcBorders>
              <w:top w:val="dotted" w:sz="4" w:space="0" w:color="auto"/>
              <w:bottom w:val="single" w:sz="4" w:space="0" w:color="auto"/>
            </w:tcBorders>
            <w:vAlign w:val="center"/>
          </w:tcPr>
          <w:p w14:paraId="3FB170A9" w14:textId="77777777" w:rsidR="003B6A41" w:rsidRDefault="003B6A41" w:rsidP="00AE3A29">
            <w:pPr>
              <w:jc w:val="center"/>
              <w:rPr>
                <w:lang w:bidi="ar-SA"/>
              </w:rPr>
            </w:pPr>
          </w:p>
        </w:tc>
      </w:tr>
    </w:tbl>
    <w:p w14:paraId="353441E7" w14:textId="77777777" w:rsidR="003B6A41" w:rsidRPr="003B6A41" w:rsidRDefault="003B6A41" w:rsidP="003B6A41">
      <w:pPr>
        <w:rPr>
          <w:lang w:bidi="ar-SA"/>
        </w:rPr>
      </w:pPr>
    </w:p>
    <w:p w14:paraId="7FA4F3C6" w14:textId="77777777" w:rsidR="00B3707D" w:rsidRDefault="00B3707D" w:rsidP="00360636"/>
    <w:p w14:paraId="1DC49CED" w14:textId="77777777" w:rsidR="00B3707D" w:rsidRDefault="00B3707D" w:rsidP="00360636"/>
    <w:p w14:paraId="3D392314" w14:textId="77777777" w:rsidR="00846B7A" w:rsidRDefault="00846B7A" w:rsidP="00360636"/>
    <w:p w14:paraId="25C2443E" w14:textId="77777777" w:rsidR="00846B7A" w:rsidRPr="00D82F60" w:rsidRDefault="00846B7A" w:rsidP="00360636"/>
    <w:p w14:paraId="659D2982" w14:textId="77777777" w:rsidR="000612A8" w:rsidRPr="00804562" w:rsidRDefault="000612A8" w:rsidP="000612A8">
      <w:pPr>
        <w:jc w:val="both"/>
        <w:rPr>
          <w:sz w:val="24"/>
          <w:szCs w:val="24"/>
          <w:lang w:val="en-US"/>
        </w:rPr>
      </w:pPr>
      <w:r w:rsidRPr="00804562">
        <w:rPr>
          <w:b/>
          <w:bCs/>
          <w:sz w:val="24"/>
          <w:szCs w:val="24"/>
          <w:lang w:val="en-US"/>
        </w:rPr>
        <w:t>Referências</w:t>
      </w:r>
      <w:r w:rsidRPr="00804562">
        <w:rPr>
          <w:sz w:val="24"/>
          <w:szCs w:val="24"/>
          <w:lang w:val="en-US"/>
        </w:rPr>
        <w:t>:</w:t>
      </w:r>
    </w:p>
    <w:p w14:paraId="2CA886B9"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6C9E859F" w14:textId="77777777" w:rsidR="00804562"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Apley, D., Zhu, J. Visualizing the Effects of Predictor Variables in Black Box Supervised Learning Models. Journal of the Royal Statistical Society: Series B, v. 82, p. 1059-1086, 2020. </w:t>
      </w:r>
    </w:p>
    <w:p w14:paraId="72E04669"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Black, F., Scholes, M. The pricing of options and corporate liabilities. Journal of Political Economy. v. 8, p. 637-659, 1973. Disponível em: http://dx.doi.org/10.1086/260062</w:t>
      </w:r>
    </w:p>
    <w:p w14:paraId="20FA14EB" w14:textId="497BAD58"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Coats, P., Fant, L. Recognizing Financial Distress Patterns Using a Neural Network Tool. </w:t>
      </w:r>
      <w:r w:rsidRPr="00804562">
        <w:rPr>
          <w:rFonts w:cstheme="minorHAnsi"/>
          <w:sz w:val="24"/>
          <w:szCs w:val="24"/>
        </w:rPr>
        <w:t xml:space="preserve">Financial Management Association, v. 22, n. 3, p. 142-155, 1993. Disponível em: </w:t>
      </w:r>
      <w:hyperlink r:id="rId8" w:history="1">
        <w:r w:rsidRPr="00804562">
          <w:rPr>
            <w:rStyle w:val="Hyperlink"/>
            <w:rFonts w:cstheme="minorHAnsi"/>
            <w:sz w:val="24"/>
            <w:szCs w:val="24"/>
          </w:rPr>
          <w:t>https://ideas.repec.org/a/fma/fmanag/coats93.html</w:t>
        </w:r>
      </w:hyperlink>
    </w:p>
    <w:p w14:paraId="0DFC01B5" w14:textId="17DA436A"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Dirick, L. Claeskens, C. &amp; Baesens, B. Time to Default in Credit Scoring Using Survival Analysis: A benchmark study. Journal of The Operational Research Society, v. 68, p. 652-665. </w:t>
      </w:r>
    </w:p>
    <w:p w14:paraId="42AE558A" w14:textId="23B45CC1" w:rsidR="000612A8" w:rsidRPr="00804562"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t>European Union. European Parliament resolution of 20 October 2020 on a framework of ethical aspects of artificial intelligence, robotics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González-Fernández, M., González-Velasco, C. An alternative approach to predicting bank credit risk in Europe with Google data. Finance Research Letters. V. 35, 101281, 2020. Disponível em: https://doi.org/10.1016/j.frl.2019.08.029</w:t>
      </w:r>
    </w:p>
    <w:p w14:paraId="1ED66508" w14:textId="4A4CBB46" w:rsidR="000612A8" w:rsidRPr="00B451F7"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Giudici, P. Hadji-Misheva, B. Spelta, A. Network based credit risk models. </w:t>
      </w:r>
      <w:r w:rsidRPr="00B451F7">
        <w:rPr>
          <w:rFonts w:cstheme="minorHAnsi"/>
          <w:sz w:val="24"/>
          <w:szCs w:val="24"/>
        </w:rPr>
        <w:t xml:space="preserve">V. 32, n. 2, p. 199-211, 2020.  Disponível em: </w:t>
      </w:r>
      <w:hyperlink r:id="rId9" w:history="1">
        <w:r w:rsidRPr="00B451F7">
          <w:rPr>
            <w:rStyle w:val="Hyperlink"/>
            <w:rFonts w:cstheme="minorHAnsi"/>
            <w:sz w:val="24"/>
            <w:szCs w:val="24"/>
          </w:rPr>
          <w:t>https://doi.org/10.1080/08982112.2019.1655159</w:t>
        </w:r>
      </w:hyperlink>
      <w:r w:rsidRPr="00B451F7">
        <w:rPr>
          <w:rFonts w:cstheme="minorHAnsi"/>
          <w:sz w:val="24"/>
          <w:szCs w:val="24"/>
        </w:rPr>
        <w:t xml:space="preserve"> </w:t>
      </w:r>
    </w:p>
    <w:p w14:paraId="15299C11" w14:textId="6B8E0699" w:rsidR="000612A8" w:rsidRPr="00804562" w:rsidRDefault="000612A8" w:rsidP="00804562">
      <w:pPr>
        <w:spacing w:before="200" w:after="200" w:line="240" w:lineRule="auto"/>
        <w:jc w:val="both"/>
        <w:rPr>
          <w:rFonts w:cstheme="minorHAnsi"/>
          <w:sz w:val="24"/>
          <w:szCs w:val="24"/>
          <w:lang w:val="en-US"/>
        </w:rPr>
      </w:pPr>
      <w:r w:rsidRPr="00B451F7">
        <w:rPr>
          <w:rFonts w:cstheme="minorHAnsi"/>
          <w:sz w:val="24"/>
          <w:szCs w:val="24"/>
        </w:rPr>
        <w:t xml:space="preserve">Iben, T., Litterman,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Jonkhart,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lastRenderedPageBreak/>
        <w:t>Lundberg, M. Scott &amp; Lee, Su-In. A Unified Approach to Interpreting Model Predictions, Advances in Neural Information Processing Systems 30 (NIPS 2017), p. 4766–4775, 2017. Disponível em: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0"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Narain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Lundberg, S., Su-In Lee. A Unified Approach to Interpreting Model Predictions. Advances in Neural Information Processing Systems, 2017. Disponível em: https://arxiv.org/abs/1705.07874</w:t>
      </w:r>
    </w:p>
    <w:p w14:paraId="4E98ADDA"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Ribeiro, M., Sameer, S,. Carlos, G. Why Should I Trust You? Explaining the predictions of any classifier. Proceedings of the 22nd ACM SIGKDD international conference on knowledge discovery and data mining. ACM (2016). Disponível em: </w:t>
      </w:r>
      <w:hyperlink r:id="rId11"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Scott, L., Gabriel, E., Su-In, L. Consistent Individualized Feature Attribution for Tree Ensembles, 2018. Disponível em: https://arxiv.org/pdf/1802.03888.pdf.</w:t>
      </w:r>
    </w:p>
    <w:p w14:paraId="52527124" w14:textId="785A6291"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Shi, S., Tse, R., Luo, W., D’Addona, S., Pau, G. Machine Learning-Driven Credit Risk: A systemic review. Neural Computing and Applications, v. 34, p. 14327–14339, 2022. Disponível em: </w:t>
      </w:r>
      <w:hyperlink r:id="rId12" w:history="1">
        <w:r w:rsidRPr="00804562">
          <w:rPr>
            <w:rStyle w:val="Hyperlink"/>
            <w:rFonts w:cstheme="minorHAnsi"/>
            <w:sz w:val="24"/>
            <w:szCs w:val="24"/>
            <w:lang w:val="en-US"/>
          </w:rPr>
          <w:t>https://link.springer.com/article/10.1007/s00521-022-07472-2</w:t>
        </w:r>
      </w:hyperlink>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Pr="0080456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sectPr w:rsidR="00515E52" w:rsidRPr="008045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1509" w14:textId="77777777" w:rsidR="0054393A" w:rsidRDefault="0054393A" w:rsidP="00444000">
      <w:pPr>
        <w:spacing w:after="0" w:line="240" w:lineRule="auto"/>
      </w:pPr>
      <w:r>
        <w:separator/>
      </w:r>
    </w:p>
  </w:endnote>
  <w:endnote w:type="continuationSeparator" w:id="0">
    <w:p w14:paraId="6A56ACA3" w14:textId="77777777" w:rsidR="0054393A" w:rsidRDefault="0054393A"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D681" w14:textId="77777777" w:rsidR="0054393A" w:rsidRDefault="0054393A" w:rsidP="00444000">
      <w:pPr>
        <w:spacing w:after="0" w:line="240" w:lineRule="auto"/>
      </w:pPr>
      <w:r>
        <w:separator/>
      </w:r>
    </w:p>
  </w:footnote>
  <w:footnote w:type="continuationSeparator" w:id="0">
    <w:p w14:paraId="00854AF2" w14:textId="77777777" w:rsidR="0054393A" w:rsidRDefault="0054393A" w:rsidP="00444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5"/>
  </w:num>
  <w:num w:numId="2" w16cid:durableId="1416592076">
    <w:abstractNumId w:val="6"/>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612A8"/>
    <w:rsid w:val="000B289A"/>
    <w:rsid w:val="00154E7B"/>
    <w:rsid w:val="00167B5C"/>
    <w:rsid w:val="001E5F99"/>
    <w:rsid w:val="002B20B1"/>
    <w:rsid w:val="00360636"/>
    <w:rsid w:val="00365AB8"/>
    <w:rsid w:val="003B6A41"/>
    <w:rsid w:val="003C3D7C"/>
    <w:rsid w:val="003C4F4F"/>
    <w:rsid w:val="00444000"/>
    <w:rsid w:val="00456DDA"/>
    <w:rsid w:val="00515E52"/>
    <w:rsid w:val="0054393A"/>
    <w:rsid w:val="00565989"/>
    <w:rsid w:val="005804C4"/>
    <w:rsid w:val="006142EF"/>
    <w:rsid w:val="00662B07"/>
    <w:rsid w:val="00804562"/>
    <w:rsid w:val="008278A9"/>
    <w:rsid w:val="0083700A"/>
    <w:rsid w:val="00846B7A"/>
    <w:rsid w:val="008B44AF"/>
    <w:rsid w:val="00A514A9"/>
    <w:rsid w:val="00A925CD"/>
    <w:rsid w:val="00B3707D"/>
    <w:rsid w:val="00B451F7"/>
    <w:rsid w:val="00D666BF"/>
    <w:rsid w:val="00D82F60"/>
    <w:rsid w:val="00D83DEC"/>
    <w:rsid w:val="00E76C1F"/>
    <w:rsid w:val="00E857A0"/>
    <w:rsid w:val="00ED014B"/>
    <w:rsid w:val="00EE28A0"/>
    <w:rsid w:val="00EF54CD"/>
    <w:rsid w:val="00F11728"/>
    <w:rsid w:val="00F22EA9"/>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fma/fmanag/coats9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00521-022-0747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602.04938" TargetMode="External"/><Relationship Id="rId5" Type="http://schemas.openxmlformats.org/officeDocument/2006/relationships/webSettings" Target="webSettings.xml"/><Relationship Id="rId10" Type="http://schemas.openxmlformats.org/officeDocument/2006/relationships/hyperlink" Target="https://christophm.github.io/interpretable-ml-book/lime.html" TargetMode="External"/><Relationship Id="rId4" Type="http://schemas.openxmlformats.org/officeDocument/2006/relationships/settings" Target="settings.xml"/><Relationship Id="rId9" Type="http://schemas.openxmlformats.org/officeDocument/2006/relationships/hyperlink" Target="https://doi.org/10.1080/08982112.2019.1655159"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4006</Words>
  <Characters>21633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8</cp:revision>
  <dcterms:created xsi:type="dcterms:W3CDTF">2023-03-21T13:22:00Z</dcterms:created>
  <dcterms:modified xsi:type="dcterms:W3CDTF">2023-05-24T03:51:00Z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