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C8CF1" w14:textId="7F7CFDE3" w:rsidR="00F22EA9" w:rsidRDefault="00F22EA9" w:rsidP="00FB706E">
      <w:pPr>
        <w:pStyle w:val="Ttulo"/>
        <w:rPr>
          <w:sz w:val="24"/>
          <w:szCs w:val="24"/>
          <w:lang w:val="en-US"/>
        </w:rPr>
      </w:pPr>
      <w:r>
        <w:rPr>
          <w:sz w:val="24"/>
          <w:szCs w:val="24"/>
          <w:lang w:val="en-US"/>
        </w:rPr>
        <w:t xml:space="preserve">Product 3 - </w:t>
      </w:r>
      <w:r w:rsidR="00FB706E" w:rsidRPr="00FB706E">
        <w:rPr>
          <w:sz w:val="24"/>
          <w:szCs w:val="24"/>
          <w:lang w:val="en-US"/>
        </w:rPr>
        <w:t xml:space="preserve">-Product 3 - Technical document containing evaluations and analyzes of Credit Risk and Banking Spread. </w:t>
      </w:r>
      <w:r w:rsidR="00FB706E" w:rsidRPr="00FB706E">
        <w:rPr>
          <w:sz w:val="24"/>
          <w:szCs w:val="24"/>
          <w:lang w:val="en-US"/>
        </w:rPr>
        <w:cr/>
      </w:r>
    </w:p>
    <w:p w14:paraId="2857E513" w14:textId="77777777" w:rsidR="00F22EA9" w:rsidRDefault="00F22EA9" w:rsidP="00F22EA9">
      <w:pPr>
        <w:rPr>
          <w:lang w:val="en-US"/>
        </w:rPr>
      </w:pPr>
    </w:p>
    <w:p w14:paraId="4EFBD68E" w14:textId="42ED7530" w:rsidR="00F22EA9" w:rsidRDefault="00F22EA9" w:rsidP="00F22EA9">
      <w:pPr>
        <w:pStyle w:val="Ttulo"/>
        <w:jc w:val="center"/>
        <w:rPr>
          <w:sz w:val="24"/>
          <w:szCs w:val="24"/>
        </w:rPr>
      </w:pPr>
      <w:r>
        <w:rPr>
          <w:sz w:val="24"/>
          <w:szCs w:val="24"/>
        </w:rPr>
        <w:t xml:space="preserve">Avaliação do Risco de Crédito das Operações do BNDES </w:t>
      </w:r>
    </w:p>
    <w:p w14:paraId="2E62D875" w14:textId="77777777" w:rsidR="00F22EA9" w:rsidRDefault="00F22EA9" w:rsidP="00F22EA9">
      <w:pPr>
        <w:pStyle w:val="Ttulo"/>
        <w:jc w:val="center"/>
        <w:rPr>
          <w:sz w:val="24"/>
          <w:szCs w:val="24"/>
        </w:rPr>
      </w:pPr>
    </w:p>
    <w:p w14:paraId="2116D64D" w14:textId="77777777" w:rsidR="00F22EA9" w:rsidRDefault="00F22EA9" w:rsidP="00F22EA9">
      <w:pPr>
        <w:jc w:val="right"/>
      </w:pPr>
      <w:r>
        <w:t>Patrick Alves</w:t>
      </w:r>
    </w:p>
    <w:p w14:paraId="0427FAA1" w14:textId="77777777" w:rsidR="00F22EA9" w:rsidRPr="00A925CD" w:rsidRDefault="00F22EA9" w:rsidP="00F22EA9">
      <w:pPr>
        <w:rPr>
          <w:sz w:val="24"/>
          <w:szCs w:val="24"/>
        </w:rPr>
      </w:pPr>
      <w:r w:rsidRPr="00A925CD">
        <w:rPr>
          <w:b/>
          <w:sz w:val="24"/>
          <w:szCs w:val="24"/>
        </w:rPr>
        <w:t>Resumo</w:t>
      </w:r>
      <w:r w:rsidRPr="00A925CD">
        <w:rPr>
          <w:sz w:val="24"/>
          <w:szCs w:val="24"/>
        </w:rPr>
        <w:t>:</w:t>
      </w:r>
    </w:p>
    <w:p w14:paraId="68432BC8" w14:textId="54E5488B" w:rsidR="008278A9" w:rsidRPr="00A925CD" w:rsidRDefault="008278A9" w:rsidP="00B3707D">
      <w:pPr>
        <w:ind w:firstLine="360"/>
        <w:jc w:val="both"/>
        <w:rPr>
          <w:sz w:val="24"/>
          <w:szCs w:val="24"/>
        </w:rPr>
      </w:pPr>
      <w:r w:rsidRPr="00A925CD">
        <w:rPr>
          <w:sz w:val="24"/>
          <w:szCs w:val="24"/>
        </w:rPr>
        <w:t xml:space="preserve">O presente trabalho </w:t>
      </w:r>
      <w:r w:rsidR="00804562">
        <w:rPr>
          <w:sz w:val="24"/>
          <w:szCs w:val="24"/>
        </w:rPr>
        <w:t xml:space="preserve">contribui </w:t>
      </w:r>
      <w:r w:rsidRPr="00A925CD">
        <w:rPr>
          <w:sz w:val="24"/>
          <w:szCs w:val="24"/>
        </w:rPr>
        <w:t>para as avaliações de risco de crédito</w:t>
      </w:r>
      <w:r w:rsidR="003D6A27">
        <w:rPr>
          <w:sz w:val="24"/>
          <w:szCs w:val="24"/>
        </w:rPr>
        <w:t xml:space="preserve"> em financiamentos do BNDES</w:t>
      </w:r>
      <w:r w:rsidRPr="00A925CD">
        <w:rPr>
          <w:sz w:val="24"/>
          <w:szCs w:val="24"/>
        </w:rPr>
        <w:t xml:space="preserve">, ao fazer uso de fontes </w:t>
      </w:r>
      <w:r w:rsidR="00804562" w:rsidRPr="00A925CD">
        <w:rPr>
          <w:sz w:val="24"/>
          <w:szCs w:val="24"/>
        </w:rPr>
        <w:t xml:space="preserve">alternativas </w:t>
      </w:r>
      <w:r w:rsidR="00804562">
        <w:rPr>
          <w:sz w:val="24"/>
          <w:szCs w:val="24"/>
        </w:rPr>
        <w:t xml:space="preserve">de </w:t>
      </w:r>
      <w:r w:rsidRPr="00A925CD">
        <w:rPr>
          <w:sz w:val="24"/>
          <w:szCs w:val="24"/>
        </w:rPr>
        <w:t>dados</w:t>
      </w:r>
      <w:r w:rsidR="003D6A27">
        <w:rPr>
          <w:sz w:val="24"/>
          <w:szCs w:val="24"/>
        </w:rPr>
        <w:t xml:space="preserve"> e utilizar </w:t>
      </w:r>
      <w:r w:rsidRPr="00A925CD">
        <w:rPr>
          <w:sz w:val="24"/>
          <w:szCs w:val="24"/>
        </w:rPr>
        <w:t>métodos de aprendizado de máquina</w:t>
      </w:r>
      <w:r w:rsidR="00804562">
        <w:rPr>
          <w:sz w:val="24"/>
          <w:szCs w:val="24"/>
        </w:rPr>
        <w:t xml:space="preserve"> </w:t>
      </w:r>
      <w:r w:rsidR="003D6A27">
        <w:rPr>
          <w:sz w:val="24"/>
          <w:szCs w:val="24"/>
        </w:rPr>
        <w:t xml:space="preserve">na </w:t>
      </w:r>
      <w:r w:rsidR="00804562">
        <w:rPr>
          <w:sz w:val="24"/>
          <w:szCs w:val="24"/>
        </w:rPr>
        <w:t>mensuração da inadimplência</w:t>
      </w:r>
      <w:r w:rsidRPr="00A925CD">
        <w:rPr>
          <w:sz w:val="24"/>
          <w:szCs w:val="24"/>
        </w:rPr>
        <w:t>. Utiliza</w:t>
      </w:r>
      <w:r w:rsidR="00804562">
        <w:rPr>
          <w:sz w:val="24"/>
          <w:szCs w:val="24"/>
        </w:rPr>
        <w:t xml:space="preserve">mos </w:t>
      </w:r>
      <w:r w:rsidR="003D6A27">
        <w:rPr>
          <w:sz w:val="24"/>
          <w:szCs w:val="24"/>
        </w:rPr>
        <w:t xml:space="preserve">uma </w:t>
      </w:r>
      <w:r w:rsidR="00804562">
        <w:rPr>
          <w:sz w:val="24"/>
          <w:szCs w:val="24"/>
        </w:rPr>
        <w:t xml:space="preserve">marcação de status das empresas </w:t>
      </w:r>
      <w:r w:rsidR="003D6A27">
        <w:rPr>
          <w:sz w:val="24"/>
          <w:szCs w:val="24"/>
        </w:rPr>
        <w:t xml:space="preserve">encontrada </w:t>
      </w:r>
      <w:r w:rsidR="00804562">
        <w:rPr>
          <w:sz w:val="24"/>
          <w:szCs w:val="24"/>
        </w:rPr>
        <w:t xml:space="preserve">nos dados </w:t>
      </w:r>
      <w:r w:rsidRPr="00A925CD">
        <w:rPr>
          <w:sz w:val="24"/>
          <w:szCs w:val="24"/>
        </w:rPr>
        <w:t>da Receita Federal</w:t>
      </w:r>
      <w:r w:rsidR="00804562">
        <w:rPr>
          <w:sz w:val="24"/>
          <w:szCs w:val="24"/>
        </w:rPr>
        <w:t xml:space="preserve"> </w:t>
      </w:r>
      <w:r w:rsidR="003D6A27">
        <w:rPr>
          <w:sz w:val="24"/>
          <w:szCs w:val="24"/>
        </w:rPr>
        <w:t xml:space="preserve">como </w:t>
      </w:r>
      <w:r w:rsidR="003D6A27" w:rsidRPr="003D6A27">
        <w:rPr>
          <w:i/>
          <w:iCs/>
          <w:sz w:val="24"/>
          <w:szCs w:val="24"/>
        </w:rPr>
        <w:t>proxy</w:t>
      </w:r>
      <w:r w:rsidR="003D6A27">
        <w:rPr>
          <w:sz w:val="24"/>
          <w:szCs w:val="24"/>
        </w:rPr>
        <w:t xml:space="preserve"> para o default das empresas, e assim </w:t>
      </w:r>
      <w:r w:rsidR="00B3707D">
        <w:rPr>
          <w:sz w:val="24"/>
          <w:szCs w:val="24"/>
        </w:rPr>
        <w:t xml:space="preserve">treinar </w:t>
      </w:r>
      <w:r w:rsidR="003D6A27">
        <w:rPr>
          <w:sz w:val="24"/>
          <w:szCs w:val="24"/>
        </w:rPr>
        <w:t xml:space="preserve">os </w:t>
      </w:r>
      <w:r w:rsidR="00B3707D">
        <w:rPr>
          <w:sz w:val="24"/>
          <w:szCs w:val="24"/>
        </w:rPr>
        <w:t>modelos de aprendizado de máquina supervisionados</w:t>
      </w:r>
      <w:r w:rsidR="003D6A27">
        <w:rPr>
          <w:sz w:val="24"/>
          <w:szCs w:val="24"/>
        </w:rPr>
        <w:t xml:space="preserve">. Desta forma é possível mensurar os </w:t>
      </w:r>
      <w:r w:rsidR="00B3707D">
        <w:rPr>
          <w:sz w:val="24"/>
          <w:szCs w:val="24"/>
        </w:rPr>
        <w:t xml:space="preserve">níveis de risco de crédito nas </w:t>
      </w:r>
      <w:r w:rsidRPr="00A925CD">
        <w:rPr>
          <w:sz w:val="24"/>
          <w:szCs w:val="24"/>
        </w:rPr>
        <w:t xml:space="preserve">operações de financiamento do </w:t>
      </w:r>
      <w:bookmarkStart w:id="0" w:name="_Hlk135772208"/>
      <w:r w:rsidRPr="00A925CD">
        <w:rPr>
          <w:sz w:val="24"/>
          <w:szCs w:val="24"/>
        </w:rPr>
        <w:t>BNDES</w:t>
      </w:r>
      <w:bookmarkEnd w:id="0"/>
      <w:r w:rsidRPr="00A925CD">
        <w:rPr>
          <w:sz w:val="24"/>
          <w:szCs w:val="24"/>
        </w:rPr>
        <w:t>.</w:t>
      </w:r>
      <w:r w:rsidR="00804562">
        <w:rPr>
          <w:sz w:val="24"/>
          <w:szCs w:val="24"/>
        </w:rPr>
        <w:t xml:space="preserve"> </w:t>
      </w:r>
      <w:r w:rsidR="00B3707D">
        <w:rPr>
          <w:sz w:val="24"/>
          <w:szCs w:val="24"/>
        </w:rPr>
        <w:t xml:space="preserve">Finalmente, </w:t>
      </w:r>
      <w:r w:rsidR="003D6A27">
        <w:rPr>
          <w:sz w:val="24"/>
          <w:szCs w:val="24"/>
        </w:rPr>
        <w:t xml:space="preserve">utilizamos </w:t>
      </w:r>
      <w:r w:rsidR="00B3707D">
        <w:rPr>
          <w:sz w:val="24"/>
          <w:szCs w:val="24"/>
        </w:rPr>
        <w:t xml:space="preserve">o </w:t>
      </w:r>
      <w:r w:rsidR="00B3707D" w:rsidRPr="00B3707D">
        <w:rPr>
          <w:sz w:val="24"/>
          <w:szCs w:val="24"/>
        </w:rPr>
        <w:t xml:space="preserve">conceito de </w:t>
      </w:r>
      <w:r w:rsidR="00B3707D">
        <w:rPr>
          <w:sz w:val="24"/>
          <w:szCs w:val="24"/>
        </w:rPr>
        <w:t xml:space="preserve">inteligência artificial </w:t>
      </w:r>
      <w:r w:rsidR="00B3707D" w:rsidRPr="00B3707D">
        <w:rPr>
          <w:sz w:val="24"/>
          <w:szCs w:val="24"/>
        </w:rPr>
        <w:t xml:space="preserve">interpretável (eXplainable AI) </w:t>
      </w:r>
      <w:r w:rsidR="003D6A27">
        <w:rPr>
          <w:sz w:val="24"/>
          <w:szCs w:val="24"/>
        </w:rPr>
        <w:t xml:space="preserve">para entender a relação entre cada </w:t>
      </w:r>
      <w:r w:rsidR="003D6A27" w:rsidRPr="003D6A27">
        <w:rPr>
          <w:i/>
          <w:iCs/>
          <w:sz w:val="24"/>
          <w:szCs w:val="24"/>
        </w:rPr>
        <w:t>feature</w:t>
      </w:r>
      <w:r w:rsidR="003D6A27">
        <w:rPr>
          <w:sz w:val="24"/>
          <w:szCs w:val="24"/>
        </w:rPr>
        <w:t xml:space="preserve"> e as previsões fornecidas pelo </w:t>
      </w:r>
      <w:r w:rsidR="00B3707D" w:rsidRPr="00B3707D">
        <w:rPr>
          <w:sz w:val="24"/>
          <w:szCs w:val="24"/>
        </w:rPr>
        <w:t xml:space="preserve">aprendizado de máquina, </w:t>
      </w:r>
      <w:r w:rsidR="003D6A27">
        <w:rPr>
          <w:sz w:val="24"/>
          <w:szCs w:val="24"/>
        </w:rPr>
        <w:t xml:space="preserve">elucidando como estas técnicas podem aumentar </w:t>
      </w:r>
      <w:r w:rsidR="00B3707D" w:rsidRPr="00B3707D">
        <w:rPr>
          <w:sz w:val="24"/>
          <w:szCs w:val="24"/>
        </w:rPr>
        <w:t xml:space="preserve">o conforto e a confiança </w:t>
      </w:r>
      <w:r w:rsidR="00B3707D">
        <w:rPr>
          <w:sz w:val="24"/>
          <w:szCs w:val="24"/>
        </w:rPr>
        <w:t xml:space="preserve">dos usuários, e </w:t>
      </w:r>
      <w:r w:rsidR="003D6A27">
        <w:rPr>
          <w:sz w:val="24"/>
          <w:szCs w:val="24"/>
        </w:rPr>
        <w:t xml:space="preserve">afastar </w:t>
      </w:r>
      <w:r w:rsidR="00B3707D">
        <w:rPr>
          <w:sz w:val="24"/>
          <w:szCs w:val="24"/>
        </w:rPr>
        <w:t xml:space="preserve">a </w:t>
      </w:r>
      <w:r w:rsidR="003D6A27">
        <w:rPr>
          <w:sz w:val="24"/>
          <w:szCs w:val="24"/>
        </w:rPr>
        <w:t>designação</w:t>
      </w:r>
      <w:r w:rsidR="00B3707D">
        <w:rPr>
          <w:sz w:val="24"/>
          <w:szCs w:val="24"/>
        </w:rPr>
        <w:t xml:space="preserve"> </w:t>
      </w:r>
      <w:r w:rsidR="003D6A27">
        <w:rPr>
          <w:sz w:val="24"/>
          <w:szCs w:val="24"/>
        </w:rPr>
        <w:t xml:space="preserve">de </w:t>
      </w:r>
      <w:r w:rsidR="00B3707D">
        <w:rPr>
          <w:sz w:val="24"/>
          <w:szCs w:val="24"/>
        </w:rPr>
        <w:t>“caixa-preta” desses modelos</w:t>
      </w:r>
      <w:r w:rsidR="00B3707D" w:rsidRPr="00B3707D">
        <w:rPr>
          <w:sz w:val="24"/>
          <w:szCs w:val="24"/>
        </w:rPr>
        <w:t>.</w:t>
      </w:r>
    </w:p>
    <w:p w14:paraId="18BF81D4" w14:textId="77777777" w:rsidR="003C3D7C" w:rsidRPr="00A925CD" w:rsidRDefault="003C3D7C" w:rsidP="00456DDA">
      <w:pPr>
        <w:rPr>
          <w:sz w:val="24"/>
          <w:szCs w:val="24"/>
        </w:rPr>
      </w:pPr>
    </w:p>
    <w:p w14:paraId="502A9E6D" w14:textId="2CC4E630" w:rsidR="00456DDA" w:rsidRPr="00A925CD" w:rsidRDefault="00456DDA" w:rsidP="00456DDA">
      <w:pPr>
        <w:rPr>
          <w:sz w:val="24"/>
          <w:szCs w:val="24"/>
        </w:rPr>
      </w:pPr>
      <w:r w:rsidRPr="00A925CD">
        <w:rPr>
          <w:sz w:val="24"/>
          <w:szCs w:val="24"/>
        </w:rPr>
        <w:t xml:space="preserve">    </w:t>
      </w:r>
    </w:p>
    <w:p w14:paraId="5184F8C3" w14:textId="6EB430FC" w:rsidR="003C3D7C" w:rsidRPr="00A925CD" w:rsidRDefault="003C3D7C" w:rsidP="000612A8">
      <w:pPr>
        <w:pStyle w:val="PargrafodaLista"/>
        <w:numPr>
          <w:ilvl w:val="0"/>
          <w:numId w:val="6"/>
        </w:numPr>
        <w:jc w:val="both"/>
        <w:rPr>
          <w:b/>
          <w:bCs/>
          <w:sz w:val="24"/>
          <w:szCs w:val="24"/>
        </w:rPr>
      </w:pPr>
      <w:r w:rsidRPr="00A925CD">
        <w:rPr>
          <w:b/>
          <w:bCs/>
          <w:sz w:val="24"/>
          <w:szCs w:val="24"/>
        </w:rPr>
        <w:t xml:space="preserve">Introdução </w:t>
      </w:r>
    </w:p>
    <w:p w14:paraId="30EE07F1" w14:textId="1885401D" w:rsidR="003C3D7C" w:rsidRPr="00A925CD" w:rsidRDefault="003D6A27" w:rsidP="001D49BC">
      <w:pPr>
        <w:ind w:firstLine="708"/>
        <w:jc w:val="both"/>
        <w:rPr>
          <w:sz w:val="24"/>
          <w:szCs w:val="24"/>
        </w:rPr>
      </w:pPr>
      <w:r>
        <w:rPr>
          <w:sz w:val="24"/>
          <w:szCs w:val="24"/>
        </w:rPr>
        <w:t>As i</w:t>
      </w:r>
      <w:r w:rsidR="008278A9" w:rsidRPr="00A925CD">
        <w:rPr>
          <w:sz w:val="24"/>
          <w:szCs w:val="24"/>
        </w:rPr>
        <w:t xml:space="preserve">mprecisões nas estimativas de risco de crédito das instituições financeiras, </w:t>
      </w:r>
      <w:r>
        <w:rPr>
          <w:sz w:val="24"/>
          <w:szCs w:val="24"/>
        </w:rPr>
        <w:t xml:space="preserve">podem </w:t>
      </w:r>
      <w:r w:rsidR="008278A9" w:rsidRPr="00A925CD">
        <w:rPr>
          <w:sz w:val="24"/>
          <w:szCs w:val="24"/>
        </w:rPr>
        <w:t xml:space="preserve">eventualmente </w:t>
      </w:r>
      <w:r>
        <w:rPr>
          <w:sz w:val="24"/>
          <w:szCs w:val="24"/>
        </w:rPr>
        <w:t xml:space="preserve">ter contribuído </w:t>
      </w:r>
      <w:r w:rsidR="008278A9" w:rsidRPr="00A925CD">
        <w:rPr>
          <w:sz w:val="24"/>
          <w:szCs w:val="24"/>
        </w:rPr>
        <w:t xml:space="preserve">para algumas crises </w:t>
      </w:r>
      <w:r>
        <w:rPr>
          <w:sz w:val="24"/>
          <w:szCs w:val="24"/>
        </w:rPr>
        <w:t xml:space="preserve">financeiras </w:t>
      </w:r>
      <w:r w:rsidR="008278A9" w:rsidRPr="00A925CD">
        <w:rPr>
          <w:sz w:val="24"/>
          <w:szCs w:val="24"/>
        </w:rPr>
        <w:t xml:space="preserve">sistêmicas, tal como a crise do subprime </w:t>
      </w:r>
      <w:r>
        <w:rPr>
          <w:sz w:val="24"/>
          <w:szCs w:val="24"/>
        </w:rPr>
        <w:t xml:space="preserve">de </w:t>
      </w:r>
      <w:r w:rsidR="008278A9" w:rsidRPr="00A925CD">
        <w:rPr>
          <w:sz w:val="24"/>
          <w:szCs w:val="24"/>
        </w:rPr>
        <w:t xml:space="preserve">2008 (Altman, 1998.). As </w:t>
      </w:r>
      <w:r>
        <w:rPr>
          <w:sz w:val="24"/>
          <w:szCs w:val="24"/>
        </w:rPr>
        <w:t xml:space="preserve">recentes </w:t>
      </w:r>
      <w:r w:rsidR="008278A9" w:rsidRPr="00A925CD">
        <w:rPr>
          <w:sz w:val="24"/>
          <w:szCs w:val="24"/>
        </w:rPr>
        <w:t xml:space="preserve">experiencias </w:t>
      </w:r>
      <w:r>
        <w:rPr>
          <w:sz w:val="24"/>
          <w:szCs w:val="24"/>
        </w:rPr>
        <w:t xml:space="preserve">das instituições monitorando os </w:t>
      </w:r>
      <w:r w:rsidR="008278A9" w:rsidRPr="00A925CD">
        <w:rPr>
          <w:sz w:val="24"/>
          <w:szCs w:val="24"/>
        </w:rPr>
        <w:t xml:space="preserve">efeitos </w:t>
      </w:r>
      <w:r>
        <w:rPr>
          <w:sz w:val="24"/>
          <w:szCs w:val="24"/>
        </w:rPr>
        <w:t xml:space="preserve">de </w:t>
      </w:r>
      <w:r w:rsidR="008278A9" w:rsidRPr="00A925CD">
        <w:rPr>
          <w:sz w:val="24"/>
          <w:szCs w:val="24"/>
        </w:rPr>
        <w:t xml:space="preserve">contágio </w:t>
      </w:r>
      <w:r w:rsidRPr="00A925CD">
        <w:rPr>
          <w:sz w:val="24"/>
          <w:szCs w:val="24"/>
        </w:rPr>
        <w:t>ocorridos</w:t>
      </w:r>
      <w:r w:rsidR="008278A9" w:rsidRPr="00A925CD">
        <w:rPr>
          <w:sz w:val="24"/>
          <w:szCs w:val="24"/>
        </w:rPr>
        <w:t xml:space="preserve"> </w:t>
      </w:r>
      <w:r>
        <w:rPr>
          <w:sz w:val="24"/>
          <w:szCs w:val="24"/>
        </w:rPr>
        <w:t xml:space="preserve">em algumas </w:t>
      </w:r>
      <w:r w:rsidR="008278A9" w:rsidRPr="00A925CD">
        <w:rPr>
          <w:sz w:val="24"/>
          <w:szCs w:val="24"/>
        </w:rPr>
        <w:t xml:space="preserve">crises financeiras, levaram </w:t>
      </w:r>
      <w:r>
        <w:rPr>
          <w:sz w:val="24"/>
          <w:szCs w:val="24"/>
        </w:rPr>
        <w:t xml:space="preserve">os bancos a </w:t>
      </w:r>
      <w:r w:rsidR="008278A9" w:rsidRPr="00A925CD">
        <w:rPr>
          <w:sz w:val="24"/>
          <w:szCs w:val="24"/>
        </w:rPr>
        <w:t xml:space="preserve">dedicar </w:t>
      </w:r>
      <w:r>
        <w:rPr>
          <w:sz w:val="24"/>
          <w:szCs w:val="24"/>
        </w:rPr>
        <w:t xml:space="preserve">crescentes </w:t>
      </w:r>
      <w:r w:rsidR="008278A9" w:rsidRPr="00A925CD">
        <w:rPr>
          <w:sz w:val="24"/>
          <w:szCs w:val="24"/>
        </w:rPr>
        <w:t xml:space="preserve">recursos </w:t>
      </w:r>
      <w:r>
        <w:rPr>
          <w:sz w:val="24"/>
          <w:szCs w:val="24"/>
        </w:rPr>
        <w:t xml:space="preserve">visando </w:t>
      </w:r>
      <w:r w:rsidR="008278A9" w:rsidRPr="00A925CD">
        <w:rPr>
          <w:sz w:val="24"/>
          <w:szCs w:val="24"/>
        </w:rPr>
        <w:t>prever o risco de crédito com maior precisão</w:t>
      </w:r>
      <w:r>
        <w:rPr>
          <w:sz w:val="24"/>
          <w:szCs w:val="24"/>
        </w:rPr>
        <w:t xml:space="preserve">. Este movimento ocorreu em direção à exploração de metodologias estatísticas mais sofisticas, incorporação de fontes de dados alternativas para complementar as fontes de dados tradicionais dos bancos, e na incorporação de novas tecnologias de armazenamento e processamento de dados, visando processar rapidamente conjuntos de dados cada vez maiores. Esse movimento de </w:t>
      </w:r>
      <w:r w:rsidR="008278A9" w:rsidRPr="00A925CD">
        <w:rPr>
          <w:sz w:val="24"/>
          <w:szCs w:val="24"/>
        </w:rPr>
        <w:t xml:space="preserve">inovação </w:t>
      </w:r>
      <w:r>
        <w:rPr>
          <w:sz w:val="24"/>
          <w:szCs w:val="24"/>
        </w:rPr>
        <w:t xml:space="preserve">nos procedimentos de </w:t>
      </w:r>
      <w:r w:rsidR="008278A9" w:rsidRPr="00A925CD">
        <w:rPr>
          <w:sz w:val="24"/>
          <w:szCs w:val="24"/>
        </w:rPr>
        <w:t xml:space="preserve">classificação de risco crédito, </w:t>
      </w:r>
      <w:r>
        <w:rPr>
          <w:sz w:val="24"/>
          <w:szCs w:val="24"/>
        </w:rPr>
        <w:t xml:space="preserve">juntamente com a </w:t>
      </w:r>
      <w:r w:rsidR="008278A9" w:rsidRPr="00A925CD">
        <w:rPr>
          <w:sz w:val="24"/>
          <w:szCs w:val="24"/>
        </w:rPr>
        <w:t>busca por novas fontes de dados</w:t>
      </w:r>
      <w:r>
        <w:rPr>
          <w:sz w:val="24"/>
          <w:szCs w:val="24"/>
        </w:rPr>
        <w:t xml:space="preserve"> modificou alguns </w:t>
      </w:r>
      <w:r w:rsidRPr="00A925CD">
        <w:rPr>
          <w:sz w:val="24"/>
          <w:szCs w:val="24"/>
        </w:rPr>
        <w:t>paradigmas de mercado na mensuração do risco de crédito.</w:t>
      </w:r>
      <w:r w:rsidR="001D49BC">
        <w:rPr>
          <w:sz w:val="24"/>
          <w:szCs w:val="24"/>
        </w:rPr>
        <w:t xml:space="preserve"> Consequentemente, em </w:t>
      </w:r>
      <w:r w:rsidR="008278A9" w:rsidRPr="00A925CD">
        <w:rPr>
          <w:sz w:val="24"/>
          <w:szCs w:val="24"/>
        </w:rPr>
        <w:t xml:space="preserve">respostas às crises econômicas, as instituições financeiras </w:t>
      </w:r>
      <w:r w:rsidR="001D49BC">
        <w:rPr>
          <w:sz w:val="24"/>
          <w:szCs w:val="24"/>
        </w:rPr>
        <w:t xml:space="preserve">foram se afastando </w:t>
      </w:r>
      <w:r w:rsidR="008278A9" w:rsidRPr="00A925CD">
        <w:rPr>
          <w:sz w:val="24"/>
          <w:szCs w:val="24"/>
        </w:rPr>
        <w:t xml:space="preserve">das análises subjetivas, em direção a metodologias mais objetivas e sofisticadas, </w:t>
      </w:r>
      <w:r w:rsidR="001D49BC">
        <w:rPr>
          <w:sz w:val="24"/>
          <w:szCs w:val="24"/>
        </w:rPr>
        <w:t xml:space="preserve">e </w:t>
      </w:r>
      <w:r w:rsidR="008278A9" w:rsidRPr="00A925CD">
        <w:rPr>
          <w:sz w:val="24"/>
          <w:szCs w:val="24"/>
        </w:rPr>
        <w:t xml:space="preserve">fazendo </w:t>
      </w:r>
      <w:r w:rsidR="001D49BC">
        <w:rPr>
          <w:sz w:val="24"/>
          <w:szCs w:val="24"/>
        </w:rPr>
        <w:t xml:space="preserve">crescente </w:t>
      </w:r>
      <w:r w:rsidR="008278A9" w:rsidRPr="00A925CD">
        <w:rPr>
          <w:sz w:val="24"/>
          <w:szCs w:val="24"/>
        </w:rPr>
        <w:t xml:space="preserve">uso do armazenamento de dados em nuvem e explorando </w:t>
      </w:r>
      <w:r w:rsidR="001D49BC">
        <w:rPr>
          <w:sz w:val="24"/>
          <w:szCs w:val="24"/>
        </w:rPr>
        <w:t xml:space="preserve">novas </w:t>
      </w:r>
      <w:r w:rsidR="008278A9" w:rsidRPr="00A925CD">
        <w:rPr>
          <w:sz w:val="24"/>
          <w:szCs w:val="24"/>
        </w:rPr>
        <w:t>fontes de informações.</w:t>
      </w:r>
    </w:p>
    <w:p w14:paraId="4070BDC2" w14:textId="6DFE6AD5" w:rsidR="00456DDA" w:rsidRPr="00A925CD" w:rsidRDefault="001D49BC" w:rsidP="008278A9">
      <w:pPr>
        <w:ind w:firstLine="360"/>
        <w:jc w:val="both"/>
        <w:rPr>
          <w:sz w:val="24"/>
          <w:szCs w:val="24"/>
        </w:rPr>
      </w:pPr>
      <w:r>
        <w:rPr>
          <w:sz w:val="24"/>
          <w:szCs w:val="24"/>
        </w:rPr>
        <w:lastRenderedPageBreak/>
        <w:t xml:space="preserve">O </w:t>
      </w:r>
      <w:r w:rsidR="00456DDA" w:rsidRPr="00A925CD">
        <w:rPr>
          <w:sz w:val="24"/>
          <w:szCs w:val="24"/>
        </w:rPr>
        <w:t>crédito é necessári</w:t>
      </w:r>
      <w:r>
        <w:rPr>
          <w:sz w:val="24"/>
          <w:szCs w:val="24"/>
        </w:rPr>
        <w:t xml:space="preserve">o </w:t>
      </w:r>
      <w:r w:rsidR="00456DDA" w:rsidRPr="00A925CD">
        <w:rPr>
          <w:sz w:val="24"/>
          <w:szCs w:val="24"/>
        </w:rPr>
        <w:t>para financiar divers</w:t>
      </w:r>
      <w:r>
        <w:rPr>
          <w:sz w:val="24"/>
          <w:szCs w:val="24"/>
        </w:rPr>
        <w:t xml:space="preserve">as </w:t>
      </w:r>
      <w:r w:rsidR="00456DDA" w:rsidRPr="00A925CD">
        <w:rPr>
          <w:sz w:val="24"/>
          <w:szCs w:val="24"/>
        </w:rPr>
        <w:t xml:space="preserve">iniciativas </w:t>
      </w:r>
      <w:r>
        <w:rPr>
          <w:sz w:val="24"/>
          <w:szCs w:val="24"/>
        </w:rPr>
        <w:t>d</w:t>
      </w:r>
      <w:r w:rsidR="00456DDA" w:rsidRPr="00A925CD">
        <w:rPr>
          <w:sz w:val="24"/>
          <w:szCs w:val="24"/>
        </w:rPr>
        <w:t>e negócios</w:t>
      </w:r>
      <w:r>
        <w:rPr>
          <w:sz w:val="24"/>
          <w:szCs w:val="24"/>
        </w:rPr>
        <w:t>. Permitindo que agentes com “excesso de capital” possam alocar eficientemente seus recursos para agentes com necessidade de capital.  A atuação dos bancos também possibilita que diversos correntistas combinem seus excessos de recursos alocando seu capital coletivamente para grandes projetos</w:t>
      </w:r>
      <w:r w:rsidR="00456DDA" w:rsidRPr="00A925CD">
        <w:rPr>
          <w:sz w:val="24"/>
          <w:szCs w:val="24"/>
        </w:rPr>
        <w:t xml:space="preserve">. </w:t>
      </w:r>
      <w:r>
        <w:rPr>
          <w:sz w:val="24"/>
          <w:szCs w:val="24"/>
        </w:rPr>
        <w:t xml:space="preserve">Mais recentemente, na tentativa de espelhar esta forma de atuação dos bancos, </w:t>
      </w:r>
      <w:r w:rsidR="00456DDA" w:rsidRPr="00A925CD">
        <w:rPr>
          <w:sz w:val="24"/>
          <w:szCs w:val="24"/>
        </w:rPr>
        <w:t xml:space="preserve">credores e empresas de tecnologia financeira (“fintech”) estão </w:t>
      </w:r>
      <w:r>
        <w:rPr>
          <w:sz w:val="24"/>
          <w:szCs w:val="24"/>
        </w:rPr>
        <w:t xml:space="preserve">utilizando </w:t>
      </w:r>
      <w:r w:rsidR="00456DDA" w:rsidRPr="00A925CD">
        <w:rPr>
          <w:sz w:val="24"/>
          <w:szCs w:val="24"/>
        </w:rPr>
        <w:t>fontes alternativas de dados</w:t>
      </w:r>
      <w:r>
        <w:rPr>
          <w:sz w:val="24"/>
          <w:szCs w:val="24"/>
        </w:rPr>
        <w:t xml:space="preserve">, e novas </w:t>
      </w:r>
      <w:r w:rsidR="00456DDA" w:rsidRPr="00A925CD">
        <w:rPr>
          <w:sz w:val="24"/>
          <w:szCs w:val="24"/>
        </w:rPr>
        <w:t>formas de análise de risco de crédito</w:t>
      </w:r>
      <w:r>
        <w:rPr>
          <w:sz w:val="24"/>
          <w:szCs w:val="24"/>
        </w:rPr>
        <w:t xml:space="preserve"> para alocação de crédito em plataformas de empréstimo P2P </w:t>
      </w:r>
      <w:r w:rsidRPr="00A925CD">
        <w:rPr>
          <w:sz w:val="24"/>
          <w:szCs w:val="24"/>
        </w:rPr>
        <w:t>(González-Fernández &amp; González-Velasco; 2020)</w:t>
      </w:r>
      <w:r w:rsidR="00456DDA" w:rsidRPr="00A925CD">
        <w:rPr>
          <w:sz w:val="24"/>
          <w:szCs w:val="24"/>
        </w:rPr>
        <w:t>. Essas inovações podem ampliar o acesso ao crédito, especialmente para pessoas com históricos de crédito escassos. No mercado financeiro do consumidor, dados alternativos referem-se a informações usadas para avaliar a qualidade de crédito que geralmente não fazem parte de um relatório de crédito. Alguns exemplos incluem:</w:t>
      </w:r>
    </w:p>
    <w:p w14:paraId="07DF47D2" w14:textId="605622A5" w:rsidR="00456DDA" w:rsidRPr="00A925CD" w:rsidRDefault="00456DDA" w:rsidP="003C3D7C">
      <w:pPr>
        <w:pStyle w:val="PargrafodaLista"/>
        <w:numPr>
          <w:ilvl w:val="0"/>
          <w:numId w:val="5"/>
        </w:numPr>
        <w:jc w:val="both"/>
        <w:rPr>
          <w:sz w:val="24"/>
          <w:szCs w:val="24"/>
        </w:rPr>
      </w:pPr>
      <w:r w:rsidRPr="00A925CD">
        <w:rPr>
          <w:sz w:val="24"/>
          <w:szCs w:val="24"/>
        </w:rPr>
        <w:t>Pagamentos de aluguel.</w:t>
      </w:r>
    </w:p>
    <w:p w14:paraId="1BD2EB74" w14:textId="40A3A0A1" w:rsidR="00456DDA" w:rsidRPr="00A925CD" w:rsidRDefault="00456DDA" w:rsidP="003C3D7C">
      <w:pPr>
        <w:pStyle w:val="PargrafodaLista"/>
        <w:numPr>
          <w:ilvl w:val="0"/>
          <w:numId w:val="5"/>
        </w:numPr>
        <w:jc w:val="both"/>
        <w:rPr>
          <w:sz w:val="24"/>
          <w:szCs w:val="24"/>
        </w:rPr>
      </w:pPr>
      <w:r w:rsidRPr="00A925CD">
        <w:rPr>
          <w:sz w:val="24"/>
          <w:szCs w:val="24"/>
        </w:rPr>
        <w:t>Pagamentos por celular.</w:t>
      </w:r>
    </w:p>
    <w:p w14:paraId="059F8268" w14:textId="107DAEB2" w:rsidR="00456DDA" w:rsidRPr="00A925CD" w:rsidRDefault="00456DDA" w:rsidP="003C3D7C">
      <w:pPr>
        <w:pStyle w:val="PargrafodaLista"/>
        <w:numPr>
          <w:ilvl w:val="0"/>
          <w:numId w:val="5"/>
        </w:numPr>
        <w:jc w:val="both"/>
        <w:rPr>
          <w:sz w:val="24"/>
          <w:szCs w:val="24"/>
        </w:rPr>
      </w:pPr>
      <w:r w:rsidRPr="00A925CD">
        <w:rPr>
          <w:sz w:val="24"/>
          <w:szCs w:val="24"/>
        </w:rPr>
        <w:t>Pagamentos de TV a cabo.</w:t>
      </w:r>
    </w:p>
    <w:p w14:paraId="597A17C5" w14:textId="78B4B89C" w:rsidR="00456DDA" w:rsidRPr="00A925CD" w:rsidRDefault="00456DDA" w:rsidP="003C3D7C">
      <w:pPr>
        <w:pStyle w:val="PargrafodaLista"/>
        <w:numPr>
          <w:ilvl w:val="0"/>
          <w:numId w:val="5"/>
        </w:numPr>
        <w:jc w:val="both"/>
        <w:rPr>
          <w:sz w:val="24"/>
          <w:szCs w:val="24"/>
        </w:rPr>
      </w:pPr>
      <w:r w:rsidRPr="00A925CD">
        <w:rPr>
          <w:sz w:val="24"/>
          <w:szCs w:val="24"/>
        </w:rPr>
        <w:t>Sites de reputação on-line.</w:t>
      </w:r>
    </w:p>
    <w:p w14:paraId="0DC025C0" w14:textId="29A246A6" w:rsidR="00456DDA" w:rsidRPr="00A925CD" w:rsidRDefault="00F11728" w:rsidP="003C3D7C">
      <w:pPr>
        <w:pStyle w:val="PargrafodaLista"/>
        <w:numPr>
          <w:ilvl w:val="0"/>
          <w:numId w:val="5"/>
        </w:numPr>
        <w:jc w:val="both"/>
        <w:rPr>
          <w:sz w:val="24"/>
          <w:szCs w:val="24"/>
        </w:rPr>
      </w:pPr>
      <w:r w:rsidRPr="00A925CD">
        <w:rPr>
          <w:sz w:val="24"/>
          <w:szCs w:val="24"/>
        </w:rPr>
        <w:t>Métricas de análise de sentimento de mídias sociais.</w:t>
      </w:r>
    </w:p>
    <w:p w14:paraId="4685E720" w14:textId="77777777" w:rsidR="00F11728" w:rsidRPr="00A925CD" w:rsidRDefault="00F11728" w:rsidP="003C3D7C">
      <w:pPr>
        <w:jc w:val="both"/>
        <w:rPr>
          <w:sz w:val="24"/>
          <w:szCs w:val="24"/>
        </w:rPr>
      </w:pPr>
    </w:p>
    <w:p w14:paraId="3D8FCEF8" w14:textId="7805C71A" w:rsidR="00F11728" w:rsidRPr="00A925CD" w:rsidRDefault="00456DDA" w:rsidP="000612A8">
      <w:pPr>
        <w:ind w:firstLine="360"/>
        <w:jc w:val="both"/>
        <w:rPr>
          <w:sz w:val="24"/>
          <w:szCs w:val="24"/>
        </w:rPr>
      </w:pPr>
      <w:r w:rsidRPr="00A925CD">
        <w:rPr>
          <w:sz w:val="24"/>
          <w:szCs w:val="24"/>
        </w:rPr>
        <w:t xml:space="preserve">O uso de dados alternativos </w:t>
      </w:r>
      <w:r w:rsidR="003C3D7C" w:rsidRPr="00A925CD">
        <w:rPr>
          <w:sz w:val="24"/>
          <w:szCs w:val="24"/>
        </w:rPr>
        <w:t xml:space="preserve">pode </w:t>
      </w:r>
      <w:r w:rsidRPr="00A925CD">
        <w:rPr>
          <w:sz w:val="24"/>
          <w:szCs w:val="24"/>
        </w:rPr>
        <w:t>expandir o acesso ao crédito</w:t>
      </w:r>
      <w:r w:rsidR="003C3D7C" w:rsidRPr="00A925CD">
        <w:rPr>
          <w:sz w:val="24"/>
          <w:szCs w:val="24"/>
        </w:rPr>
        <w:t xml:space="preserve">, onde mesmo os clientes sem </w:t>
      </w:r>
      <w:r w:rsidRPr="00A925CD">
        <w:rPr>
          <w:sz w:val="24"/>
          <w:szCs w:val="24"/>
        </w:rPr>
        <w:t>histórico de pagamento</w:t>
      </w:r>
      <w:r w:rsidR="003C3D7C" w:rsidRPr="00A925CD">
        <w:rPr>
          <w:sz w:val="24"/>
          <w:szCs w:val="24"/>
        </w:rPr>
        <w:t>s</w:t>
      </w:r>
      <w:r w:rsidRPr="00A925CD">
        <w:rPr>
          <w:sz w:val="24"/>
          <w:szCs w:val="24"/>
        </w:rPr>
        <w:t xml:space="preserve"> </w:t>
      </w:r>
      <w:r w:rsidR="003C3D7C" w:rsidRPr="00A925CD">
        <w:rPr>
          <w:sz w:val="24"/>
          <w:szCs w:val="24"/>
        </w:rPr>
        <w:t>podem ter uma avaliação de risco de crédito com precisão, desde que as fontes alternativas apresentem variabilidade</w:t>
      </w:r>
      <w:r w:rsidRPr="00A925CD">
        <w:rPr>
          <w:sz w:val="24"/>
          <w:szCs w:val="24"/>
        </w:rPr>
        <w:t xml:space="preserve">. </w:t>
      </w:r>
      <w:r w:rsidR="00F11728" w:rsidRPr="00A925CD">
        <w:rPr>
          <w:sz w:val="24"/>
          <w:szCs w:val="24"/>
        </w:rPr>
        <w:t>Outra vantagem é disponibilizar escores alternativos de risco de crédito</w:t>
      </w:r>
      <w:r w:rsidR="003C3D7C" w:rsidRPr="00A925CD">
        <w:rPr>
          <w:sz w:val="24"/>
          <w:szCs w:val="24"/>
        </w:rPr>
        <w:t>, que podem ser combinados com escores de bureaus de crédito tradicionais, adicionando fontes de informação na gestão de risco</w:t>
      </w:r>
      <w:r w:rsidR="00F11728" w:rsidRPr="00A925CD">
        <w:rPr>
          <w:sz w:val="24"/>
          <w:szCs w:val="24"/>
        </w:rPr>
        <w:t xml:space="preserve">. </w:t>
      </w:r>
    </w:p>
    <w:p w14:paraId="1545CA39" w14:textId="5F29CA5F" w:rsidR="00456DDA" w:rsidRPr="00A925CD" w:rsidRDefault="003C3D7C" w:rsidP="000612A8">
      <w:pPr>
        <w:ind w:firstLine="360"/>
        <w:jc w:val="both"/>
        <w:rPr>
          <w:sz w:val="24"/>
          <w:szCs w:val="24"/>
        </w:rPr>
      </w:pPr>
      <w:r w:rsidRPr="00A925CD">
        <w:rPr>
          <w:sz w:val="24"/>
          <w:szCs w:val="24"/>
        </w:rPr>
        <w:t xml:space="preserve">Atualmente alguns credores adotam </w:t>
      </w:r>
      <w:r w:rsidR="00F11728" w:rsidRPr="00A925CD">
        <w:rPr>
          <w:sz w:val="24"/>
          <w:szCs w:val="24"/>
        </w:rPr>
        <w:t xml:space="preserve">políticas contratuais </w:t>
      </w:r>
      <w:r w:rsidRPr="00A925CD">
        <w:rPr>
          <w:sz w:val="24"/>
          <w:szCs w:val="24"/>
        </w:rPr>
        <w:t xml:space="preserve">que </w:t>
      </w:r>
      <w:r w:rsidR="00F11728" w:rsidRPr="00A925CD">
        <w:rPr>
          <w:sz w:val="24"/>
          <w:szCs w:val="24"/>
        </w:rPr>
        <w:t xml:space="preserve">exigem escores de crédito acima de determinado limiar, mas sem restringir que sejam escores de </w:t>
      </w:r>
      <w:r w:rsidR="00F11728" w:rsidRPr="00A925CD">
        <w:rPr>
          <w:i/>
          <w:iCs/>
          <w:sz w:val="24"/>
          <w:szCs w:val="24"/>
        </w:rPr>
        <w:t>bureaus</w:t>
      </w:r>
      <w:r w:rsidR="00F11728" w:rsidRPr="00A925CD">
        <w:rPr>
          <w:sz w:val="24"/>
          <w:szCs w:val="24"/>
        </w:rPr>
        <w:t xml:space="preserve"> de crédito tradicionais</w:t>
      </w:r>
      <w:r w:rsidR="00456DDA" w:rsidRPr="00A925CD">
        <w:rPr>
          <w:sz w:val="24"/>
          <w:szCs w:val="24"/>
        </w:rPr>
        <w:t xml:space="preserve">. Alguns desses credores podem estar dispostos a </w:t>
      </w:r>
      <w:r w:rsidR="00F11728" w:rsidRPr="00A925CD">
        <w:rPr>
          <w:sz w:val="24"/>
          <w:szCs w:val="24"/>
        </w:rPr>
        <w:t xml:space="preserve">conceder o empréstimo, se encontrarem critérios objetivos </w:t>
      </w:r>
      <w:r w:rsidRPr="00A925CD">
        <w:rPr>
          <w:sz w:val="24"/>
          <w:szCs w:val="24"/>
        </w:rPr>
        <w:t xml:space="preserve">confiáveis </w:t>
      </w:r>
      <w:r w:rsidR="00F11728" w:rsidRPr="00A925CD">
        <w:rPr>
          <w:sz w:val="24"/>
          <w:szCs w:val="24"/>
        </w:rPr>
        <w:t xml:space="preserve">para </w:t>
      </w:r>
      <w:r w:rsidR="00456DDA" w:rsidRPr="00A925CD">
        <w:rPr>
          <w:sz w:val="24"/>
          <w:szCs w:val="24"/>
        </w:rPr>
        <w:t xml:space="preserve">determinar quais pessoas têm menos probabilidade de inadimplência no empréstimo, </w:t>
      </w:r>
      <w:r w:rsidRPr="00A925CD">
        <w:rPr>
          <w:sz w:val="24"/>
          <w:szCs w:val="24"/>
        </w:rPr>
        <w:t>com base em fontes de dados alternativas (</w:t>
      </w:r>
      <w:r w:rsidR="000612A8" w:rsidRPr="00A925CD">
        <w:rPr>
          <w:sz w:val="24"/>
          <w:szCs w:val="24"/>
        </w:rPr>
        <w:t>González-Fernández &amp; González-Velasco; 2020</w:t>
      </w:r>
      <w:r w:rsidRPr="00A925CD">
        <w:rPr>
          <w:sz w:val="24"/>
          <w:szCs w:val="24"/>
        </w:rPr>
        <w:t>)</w:t>
      </w:r>
      <w:r w:rsidR="00456DDA" w:rsidRPr="00A925CD">
        <w:rPr>
          <w:sz w:val="24"/>
          <w:szCs w:val="24"/>
        </w:rPr>
        <w:t>.</w:t>
      </w:r>
    </w:p>
    <w:p w14:paraId="1389A903" w14:textId="26D7BD6A" w:rsidR="00456DDA" w:rsidRPr="00A925CD" w:rsidRDefault="00456DDA" w:rsidP="00B3707D">
      <w:pPr>
        <w:ind w:firstLine="360"/>
        <w:jc w:val="both"/>
        <w:rPr>
          <w:sz w:val="24"/>
          <w:szCs w:val="24"/>
        </w:rPr>
      </w:pPr>
      <w:r w:rsidRPr="00A925CD">
        <w:rPr>
          <w:sz w:val="24"/>
          <w:szCs w:val="24"/>
        </w:rPr>
        <w:t xml:space="preserve">Os dados tradicionalmente usados pelos credores </w:t>
      </w:r>
      <w:r w:rsidR="00F11728" w:rsidRPr="00A925CD">
        <w:rPr>
          <w:sz w:val="24"/>
          <w:szCs w:val="24"/>
        </w:rPr>
        <w:t xml:space="preserve">e </w:t>
      </w:r>
      <w:r w:rsidR="00F11728" w:rsidRPr="00A925CD">
        <w:rPr>
          <w:i/>
          <w:iCs/>
          <w:sz w:val="24"/>
          <w:szCs w:val="24"/>
        </w:rPr>
        <w:t>bureaus</w:t>
      </w:r>
      <w:r w:rsidR="00F11728" w:rsidRPr="00A925CD">
        <w:rPr>
          <w:sz w:val="24"/>
          <w:szCs w:val="24"/>
        </w:rPr>
        <w:t xml:space="preserve"> de crédito, podem não refletir todas as </w:t>
      </w:r>
      <w:r w:rsidRPr="00A925CD">
        <w:rPr>
          <w:sz w:val="24"/>
          <w:szCs w:val="24"/>
        </w:rPr>
        <w:t xml:space="preserve">atividades </w:t>
      </w:r>
      <w:r w:rsidR="00F11728" w:rsidRPr="00A925CD">
        <w:rPr>
          <w:sz w:val="24"/>
          <w:szCs w:val="24"/>
        </w:rPr>
        <w:t>que a empresa se envolve</w:t>
      </w:r>
      <w:r w:rsidRPr="00A925CD">
        <w:rPr>
          <w:sz w:val="24"/>
          <w:szCs w:val="24"/>
        </w:rPr>
        <w:t>. Dados alternativos podem fornecer informações mais atualizadas e em tempo real.</w:t>
      </w:r>
      <w:r w:rsidR="003C3D7C" w:rsidRPr="00A925CD">
        <w:rPr>
          <w:sz w:val="24"/>
          <w:szCs w:val="24"/>
        </w:rPr>
        <w:t xml:space="preserve"> Por exemplo, </w:t>
      </w:r>
      <w:r w:rsidR="001E5F99" w:rsidRPr="00A925CD">
        <w:rPr>
          <w:sz w:val="24"/>
          <w:szCs w:val="24"/>
        </w:rPr>
        <w:t>podem existir cadastros desatualizados ou informações incompletas mesmo em dados tradicionais</w:t>
      </w:r>
      <w:r w:rsidRPr="00A925CD">
        <w:rPr>
          <w:sz w:val="24"/>
          <w:szCs w:val="24"/>
        </w:rPr>
        <w:t xml:space="preserve">. </w:t>
      </w:r>
      <w:r w:rsidR="001E5F99" w:rsidRPr="00A925CD">
        <w:rPr>
          <w:sz w:val="24"/>
          <w:szCs w:val="24"/>
        </w:rPr>
        <w:t xml:space="preserve">Os escores </w:t>
      </w:r>
      <w:r w:rsidRPr="00A925CD">
        <w:rPr>
          <w:sz w:val="24"/>
          <w:szCs w:val="24"/>
        </w:rPr>
        <w:t xml:space="preserve">de crédito tradicionais são fortemente influenciados pela própria conduta financeira </w:t>
      </w:r>
      <w:r w:rsidR="001E5F99" w:rsidRPr="00A925CD">
        <w:rPr>
          <w:sz w:val="24"/>
          <w:szCs w:val="24"/>
        </w:rPr>
        <w:t xml:space="preserve">da </w:t>
      </w:r>
      <w:r w:rsidRPr="00A925CD">
        <w:rPr>
          <w:sz w:val="24"/>
          <w:szCs w:val="24"/>
        </w:rPr>
        <w:t>pessoa</w:t>
      </w:r>
      <w:r w:rsidR="001E5F99" w:rsidRPr="00A925CD">
        <w:rPr>
          <w:sz w:val="24"/>
          <w:szCs w:val="24"/>
        </w:rPr>
        <w:t xml:space="preserve"> física ou jurídica</w:t>
      </w:r>
      <w:r w:rsidRPr="00A925CD">
        <w:rPr>
          <w:sz w:val="24"/>
          <w:szCs w:val="24"/>
        </w:rPr>
        <w:t xml:space="preserve">. </w:t>
      </w:r>
      <w:r w:rsidR="001E5F99" w:rsidRPr="00A925CD">
        <w:rPr>
          <w:sz w:val="24"/>
          <w:szCs w:val="24"/>
        </w:rPr>
        <w:t>E a</w:t>
      </w:r>
      <w:r w:rsidRPr="00A925CD">
        <w:rPr>
          <w:sz w:val="24"/>
          <w:szCs w:val="24"/>
        </w:rPr>
        <w:t xml:space="preserve">lguns dados alternativos </w:t>
      </w:r>
      <w:r w:rsidR="001E5F99" w:rsidRPr="00A925CD">
        <w:rPr>
          <w:sz w:val="24"/>
          <w:szCs w:val="24"/>
        </w:rPr>
        <w:t xml:space="preserve">não são tão intimamente </w:t>
      </w:r>
      <w:r w:rsidRPr="00A925CD">
        <w:rPr>
          <w:sz w:val="24"/>
          <w:szCs w:val="24"/>
        </w:rPr>
        <w:t xml:space="preserve">relacionados </w:t>
      </w:r>
      <w:r w:rsidR="001E5F99" w:rsidRPr="00A925CD">
        <w:rPr>
          <w:sz w:val="24"/>
          <w:szCs w:val="24"/>
        </w:rPr>
        <w:t xml:space="preserve">a </w:t>
      </w:r>
      <w:r w:rsidRPr="00A925CD">
        <w:rPr>
          <w:sz w:val="24"/>
          <w:szCs w:val="24"/>
        </w:rPr>
        <w:t xml:space="preserve">conduta financeira </w:t>
      </w:r>
      <w:r w:rsidR="001E5F99" w:rsidRPr="00A925CD">
        <w:rPr>
          <w:sz w:val="24"/>
          <w:szCs w:val="24"/>
        </w:rPr>
        <w:t>propriamente dita, fazendo tais fontes de informação interessantes para concessão de crédito com objetivos sociais ou para financiar projetos de maior risco, tais como linhas voltadas para inovação tecnologia</w:t>
      </w:r>
      <w:r w:rsidRPr="00A925CD">
        <w:rPr>
          <w:sz w:val="24"/>
          <w:szCs w:val="24"/>
        </w:rPr>
        <w:t xml:space="preserve">. </w:t>
      </w:r>
    </w:p>
    <w:p w14:paraId="2325A5DE" w14:textId="65619B3F" w:rsidR="00456DDA" w:rsidRPr="00A925CD" w:rsidRDefault="001E5F99" w:rsidP="000612A8">
      <w:pPr>
        <w:ind w:firstLine="360"/>
        <w:jc w:val="both"/>
        <w:rPr>
          <w:sz w:val="24"/>
          <w:szCs w:val="24"/>
        </w:rPr>
      </w:pPr>
      <w:r w:rsidRPr="00A925CD">
        <w:rPr>
          <w:sz w:val="24"/>
          <w:szCs w:val="24"/>
        </w:rPr>
        <w:lastRenderedPageBreak/>
        <w:t>Entretanto, o</w:t>
      </w:r>
      <w:r w:rsidR="00456DDA" w:rsidRPr="00A925CD">
        <w:rPr>
          <w:sz w:val="24"/>
          <w:szCs w:val="24"/>
        </w:rPr>
        <w:t xml:space="preserve"> uso de </w:t>
      </w:r>
      <w:r w:rsidRPr="00A925CD">
        <w:rPr>
          <w:sz w:val="24"/>
          <w:szCs w:val="24"/>
        </w:rPr>
        <w:t xml:space="preserve">fontes de dados </w:t>
      </w:r>
      <w:r w:rsidR="00456DDA" w:rsidRPr="00A925CD">
        <w:rPr>
          <w:sz w:val="24"/>
          <w:szCs w:val="24"/>
        </w:rPr>
        <w:t>alternativ</w:t>
      </w:r>
      <w:r w:rsidRPr="00A925CD">
        <w:rPr>
          <w:sz w:val="24"/>
          <w:szCs w:val="24"/>
        </w:rPr>
        <w:t xml:space="preserve">as </w:t>
      </w:r>
      <w:r w:rsidR="00456DDA" w:rsidRPr="00A925CD">
        <w:rPr>
          <w:sz w:val="24"/>
          <w:szCs w:val="24"/>
        </w:rPr>
        <w:t xml:space="preserve">pode penalizar ou recompensar certos grupos ou comportamentos de maneiras difíceis de prever. Por exemplo, </w:t>
      </w:r>
      <w:r w:rsidRPr="00A925CD">
        <w:rPr>
          <w:sz w:val="24"/>
          <w:szCs w:val="24"/>
        </w:rPr>
        <w:t xml:space="preserve">empresas de cujos processos de produção utilizam solução em nuvem e que adotaram de trabalho remoto universal. Essas empresas </w:t>
      </w:r>
      <w:r w:rsidR="00456DDA" w:rsidRPr="00A925CD">
        <w:rPr>
          <w:sz w:val="24"/>
          <w:szCs w:val="24"/>
        </w:rPr>
        <w:t xml:space="preserve">podem </w:t>
      </w:r>
      <w:r w:rsidRPr="00A925CD">
        <w:rPr>
          <w:sz w:val="24"/>
          <w:szCs w:val="24"/>
        </w:rPr>
        <w:t xml:space="preserve">mudar o endereço de seu estabelecimento sem impactar suas atividades produtivas, e </w:t>
      </w:r>
      <w:r w:rsidR="00456DDA" w:rsidRPr="00A925CD">
        <w:rPr>
          <w:sz w:val="24"/>
          <w:szCs w:val="24"/>
        </w:rPr>
        <w:t>isso pode dar uma falsa impressão de instabilidade que pode afetar seu acesso ao crédito.</w:t>
      </w:r>
    </w:p>
    <w:p w14:paraId="7658FDF4" w14:textId="5F2A4844" w:rsidR="00456DDA" w:rsidRPr="00A925CD" w:rsidRDefault="00456DDA" w:rsidP="003C3D7C">
      <w:pPr>
        <w:jc w:val="both"/>
        <w:rPr>
          <w:sz w:val="24"/>
          <w:szCs w:val="24"/>
        </w:rPr>
      </w:pPr>
    </w:p>
    <w:p w14:paraId="3B59DCFB" w14:textId="77777777" w:rsidR="000612A8" w:rsidRPr="00A925CD" w:rsidRDefault="000612A8" w:rsidP="000612A8">
      <w:pPr>
        <w:jc w:val="both"/>
        <w:rPr>
          <w:sz w:val="24"/>
          <w:szCs w:val="24"/>
        </w:rPr>
      </w:pPr>
    </w:p>
    <w:p w14:paraId="017F4B0D" w14:textId="14692386" w:rsidR="000612A8" w:rsidRPr="00A925CD" w:rsidRDefault="000612A8" w:rsidP="000612A8">
      <w:pPr>
        <w:jc w:val="both"/>
        <w:rPr>
          <w:b/>
          <w:bCs/>
          <w:sz w:val="24"/>
          <w:szCs w:val="24"/>
        </w:rPr>
      </w:pPr>
      <w:r w:rsidRPr="00A925CD">
        <w:rPr>
          <w:b/>
          <w:bCs/>
          <w:sz w:val="24"/>
          <w:szCs w:val="24"/>
        </w:rPr>
        <w:t xml:space="preserve">1.1. Escores de Risco de Crédito Contábeis </w:t>
      </w:r>
    </w:p>
    <w:p w14:paraId="0B6ED83D" w14:textId="77777777" w:rsidR="000612A8" w:rsidRPr="00A925CD" w:rsidRDefault="000612A8" w:rsidP="000612A8">
      <w:pPr>
        <w:ind w:firstLine="708"/>
        <w:jc w:val="both"/>
        <w:rPr>
          <w:sz w:val="24"/>
          <w:szCs w:val="24"/>
        </w:rPr>
      </w:pPr>
      <w:r w:rsidRPr="00A925CD">
        <w:rPr>
          <w:sz w:val="24"/>
          <w:szCs w:val="24"/>
        </w:rPr>
        <w:t xml:space="preserve">Os escores de risco de crédito contábeis são fortemente baseados na comparação de vários índices contábeis de potenciais credores, com os valores médios observados na indústria ou em um clusters de empresas semelhantes. Esses indicadores contábeis são então combinados em um escore de risco de crédito ou probabilidade de inadimplência. Assim, se escore ou probabilidade de risco ultrapassa certo limiar de referência, a operação de crédito é rejeitada. Altman </w:t>
      </w:r>
      <w:r w:rsidRPr="00A925CD">
        <w:rPr>
          <w:i/>
          <w:iCs/>
          <w:sz w:val="24"/>
          <w:szCs w:val="24"/>
        </w:rPr>
        <w:t>et al</w:t>
      </w:r>
      <w:r w:rsidRPr="00A925CD">
        <w:rPr>
          <w:sz w:val="24"/>
          <w:szCs w:val="24"/>
        </w:rPr>
        <w:t xml:space="preserve">. (1998) identifica quatro abordagens metodológicas no desenvolvimento de escores contábeis de risco de crédito: (i) o modelo de probabilidade linear, (ii) o modelo </w:t>
      </w:r>
      <w:r w:rsidRPr="00A925CD">
        <w:rPr>
          <w:i/>
          <w:iCs/>
          <w:sz w:val="24"/>
          <w:szCs w:val="24"/>
        </w:rPr>
        <w:t>logit</w:t>
      </w:r>
      <w:r w:rsidRPr="00A925CD">
        <w:rPr>
          <w:sz w:val="24"/>
          <w:szCs w:val="24"/>
        </w:rPr>
        <w:t xml:space="preserve">, (iii) o modelo </w:t>
      </w:r>
      <w:r w:rsidRPr="00A925CD">
        <w:rPr>
          <w:i/>
          <w:iCs/>
          <w:sz w:val="24"/>
          <w:szCs w:val="24"/>
        </w:rPr>
        <w:t>probit</w:t>
      </w:r>
      <w:r w:rsidRPr="00A925CD">
        <w:rPr>
          <w:sz w:val="24"/>
          <w:szCs w:val="24"/>
        </w:rPr>
        <w:t xml:space="preserve">, e (iv) o modelo de análise discriminante. Entre essas abordagens, destacando-se a análise discriminante e o modelo </w:t>
      </w:r>
      <w:r w:rsidRPr="00A925CD">
        <w:rPr>
          <w:i/>
          <w:iCs/>
          <w:sz w:val="24"/>
          <w:szCs w:val="24"/>
        </w:rPr>
        <w:t>logit</w:t>
      </w:r>
      <w:r w:rsidRPr="00A925CD">
        <w:rPr>
          <w:sz w:val="24"/>
          <w:szCs w:val="24"/>
        </w:rPr>
        <w:t xml:space="preserve">. Essas as abordagens utilizam uma função de ligação entre indicadores contábeis e os tomadores de empréstimo inadimplentes e adimplentes. </w:t>
      </w:r>
    </w:p>
    <w:p w14:paraId="366A5D93" w14:textId="77777777" w:rsidR="000612A8" w:rsidRPr="00A925CD" w:rsidRDefault="000612A8" w:rsidP="000612A8">
      <w:pPr>
        <w:ind w:firstLine="708"/>
        <w:jc w:val="both"/>
        <w:rPr>
          <w:sz w:val="24"/>
          <w:szCs w:val="24"/>
        </w:rPr>
      </w:pPr>
      <w:r w:rsidRPr="00A925CD">
        <w:rPr>
          <w:sz w:val="24"/>
          <w:szCs w:val="24"/>
        </w:rPr>
        <w:t xml:space="preserve">Os chamados modelos de “risco de ruína” são uma classe de modelos de falência com forte sustentação e utilizados em risco de crédito (Altman </w:t>
      </w:r>
      <w:r w:rsidRPr="00A925CD">
        <w:rPr>
          <w:i/>
          <w:iCs/>
          <w:sz w:val="24"/>
          <w:szCs w:val="24"/>
        </w:rPr>
        <w:t>et al</w:t>
      </w:r>
      <w:r w:rsidRPr="00A925CD">
        <w:rPr>
          <w:sz w:val="24"/>
          <w:szCs w:val="24"/>
        </w:rPr>
        <w:t xml:space="preserve">., 1998). Em sua definição mais simples, a falência ocorre quando o valor de mercado dos ativos é inferior às suas obrigações de dívidas. A literatura dos modelos de risco de ruína afirma que, se o valor de mercado dos ativos de uma empresa encontra-se abaixo das suas obrigações com dívidas, então em algum momento ela empresa irá frustrar tais obrigações. </w:t>
      </w:r>
    </w:p>
    <w:p w14:paraId="2994A556" w14:textId="0375AFA5" w:rsidR="000612A8" w:rsidRPr="00A925CD" w:rsidRDefault="000612A8" w:rsidP="000612A8">
      <w:pPr>
        <w:ind w:firstLine="708"/>
        <w:jc w:val="both"/>
        <w:rPr>
          <w:sz w:val="24"/>
          <w:szCs w:val="24"/>
        </w:rPr>
      </w:pPr>
      <w:r w:rsidRPr="00A925CD">
        <w:rPr>
          <w:sz w:val="24"/>
          <w:szCs w:val="24"/>
        </w:rPr>
        <w:t>Modelos risco de ruína são encontrados em Wilcox (1973)</w:t>
      </w:r>
      <w:r w:rsidR="00B3707D">
        <w:rPr>
          <w:sz w:val="24"/>
          <w:szCs w:val="24"/>
        </w:rPr>
        <w:t xml:space="preserve"> e </w:t>
      </w:r>
      <w:r w:rsidRPr="00A925CD">
        <w:rPr>
          <w:sz w:val="24"/>
          <w:szCs w:val="24"/>
        </w:rPr>
        <w:t xml:space="preserve">Scott (1981). Scott (1983) encontra muitas semelhanças entre o modelo de risco de ruína e os modelos de precificação de opções (OPM) de Black &amp; Scholes (1973), onde a volatilidade do preço das ações de uma empresa é usada como um </w:t>
      </w:r>
      <w:r w:rsidRPr="00A925CD">
        <w:rPr>
          <w:i/>
          <w:iCs/>
          <w:sz w:val="24"/>
          <w:szCs w:val="24"/>
        </w:rPr>
        <w:t>proxy</w:t>
      </w:r>
      <w:r w:rsidRPr="00A925CD">
        <w:rPr>
          <w:sz w:val="24"/>
          <w:szCs w:val="24"/>
        </w:rPr>
        <w:t xml:space="preserve"> para se obter variabilidade esperada ou implícita nos valores dos ativos, ou seja, o risco dos ativos. </w:t>
      </w:r>
    </w:p>
    <w:p w14:paraId="469796A1" w14:textId="77777777" w:rsidR="000612A8" w:rsidRPr="00A925CD" w:rsidRDefault="000612A8" w:rsidP="000612A8">
      <w:pPr>
        <w:ind w:firstLine="708"/>
        <w:jc w:val="both"/>
        <w:rPr>
          <w:sz w:val="24"/>
          <w:szCs w:val="24"/>
        </w:rPr>
      </w:pPr>
      <w:r w:rsidRPr="00A925CD">
        <w:rPr>
          <w:sz w:val="24"/>
          <w:szCs w:val="24"/>
        </w:rPr>
        <w:t xml:space="preserve">Uma classe de modelos de risco com forte sustentação teórica, utilizam estruturas a termo de spreads de rendimentos de títulos corporativos para obter probabilidades implícitas de inadimplência (Jonkhart, 1979; Iben e Litterman, 1989). Esses modelos derivam taxas a termo implícitas em títulos com e sem risco, extraindo expectativa de inadimplência em diferentes momentos no futuro. </w:t>
      </w:r>
    </w:p>
    <w:p w14:paraId="407A75C8" w14:textId="77777777" w:rsidR="000612A8" w:rsidRPr="00A925CD" w:rsidRDefault="000612A8" w:rsidP="000612A8">
      <w:pPr>
        <w:ind w:firstLine="708"/>
        <w:jc w:val="both"/>
        <w:rPr>
          <w:sz w:val="24"/>
          <w:szCs w:val="24"/>
        </w:rPr>
      </w:pPr>
      <w:r w:rsidRPr="00A925CD">
        <w:rPr>
          <w:sz w:val="24"/>
          <w:szCs w:val="24"/>
        </w:rPr>
        <w:t xml:space="preserve">Os chamados modelos de inadimplência e taxa mortalidade (Altman; 1988, 1989) ou modelos de envelhecimento (Asquith </w:t>
      </w:r>
      <w:r w:rsidRPr="00A925CD">
        <w:rPr>
          <w:i/>
          <w:iCs/>
          <w:sz w:val="24"/>
          <w:szCs w:val="24"/>
        </w:rPr>
        <w:t>et al.</w:t>
      </w:r>
      <w:r w:rsidRPr="00A925CD">
        <w:rPr>
          <w:sz w:val="24"/>
          <w:szCs w:val="24"/>
        </w:rPr>
        <w:t xml:space="preserve">, 1989), onde as probabilidades de inadimplência são derivadas a partir de dados anteriores de inadimplência de títulos de </w:t>
      </w:r>
      <w:r w:rsidRPr="00A925CD">
        <w:rPr>
          <w:sz w:val="24"/>
          <w:szCs w:val="24"/>
        </w:rPr>
        <w:lastRenderedPageBreak/>
        <w:t>crédito e o tempo até o seu vencimento. As agências de classificação Moody's (1990) e Standard and Poor's (1991) adotaram esta abordagem de mortalidade em análises de instrumentos financeiros.</w:t>
      </w:r>
    </w:p>
    <w:p w14:paraId="35054496" w14:textId="77777777" w:rsidR="000612A8" w:rsidRPr="00A925CD" w:rsidRDefault="000612A8" w:rsidP="000612A8">
      <w:pPr>
        <w:ind w:firstLine="708"/>
        <w:jc w:val="both"/>
        <w:rPr>
          <w:sz w:val="24"/>
          <w:szCs w:val="24"/>
        </w:rPr>
      </w:pPr>
      <w:r w:rsidRPr="00A925CD">
        <w:rPr>
          <w:sz w:val="24"/>
          <w:szCs w:val="24"/>
        </w:rPr>
        <w:t xml:space="preserve">Uma tendencia mais recente em risco de crédito é a utilização de aprendizado de máquina, ou mais genericamente inteligência artificial. Esta abordagem faz uso rede relações não-lineares entre as variáveis explicativas, explorando relações latentes que expliquem o risco de crédito. As aplicações mais antigas incluem Altman </w:t>
      </w:r>
      <w:r w:rsidRPr="00A925CD">
        <w:rPr>
          <w:i/>
          <w:iCs/>
          <w:sz w:val="24"/>
          <w:szCs w:val="24"/>
        </w:rPr>
        <w:t>et al</w:t>
      </w:r>
      <w:r w:rsidRPr="00A925CD">
        <w:rPr>
          <w:sz w:val="24"/>
          <w:szCs w:val="24"/>
        </w:rPr>
        <w:t xml:space="preserve">. (1994), Coats &amp; Fant (1993) e Turban (1996). </w:t>
      </w:r>
    </w:p>
    <w:p w14:paraId="2624FA8C" w14:textId="77777777" w:rsidR="000612A8" w:rsidRPr="00A925CD" w:rsidRDefault="000612A8" w:rsidP="000612A8">
      <w:pPr>
        <w:ind w:firstLine="708"/>
        <w:jc w:val="both"/>
        <w:rPr>
          <w:sz w:val="24"/>
          <w:szCs w:val="24"/>
        </w:rPr>
      </w:pPr>
      <w:r w:rsidRPr="00A925CD">
        <w:rPr>
          <w:sz w:val="24"/>
          <w:szCs w:val="24"/>
        </w:rPr>
        <w:t xml:space="preserve">A maior crítica à utilização de inteligência artificial continua sendo a natureza obscura dos algoritmos. Devido à dificuldade de interpretação dos parâmetros e </w:t>
      </w:r>
      <w:r w:rsidRPr="00A925CD">
        <w:rPr>
          <w:i/>
          <w:iCs/>
          <w:sz w:val="24"/>
          <w:szCs w:val="24"/>
        </w:rPr>
        <w:t>features</w:t>
      </w:r>
      <w:r w:rsidRPr="00A925CD">
        <w:rPr>
          <w:sz w:val="24"/>
          <w:szCs w:val="24"/>
        </w:rPr>
        <w:t xml:space="preserve">, estes são também referidos como modelos </w:t>
      </w:r>
      <w:r w:rsidRPr="00A925CD">
        <w:rPr>
          <w:i/>
          <w:iCs/>
          <w:sz w:val="24"/>
          <w:szCs w:val="24"/>
        </w:rPr>
        <w:t>black box</w:t>
      </w:r>
      <w:r w:rsidRPr="00A925CD">
        <w:rPr>
          <w:sz w:val="24"/>
          <w:szCs w:val="24"/>
        </w:rPr>
        <w:t xml:space="preserve">. Entretanto, recentemente surgiram diversas ferramentas que possibilitam interpretar esses algoritmos, tais como, </w:t>
      </w:r>
      <w:r w:rsidRPr="00A925CD">
        <w:rPr>
          <w:i/>
          <w:iCs/>
          <w:sz w:val="24"/>
          <w:szCs w:val="24"/>
        </w:rPr>
        <w:t>Partial Dependence Plot</w:t>
      </w:r>
      <w:r w:rsidRPr="00A925CD">
        <w:rPr>
          <w:sz w:val="24"/>
          <w:szCs w:val="24"/>
        </w:rPr>
        <w:t xml:space="preserve"> (Molnar, 2023), valor de SHAP (Lundberg &amp; Lee,2017), gráfico de Efeitos Acumulados Locais (Apley &amp; Zhu, 2020), </w:t>
      </w:r>
      <w:r w:rsidRPr="00A925CD">
        <w:rPr>
          <w:i/>
          <w:iCs/>
          <w:sz w:val="24"/>
          <w:szCs w:val="24"/>
        </w:rPr>
        <w:t>Feature Importance</w:t>
      </w:r>
      <w:r w:rsidRPr="00A925CD">
        <w:rPr>
          <w:sz w:val="24"/>
          <w:szCs w:val="24"/>
        </w:rPr>
        <w:t xml:space="preserve"> (Janzing, </w:t>
      </w:r>
      <w:r w:rsidRPr="00A925CD">
        <w:rPr>
          <w:i/>
          <w:iCs/>
          <w:sz w:val="24"/>
          <w:szCs w:val="24"/>
        </w:rPr>
        <w:t>et al.</w:t>
      </w:r>
      <w:r w:rsidRPr="00A925CD">
        <w:rPr>
          <w:sz w:val="24"/>
          <w:szCs w:val="24"/>
        </w:rPr>
        <w:t xml:space="preserve">, 2020), e LIME (Ribeiro, </w:t>
      </w:r>
      <w:r w:rsidRPr="00A925CD">
        <w:rPr>
          <w:i/>
          <w:iCs/>
          <w:sz w:val="24"/>
          <w:szCs w:val="24"/>
        </w:rPr>
        <w:t>et al.</w:t>
      </w:r>
      <w:r w:rsidRPr="00A925CD">
        <w:rPr>
          <w:sz w:val="24"/>
          <w:szCs w:val="24"/>
        </w:rPr>
        <w:t>, 2016).</w:t>
      </w:r>
    </w:p>
    <w:p w14:paraId="73AC8E58" w14:textId="77777777" w:rsidR="000612A8" w:rsidRPr="00A925CD" w:rsidRDefault="000612A8" w:rsidP="000612A8">
      <w:pPr>
        <w:ind w:firstLine="708"/>
        <w:jc w:val="both"/>
        <w:rPr>
          <w:sz w:val="24"/>
          <w:szCs w:val="24"/>
        </w:rPr>
      </w:pPr>
      <w:r w:rsidRPr="00A925CD">
        <w:rPr>
          <w:sz w:val="24"/>
          <w:szCs w:val="24"/>
        </w:rPr>
        <w:t xml:space="preserve">Avanços recentes no poder de computação, disponibilidade de grandes bancos de dados, e armazenagem em nuvem abriram caminho para expansão da mensuração do risco de crédito orientado por IA. Shi, et al. (2022) classificam os algoritmos de aprendizado entre técnicas convencionais, tais como, </w:t>
      </w:r>
      <w:r w:rsidRPr="00A925CD">
        <w:rPr>
          <w:i/>
          <w:iCs/>
          <w:sz w:val="24"/>
          <w:szCs w:val="24"/>
        </w:rPr>
        <w:t>k-Nearest Neighbor</w:t>
      </w:r>
      <w:r w:rsidRPr="00A925CD">
        <w:rPr>
          <w:sz w:val="24"/>
          <w:szCs w:val="24"/>
        </w:rPr>
        <w:t xml:space="preserve">, </w:t>
      </w:r>
      <w:r w:rsidRPr="00A925CD">
        <w:rPr>
          <w:i/>
          <w:iCs/>
          <w:sz w:val="24"/>
          <w:szCs w:val="24"/>
        </w:rPr>
        <w:t>Random Forest</w:t>
      </w:r>
      <w:r w:rsidRPr="00A925CD">
        <w:rPr>
          <w:sz w:val="24"/>
          <w:szCs w:val="24"/>
        </w:rPr>
        <w:t xml:space="preserve"> e </w:t>
      </w:r>
      <w:r w:rsidRPr="00A925CD">
        <w:rPr>
          <w:i/>
          <w:iCs/>
          <w:sz w:val="24"/>
          <w:szCs w:val="24"/>
        </w:rPr>
        <w:t>Support Vector Machines</w:t>
      </w:r>
      <w:r w:rsidRPr="00A925CD">
        <w:rPr>
          <w:sz w:val="24"/>
          <w:szCs w:val="24"/>
        </w:rPr>
        <w:t>; e redes neurais de aprendizado profundo (</w:t>
      </w:r>
      <w:r w:rsidRPr="00A925CD">
        <w:rPr>
          <w:i/>
          <w:iCs/>
          <w:sz w:val="24"/>
          <w:szCs w:val="24"/>
        </w:rPr>
        <w:t>Deep Learning</w:t>
      </w:r>
      <w:r w:rsidRPr="00A925CD">
        <w:rPr>
          <w:sz w:val="24"/>
          <w:szCs w:val="24"/>
        </w:rPr>
        <w:t>). Revisão de 76 artigos mostra que as abordagens baseadas em aprendizado profundo (</w:t>
      </w:r>
      <w:r w:rsidRPr="00A925CD">
        <w:rPr>
          <w:i/>
          <w:iCs/>
          <w:sz w:val="24"/>
          <w:szCs w:val="24"/>
        </w:rPr>
        <w:t>Deep Learning</w:t>
      </w:r>
      <w:r w:rsidRPr="00A925CD">
        <w:rPr>
          <w:sz w:val="24"/>
          <w:szCs w:val="24"/>
        </w:rPr>
        <w:t xml:space="preserve">) superam as técnicas mais convencionais de aprendizado de máquina (SVM, </w:t>
      </w:r>
      <w:r w:rsidRPr="00A925CD">
        <w:rPr>
          <w:i/>
          <w:iCs/>
          <w:sz w:val="24"/>
          <w:szCs w:val="24"/>
        </w:rPr>
        <w:t>k-Nearest Neighbor</w:t>
      </w:r>
      <w:r w:rsidRPr="00A925CD">
        <w:rPr>
          <w:sz w:val="24"/>
          <w:szCs w:val="24"/>
        </w:rPr>
        <w:t xml:space="preserve">, </w:t>
      </w:r>
      <w:r w:rsidRPr="00A925CD">
        <w:rPr>
          <w:i/>
          <w:iCs/>
          <w:sz w:val="24"/>
          <w:szCs w:val="24"/>
        </w:rPr>
        <w:t>Random Forest</w:t>
      </w:r>
      <w:r w:rsidRPr="00A925CD">
        <w:rPr>
          <w:sz w:val="24"/>
          <w:szCs w:val="24"/>
        </w:rPr>
        <w:t xml:space="preserve">). Por sua vez as técnicas tradicionais de aprendizado de máquina vez superam as técnicas estatísticas na previsão de risco de crédito, tanto em precisão quanto em eficiência. </w:t>
      </w:r>
    </w:p>
    <w:p w14:paraId="6E24FF80" w14:textId="77777777" w:rsidR="000612A8" w:rsidRPr="00A925CD" w:rsidRDefault="000612A8" w:rsidP="000612A8">
      <w:pPr>
        <w:ind w:firstLine="708"/>
        <w:jc w:val="both"/>
        <w:rPr>
          <w:sz w:val="24"/>
          <w:szCs w:val="24"/>
        </w:rPr>
      </w:pPr>
      <w:r w:rsidRPr="00A925CD">
        <w:rPr>
          <w:sz w:val="24"/>
          <w:szCs w:val="24"/>
        </w:rPr>
        <w:t xml:space="preserve">González-Fernández </w:t>
      </w:r>
      <w:r w:rsidRPr="00A925CD">
        <w:rPr>
          <w:i/>
          <w:iCs/>
          <w:sz w:val="24"/>
          <w:szCs w:val="24"/>
        </w:rPr>
        <w:t>&amp;</w:t>
      </w:r>
      <w:r w:rsidRPr="00A925CD">
        <w:rPr>
          <w:sz w:val="24"/>
          <w:szCs w:val="24"/>
        </w:rPr>
        <w:t xml:space="preserve"> González-Velasco (2020) utilizam análise de sentimento para medir o risco de crédito bancário em países europeus, utilizando para isto dados do Google e avaliando um conjunto de palavras-chave relacionadas ao risco de crédito. As classificações de crédito resultantes apresentam grande semelhança com escores tradicionais bancários. Especialmente em tempos de instabilidade financeira, o desempenho do escore baseado em análise de sentimento ultrapassa o risco de crédito baseado em escores tradicionais.</w:t>
      </w:r>
    </w:p>
    <w:p w14:paraId="44A06A51" w14:textId="2A803D95" w:rsidR="000612A8" w:rsidRPr="00A925CD" w:rsidRDefault="000612A8" w:rsidP="000612A8">
      <w:pPr>
        <w:ind w:firstLine="708"/>
        <w:jc w:val="both"/>
        <w:rPr>
          <w:sz w:val="24"/>
          <w:szCs w:val="24"/>
        </w:rPr>
      </w:pPr>
      <w:r w:rsidRPr="00A925CD">
        <w:rPr>
          <w:sz w:val="24"/>
          <w:szCs w:val="24"/>
        </w:rPr>
        <w:t xml:space="preserve">Por sua vez, Giudici </w:t>
      </w:r>
      <w:r w:rsidRPr="00A925CD">
        <w:rPr>
          <w:i/>
          <w:iCs/>
          <w:sz w:val="24"/>
          <w:szCs w:val="24"/>
        </w:rPr>
        <w:t xml:space="preserve">et al. </w:t>
      </w:r>
      <w:r w:rsidRPr="00A925CD">
        <w:rPr>
          <w:sz w:val="24"/>
          <w:szCs w:val="24"/>
        </w:rPr>
        <w:t xml:space="preserve">(2020) realizam estimação de risco de crédito em plataformas de empréstimo </w:t>
      </w:r>
      <w:r w:rsidRPr="00A925CD">
        <w:rPr>
          <w:i/>
          <w:iCs/>
          <w:sz w:val="24"/>
          <w:szCs w:val="24"/>
        </w:rPr>
        <w:t>Peer-to-Peer</w:t>
      </w:r>
      <w:r w:rsidRPr="00A925CD">
        <w:rPr>
          <w:sz w:val="24"/>
          <w:szCs w:val="24"/>
        </w:rPr>
        <w:t xml:space="preserve"> utilizando medidas de centralidade e similaridade em derivadas da análise de redes. Os autores misturam as medidas alternativas com indicadores financeiros tradicionais. Os resultados encontrados corrigem erros de mensuração típicos encontrados e tais plataformas, melhorando a experiencia do usuário.</w:t>
      </w:r>
    </w:p>
    <w:p w14:paraId="7E005760" w14:textId="77777777" w:rsidR="000612A8" w:rsidRDefault="000612A8" w:rsidP="000612A8">
      <w:pPr>
        <w:ind w:firstLine="708"/>
        <w:jc w:val="both"/>
        <w:rPr>
          <w:sz w:val="24"/>
          <w:szCs w:val="24"/>
        </w:rPr>
      </w:pPr>
    </w:p>
    <w:p w14:paraId="7E9E2806" w14:textId="77777777" w:rsidR="000612A8" w:rsidRPr="00A925CD" w:rsidRDefault="000612A8" w:rsidP="000612A8">
      <w:pPr>
        <w:rPr>
          <w:sz w:val="24"/>
          <w:szCs w:val="24"/>
        </w:rPr>
      </w:pPr>
    </w:p>
    <w:p w14:paraId="669158EE" w14:textId="26C6A72E" w:rsidR="00456DDA" w:rsidRPr="00A925CD" w:rsidRDefault="001E5F99" w:rsidP="000612A8">
      <w:pPr>
        <w:pStyle w:val="PargrafodaLista"/>
        <w:numPr>
          <w:ilvl w:val="0"/>
          <w:numId w:val="6"/>
        </w:numPr>
        <w:rPr>
          <w:b/>
          <w:bCs/>
          <w:sz w:val="24"/>
          <w:szCs w:val="24"/>
        </w:rPr>
      </w:pPr>
      <w:r w:rsidRPr="00A925CD">
        <w:rPr>
          <w:b/>
          <w:bCs/>
          <w:sz w:val="24"/>
          <w:szCs w:val="24"/>
        </w:rPr>
        <w:lastRenderedPageBreak/>
        <w:t xml:space="preserve">Fontes de </w:t>
      </w:r>
      <w:r w:rsidR="003C3D7C" w:rsidRPr="00A925CD">
        <w:rPr>
          <w:b/>
          <w:bCs/>
          <w:sz w:val="24"/>
          <w:szCs w:val="24"/>
        </w:rPr>
        <w:t>Dados</w:t>
      </w:r>
    </w:p>
    <w:p w14:paraId="74988F85" w14:textId="77777777" w:rsidR="000612A8" w:rsidRPr="00A925CD" w:rsidRDefault="000612A8" w:rsidP="000612A8">
      <w:pPr>
        <w:ind w:firstLine="360"/>
        <w:jc w:val="both"/>
        <w:rPr>
          <w:sz w:val="24"/>
          <w:szCs w:val="24"/>
        </w:rPr>
      </w:pPr>
      <w:r w:rsidRPr="00A925CD">
        <w:rPr>
          <w:sz w:val="24"/>
          <w:szCs w:val="24"/>
        </w:rPr>
        <w:t xml:space="preserve">A demanda por maior </w:t>
      </w:r>
      <w:r w:rsidRPr="00A925CD">
        <w:rPr>
          <w:i/>
          <w:iCs/>
          <w:sz w:val="24"/>
          <w:szCs w:val="24"/>
        </w:rPr>
        <w:t>accountability</w:t>
      </w:r>
      <w:r w:rsidRPr="00A925CD">
        <w:rPr>
          <w:sz w:val="24"/>
          <w:szCs w:val="24"/>
        </w:rPr>
        <w:t xml:space="preserve"> nas finanças públicas tem estimulado algumas iniciativas do governo federal em disponibilizar de bases de dados abertos, contendo microdados de interesse público. Entre essas iniciativas, podemos citar portal o Cadastro Nacional de Pessoas Jurídicas da Receita Federal </w:t>
      </w:r>
      <w:r w:rsidRPr="00A925CD">
        <w:rPr>
          <w:iCs/>
          <w:sz w:val="24"/>
          <w:szCs w:val="24"/>
        </w:rPr>
        <w:t xml:space="preserve">e o Portal </w:t>
      </w:r>
      <w:r w:rsidRPr="00A925CD">
        <w:rPr>
          <w:sz w:val="24"/>
          <w:szCs w:val="24"/>
        </w:rPr>
        <w:t xml:space="preserve">Transparência do BNDES, contendo microdados de empresas. A unidade observacional dos dados disponibilizados é a operação de crédito, contendo o CNPJ censurado das empresas e as condições da operação de crédito (taxa de juros, prazo, amortização, valor do contrato). A unidade observacional das informações da Receita Federal é a matriz empresa, a empresa final e o sócio da empresa, dependendo da tabela relacional. Nosso na concatenação desses dados é desenvolver uma proxy para o risco de crédito dessas operações, relacionando esta medida de risco com as operações do BNDES. </w:t>
      </w:r>
    </w:p>
    <w:p w14:paraId="0376A857" w14:textId="4B2E8C81" w:rsidR="00ED014B" w:rsidRPr="00154E7B" w:rsidRDefault="003C3D7C" w:rsidP="00154E7B">
      <w:pPr>
        <w:ind w:firstLine="360"/>
        <w:jc w:val="both"/>
        <w:rPr>
          <w:sz w:val="24"/>
          <w:szCs w:val="24"/>
        </w:rPr>
      </w:pPr>
      <w:r w:rsidRPr="00A925CD">
        <w:rPr>
          <w:sz w:val="24"/>
          <w:szCs w:val="24"/>
        </w:rPr>
        <w:t xml:space="preserve">A Receita Federal disponibiliza 03 tabelas da microdados: Empresa, Filiais e Sócios. A tabela de empresas possui </w:t>
      </w:r>
      <w:r w:rsidR="000612A8" w:rsidRPr="00A925CD">
        <w:rPr>
          <w:sz w:val="24"/>
          <w:szCs w:val="24"/>
        </w:rPr>
        <w:t xml:space="preserve">em torno de </w:t>
      </w:r>
      <w:r w:rsidRPr="00A925CD">
        <w:rPr>
          <w:sz w:val="24"/>
          <w:szCs w:val="24"/>
        </w:rPr>
        <w:t>40 milhões registros</w:t>
      </w:r>
      <w:r w:rsidR="000612A8" w:rsidRPr="00A925CD">
        <w:rPr>
          <w:sz w:val="24"/>
          <w:szCs w:val="24"/>
        </w:rPr>
        <w:t xml:space="preserve">, a tabela contendo as </w:t>
      </w:r>
      <w:r w:rsidRPr="00A925CD">
        <w:rPr>
          <w:sz w:val="24"/>
          <w:szCs w:val="24"/>
        </w:rPr>
        <w:t>filiais</w:t>
      </w:r>
      <w:r w:rsidR="000612A8" w:rsidRPr="00A925CD">
        <w:rPr>
          <w:sz w:val="24"/>
          <w:szCs w:val="24"/>
        </w:rPr>
        <w:t xml:space="preserve"> </w:t>
      </w:r>
      <w:r w:rsidRPr="00A925CD">
        <w:rPr>
          <w:sz w:val="24"/>
          <w:szCs w:val="24"/>
        </w:rPr>
        <w:t>aproximadamente 42 milhões de observações, e a tabela de sócios aproximadamente 18 milhões de observações. As informações de empresas, filiais</w:t>
      </w:r>
      <w:r w:rsidR="00A925CD" w:rsidRPr="00A925CD">
        <w:rPr>
          <w:sz w:val="24"/>
          <w:szCs w:val="24"/>
        </w:rPr>
        <w:t xml:space="preserve">, </w:t>
      </w:r>
      <w:r w:rsidRPr="00A925CD">
        <w:rPr>
          <w:sz w:val="24"/>
          <w:szCs w:val="24"/>
        </w:rPr>
        <w:t>sócios</w:t>
      </w:r>
      <w:r w:rsidR="00A925CD" w:rsidRPr="00A925CD">
        <w:rPr>
          <w:sz w:val="24"/>
          <w:szCs w:val="24"/>
        </w:rPr>
        <w:t xml:space="preserve">, bem como as operações de financiamento do BNDES possuem </w:t>
      </w:r>
      <w:r w:rsidRPr="00A925CD">
        <w:rPr>
          <w:sz w:val="24"/>
          <w:szCs w:val="24"/>
        </w:rPr>
        <w:t xml:space="preserve">como chave </w:t>
      </w:r>
      <w:r w:rsidR="00A925CD" w:rsidRPr="00A925CD">
        <w:rPr>
          <w:sz w:val="24"/>
          <w:szCs w:val="24"/>
        </w:rPr>
        <w:t xml:space="preserve">de ligação </w:t>
      </w:r>
      <w:r w:rsidRPr="00A925CD">
        <w:rPr>
          <w:sz w:val="24"/>
          <w:szCs w:val="24"/>
        </w:rPr>
        <w:t xml:space="preserve">o CNPJ da empresa. </w:t>
      </w:r>
    </w:p>
    <w:p w14:paraId="7B4D60A2" w14:textId="62811572" w:rsidR="00456DDA" w:rsidRPr="00A925CD" w:rsidRDefault="00456DDA" w:rsidP="00360636">
      <w:pPr>
        <w:rPr>
          <w:sz w:val="24"/>
          <w:szCs w:val="24"/>
        </w:rPr>
      </w:pPr>
    </w:p>
    <w:p w14:paraId="14E97A9C" w14:textId="77777777" w:rsidR="00154E7B" w:rsidRPr="00A925CD" w:rsidRDefault="00154E7B" w:rsidP="00154E7B">
      <w:pPr>
        <w:ind w:firstLine="708"/>
        <w:jc w:val="both"/>
        <w:rPr>
          <w:sz w:val="24"/>
          <w:szCs w:val="24"/>
        </w:rPr>
      </w:pPr>
    </w:p>
    <w:p w14:paraId="5C11683F" w14:textId="716BAF3C" w:rsidR="00154E7B" w:rsidRPr="00A925CD" w:rsidRDefault="00154E7B" w:rsidP="00154E7B">
      <w:pPr>
        <w:rPr>
          <w:b/>
          <w:bCs/>
          <w:sz w:val="24"/>
          <w:szCs w:val="24"/>
        </w:rPr>
      </w:pPr>
      <w:r>
        <w:rPr>
          <w:b/>
          <w:bCs/>
          <w:sz w:val="24"/>
          <w:szCs w:val="24"/>
        </w:rPr>
        <w:t>2</w:t>
      </w:r>
      <w:r w:rsidRPr="00A925CD">
        <w:rPr>
          <w:b/>
          <w:bCs/>
          <w:sz w:val="24"/>
          <w:szCs w:val="24"/>
        </w:rPr>
        <w:t>.2 Variável Dependente</w:t>
      </w:r>
    </w:p>
    <w:p w14:paraId="22D90DDC" w14:textId="77777777" w:rsidR="00154E7B" w:rsidRDefault="00154E7B" w:rsidP="00154E7B">
      <w:pPr>
        <w:ind w:firstLine="360"/>
        <w:jc w:val="both"/>
        <w:rPr>
          <w:sz w:val="24"/>
          <w:szCs w:val="24"/>
        </w:rPr>
      </w:pPr>
      <w:r w:rsidRPr="00A925CD">
        <w:rPr>
          <w:sz w:val="24"/>
          <w:szCs w:val="24"/>
        </w:rPr>
        <w:t>Com introdução das diretrizes de conformidade de Basel II e Basel III, e a necessidade de mais acurácia nas mensurações de risco de crédito, os modelos de análise de sobrevivência ganharam maior importância ao longo dos anos (Dirick</w:t>
      </w:r>
      <w:r>
        <w:rPr>
          <w:sz w:val="24"/>
          <w:szCs w:val="24"/>
        </w:rPr>
        <w:t xml:space="preserve"> </w:t>
      </w:r>
      <w:r w:rsidRPr="00A925CD">
        <w:rPr>
          <w:i/>
          <w:iCs/>
          <w:sz w:val="24"/>
          <w:szCs w:val="24"/>
        </w:rPr>
        <w:t>et al.</w:t>
      </w:r>
      <w:r>
        <w:rPr>
          <w:i/>
          <w:iCs/>
          <w:sz w:val="24"/>
          <w:szCs w:val="24"/>
        </w:rPr>
        <w:t xml:space="preserve">, </w:t>
      </w:r>
      <w:r w:rsidRPr="00A925CD">
        <w:rPr>
          <w:sz w:val="24"/>
          <w:szCs w:val="24"/>
        </w:rPr>
        <w:t>2017).</w:t>
      </w:r>
      <w:r>
        <w:rPr>
          <w:sz w:val="24"/>
          <w:szCs w:val="24"/>
        </w:rPr>
        <w:t xml:space="preserve"> Nesse sentido é estimulado a introdução de novas técnicas para mensuração de risco de crédito e a exploração de novas fontes de dados.</w:t>
      </w:r>
      <w:r w:rsidRPr="00A925CD">
        <w:rPr>
          <w:sz w:val="24"/>
          <w:szCs w:val="24"/>
        </w:rPr>
        <w:t xml:space="preserve"> Narain (1992) foi a primeira pessoa que sugeriu a utilização de análise de sobrevivência no contexto de risco de crédito. </w:t>
      </w:r>
      <w:r>
        <w:rPr>
          <w:sz w:val="24"/>
          <w:szCs w:val="24"/>
        </w:rPr>
        <w:t xml:space="preserve">Posteriormente, </w:t>
      </w:r>
      <w:r w:rsidRPr="00A925CD">
        <w:rPr>
          <w:sz w:val="24"/>
          <w:szCs w:val="24"/>
        </w:rPr>
        <w:t xml:space="preserve">Dirick </w:t>
      </w:r>
      <w:r w:rsidRPr="00A925CD">
        <w:rPr>
          <w:i/>
          <w:iCs/>
          <w:sz w:val="24"/>
          <w:szCs w:val="24"/>
        </w:rPr>
        <w:t>et al.</w:t>
      </w:r>
      <w:r w:rsidRPr="00A925CD">
        <w:rPr>
          <w:sz w:val="24"/>
          <w:szCs w:val="24"/>
        </w:rPr>
        <w:t xml:space="preserve"> (2017) </w:t>
      </w:r>
      <w:r>
        <w:rPr>
          <w:sz w:val="24"/>
          <w:szCs w:val="24"/>
        </w:rPr>
        <w:t xml:space="preserve">avaliam </w:t>
      </w:r>
      <w:r w:rsidRPr="00A925CD">
        <w:rPr>
          <w:sz w:val="24"/>
          <w:szCs w:val="24"/>
        </w:rPr>
        <w:t xml:space="preserve">o desempenho </w:t>
      </w:r>
      <w:r>
        <w:rPr>
          <w:sz w:val="24"/>
          <w:szCs w:val="24"/>
        </w:rPr>
        <w:t xml:space="preserve">dessas </w:t>
      </w:r>
      <w:r w:rsidRPr="00A925CD">
        <w:rPr>
          <w:sz w:val="24"/>
          <w:szCs w:val="24"/>
        </w:rPr>
        <w:t xml:space="preserve">técnicas de análise de sobrevivência </w:t>
      </w:r>
      <w:r>
        <w:rPr>
          <w:sz w:val="24"/>
          <w:szCs w:val="24"/>
        </w:rPr>
        <w:t>para mensuração do risco de crédito. N</w:t>
      </w:r>
      <w:r w:rsidRPr="00A925CD">
        <w:rPr>
          <w:sz w:val="24"/>
          <w:szCs w:val="24"/>
        </w:rPr>
        <w:t>esse contexto</w:t>
      </w:r>
      <w:r>
        <w:rPr>
          <w:sz w:val="24"/>
          <w:szCs w:val="24"/>
        </w:rPr>
        <w:t xml:space="preserve">, </w:t>
      </w:r>
      <w:r w:rsidRPr="00A925CD">
        <w:rPr>
          <w:sz w:val="24"/>
          <w:szCs w:val="24"/>
        </w:rPr>
        <w:t xml:space="preserve">o </w:t>
      </w:r>
      <w:r>
        <w:rPr>
          <w:sz w:val="24"/>
          <w:szCs w:val="24"/>
        </w:rPr>
        <w:t xml:space="preserve">interesse é modelar o período até a </w:t>
      </w:r>
      <w:r w:rsidRPr="00A925CD">
        <w:rPr>
          <w:sz w:val="24"/>
          <w:szCs w:val="24"/>
        </w:rPr>
        <w:t xml:space="preserve">inadimplência </w:t>
      </w:r>
      <w:r>
        <w:rPr>
          <w:sz w:val="24"/>
          <w:szCs w:val="24"/>
        </w:rPr>
        <w:t xml:space="preserve">ocorrer </w:t>
      </w:r>
      <w:r w:rsidRPr="00A925CD">
        <w:rPr>
          <w:sz w:val="24"/>
          <w:szCs w:val="24"/>
        </w:rPr>
        <w:t xml:space="preserve">(Thomas </w:t>
      </w:r>
      <w:r w:rsidRPr="00EF54CD">
        <w:rPr>
          <w:i/>
          <w:iCs/>
          <w:sz w:val="24"/>
          <w:szCs w:val="24"/>
        </w:rPr>
        <w:t>et al</w:t>
      </w:r>
      <w:r>
        <w:rPr>
          <w:sz w:val="24"/>
          <w:szCs w:val="24"/>
        </w:rPr>
        <w:t>.</w:t>
      </w:r>
      <w:r w:rsidRPr="00A925CD">
        <w:rPr>
          <w:sz w:val="24"/>
          <w:szCs w:val="24"/>
        </w:rPr>
        <w:t xml:space="preserve">, 2002). </w:t>
      </w:r>
      <w:r>
        <w:rPr>
          <w:sz w:val="24"/>
          <w:szCs w:val="24"/>
        </w:rPr>
        <w:t xml:space="preserve">Deste então diversos </w:t>
      </w:r>
      <w:r w:rsidRPr="00A925CD">
        <w:rPr>
          <w:sz w:val="24"/>
          <w:szCs w:val="24"/>
        </w:rPr>
        <w:t xml:space="preserve">autores passaram a utilizar métodos de </w:t>
      </w:r>
      <w:r>
        <w:rPr>
          <w:sz w:val="24"/>
          <w:szCs w:val="24"/>
        </w:rPr>
        <w:t xml:space="preserve">análise de </w:t>
      </w:r>
      <w:r w:rsidRPr="00A925CD">
        <w:rPr>
          <w:sz w:val="24"/>
          <w:szCs w:val="24"/>
        </w:rPr>
        <w:t xml:space="preserve">sobrevivência </w:t>
      </w:r>
      <w:r>
        <w:rPr>
          <w:sz w:val="24"/>
          <w:szCs w:val="24"/>
        </w:rPr>
        <w:t>para mensuração de risco de crédito</w:t>
      </w:r>
      <w:r w:rsidRPr="00A925CD">
        <w:rPr>
          <w:sz w:val="24"/>
          <w:szCs w:val="24"/>
        </w:rPr>
        <w:t>.</w:t>
      </w:r>
      <w:r>
        <w:rPr>
          <w:sz w:val="24"/>
          <w:szCs w:val="24"/>
        </w:rPr>
        <w:t xml:space="preserve"> </w:t>
      </w:r>
    </w:p>
    <w:p w14:paraId="7BF563A5" w14:textId="472903C8" w:rsidR="00154E7B" w:rsidRDefault="00154E7B" w:rsidP="00154E7B">
      <w:pPr>
        <w:ind w:firstLine="360"/>
        <w:jc w:val="both"/>
        <w:rPr>
          <w:sz w:val="24"/>
          <w:szCs w:val="24"/>
        </w:rPr>
      </w:pPr>
      <w:r w:rsidRPr="00154E7B">
        <w:rPr>
          <w:sz w:val="24"/>
          <w:szCs w:val="24"/>
        </w:rPr>
        <w:t xml:space="preserve">Apesar não utilizando os métodos de análise de sobrevivência, o presente trabalho aproxima-se dessa literatura pela característica da variável dependente. </w:t>
      </w:r>
      <w:r>
        <w:rPr>
          <w:sz w:val="24"/>
          <w:szCs w:val="24"/>
        </w:rPr>
        <w:t xml:space="preserve">Vamos utilizar os status: </w:t>
      </w:r>
      <w:r w:rsidRPr="00BD6A01">
        <w:rPr>
          <w:sz w:val="24"/>
          <w:szCs w:val="24"/>
        </w:rPr>
        <w:t>3 – SUSPENSA, 4 – INAPTA</w:t>
      </w:r>
      <w:r>
        <w:rPr>
          <w:sz w:val="24"/>
          <w:szCs w:val="24"/>
        </w:rPr>
        <w:t xml:space="preserve"> e </w:t>
      </w:r>
      <w:r w:rsidRPr="00BD6A01">
        <w:rPr>
          <w:sz w:val="24"/>
          <w:szCs w:val="24"/>
        </w:rPr>
        <w:t>08 – BAIXADA</w:t>
      </w:r>
      <w:r>
        <w:rPr>
          <w:sz w:val="24"/>
          <w:szCs w:val="24"/>
        </w:rPr>
        <w:t>, como uma proxy de inadimplência das empresas (</w:t>
      </w:r>
      <w:r>
        <w:rPr>
          <w:sz w:val="24"/>
          <w:szCs w:val="24"/>
        </w:rPr>
        <w:fldChar w:fldCharType="begin"/>
      </w:r>
      <w:r>
        <w:rPr>
          <w:sz w:val="24"/>
          <w:szCs w:val="24"/>
        </w:rPr>
        <w:instrText xml:space="preserve"> REF _Ref129964284 \h </w:instrText>
      </w:r>
      <w:r>
        <w:rPr>
          <w:sz w:val="24"/>
          <w:szCs w:val="24"/>
        </w:rPr>
      </w:r>
      <w:r>
        <w:rPr>
          <w:sz w:val="24"/>
          <w:szCs w:val="24"/>
        </w:rPr>
        <w:fldChar w:fldCharType="separate"/>
      </w:r>
      <w:r w:rsidRPr="003A5166">
        <w:t xml:space="preserve">Tabela </w:t>
      </w:r>
      <w:r>
        <w:rPr>
          <w:noProof/>
        </w:rPr>
        <w:t>1</w:t>
      </w:r>
      <w:r>
        <w:rPr>
          <w:sz w:val="24"/>
          <w:szCs w:val="24"/>
        </w:rPr>
        <w:fldChar w:fldCharType="end"/>
      </w:r>
      <w:r>
        <w:rPr>
          <w:sz w:val="24"/>
          <w:szCs w:val="24"/>
        </w:rPr>
        <w:t>). Esta classificação encontra-se no campo “</w:t>
      </w:r>
      <w:r w:rsidRPr="00154E7B">
        <w:rPr>
          <w:sz w:val="24"/>
          <w:szCs w:val="24"/>
        </w:rPr>
        <w:t>Situação Cadastral</w:t>
      </w:r>
      <w:r>
        <w:rPr>
          <w:sz w:val="24"/>
          <w:szCs w:val="24"/>
        </w:rPr>
        <w:t>”</w:t>
      </w:r>
      <w:r w:rsidRPr="00154E7B">
        <w:rPr>
          <w:sz w:val="24"/>
          <w:szCs w:val="24"/>
        </w:rPr>
        <w:t xml:space="preserve"> (SIT_CAD) da tabela de Filiais da Receita Federal</w:t>
      </w:r>
      <w:r>
        <w:rPr>
          <w:sz w:val="24"/>
          <w:szCs w:val="24"/>
        </w:rPr>
        <w:t xml:space="preserve">. </w:t>
      </w:r>
    </w:p>
    <w:p w14:paraId="27DD9775" w14:textId="77777777" w:rsidR="00565989" w:rsidRDefault="00565989" w:rsidP="00154E7B">
      <w:pPr>
        <w:ind w:firstLine="360"/>
        <w:jc w:val="both"/>
        <w:rPr>
          <w:sz w:val="24"/>
          <w:szCs w:val="24"/>
        </w:rPr>
      </w:pPr>
    </w:p>
    <w:p w14:paraId="7EDE2ACE" w14:textId="77777777" w:rsidR="008A6993" w:rsidRPr="00BD6A01" w:rsidRDefault="008A6993" w:rsidP="00154E7B">
      <w:pPr>
        <w:ind w:firstLine="360"/>
        <w:jc w:val="both"/>
        <w:rPr>
          <w:sz w:val="24"/>
          <w:szCs w:val="24"/>
        </w:rPr>
      </w:pPr>
    </w:p>
    <w:p w14:paraId="6BF98C0D" w14:textId="4AC3A378" w:rsidR="00154E7B" w:rsidRPr="003A5166" w:rsidRDefault="00154E7B" w:rsidP="00154E7B">
      <w:pPr>
        <w:pStyle w:val="Legenda"/>
        <w:spacing w:after="120"/>
        <w:rPr>
          <w:color w:val="auto"/>
          <w:sz w:val="22"/>
          <w:szCs w:val="22"/>
        </w:rPr>
      </w:pPr>
      <w:bookmarkStart w:id="1" w:name="_Ref129964284"/>
      <w:r w:rsidRPr="003A5166">
        <w:rPr>
          <w:color w:val="auto"/>
          <w:sz w:val="22"/>
          <w:szCs w:val="22"/>
        </w:rPr>
        <w:lastRenderedPageBreak/>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Pr>
          <w:noProof/>
          <w:color w:val="auto"/>
          <w:sz w:val="22"/>
          <w:szCs w:val="22"/>
        </w:rPr>
        <w:t>1</w:t>
      </w:r>
      <w:r w:rsidRPr="003A5166">
        <w:rPr>
          <w:color w:val="auto"/>
          <w:sz w:val="22"/>
          <w:szCs w:val="22"/>
        </w:rPr>
        <w:fldChar w:fldCharType="end"/>
      </w:r>
      <w:bookmarkEnd w:id="1"/>
      <w:r w:rsidRPr="003A5166">
        <w:rPr>
          <w:color w:val="auto"/>
          <w:sz w:val="22"/>
          <w:szCs w:val="22"/>
        </w:rPr>
        <w:t xml:space="preserve"> –</w:t>
      </w:r>
      <w:r w:rsidRPr="00154E7B">
        <w:rPr>
          <w:color w:val="auto"/>
          <w:sz w:val="22"/>
          <w:szCs w:val="22"/>
        </w:rPr>
        <w:t xml:space="preserve">Situação Cadastral (SIT_CAD) </w:t>
      </w:r>
      <w:r w:rsidR="00565989">
        <w:rPr>
          <w:color w:val="auto"/>
          <w:sz w:val="22"/>
          <w:szCs w:val="22"/>
        </w:rPr>
        <w:t xml:space="preserve">da Receita Federal </w:t>
      </w:r>
      <w:r w:rsidRPr="00154E7B">
        <w:rPr>
          <w:color w:val="auto"/>
          <w:sz w:val="22"/>
          <w:szCs w:val="22"/>
        </w:rPr>
        <w:t>(COD_MOTIVO)</w:t>
      </w:r>
    </w:p>
    <w:tbl>
      <w:tblPr>
        <w:tblW w:w="7810"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1920"/>
        <w:gridCol w:w="5890"/>
      </w:tblGrid>
      <w:tr w:rsidR="00154E7B" w:rsidRPr="001E575D" w14:paraId="249FF21D" w14:textId="77777777" w:rsidTr="00AE3A29">
        <w:trPr>
          <w:trHeight w:val="300"/>
        </w:trPr>
        <w:tc>
          <w:tcPr>
            <w:tcW w:w="1920" w:type="dxa"/>
            <w:shd w:val="clear" w:color="auto" w:fill="auto"/>
            <w:noWrap/>
            <w:vAlign w:val="center"/>
            <w:hideMark/>
          </w:tcPr>
          <w:p w14:paraId="5F7EBF90" w14:textId="77777777" w:rsidR="00154E7B" w:rsidRPr="001E575D" w:rsidRDefault="00154E7B" w:rsidP="00AE3A29">
            <w:pPr>
              <w:spacing w:after="0" w:line="240" w:lineRule="auto"/>
              <w:rPr>
                <w:rFonts w:ascii="Calibri" w:eastAsia="Times New Roman" w:hAnsi="Calibri" w:cs="Calibri"/>
                <w:b/>
                <w:bCs/>
                <w:color w:val="000000"/>
                <w:sz w:val="20"/>
                <w:szCs w:val="20"/>
                <w:lang w:eastAsia="pt-BR"/>
              </w:rPr>
            </w:pPr>
            <w:r w:rsidRPr="001E575D">
              <w:rPr>
                <w:rFonts w:ascii="Calibri" w:eastAsia="Times New Roman" w:hAnsi="Calibri" w:cs="Calibri"/>
                <w:b/>
                <w:bCs/>
                <w:color w:val="000000"/>
                <w:sz w:val="20"/>
                <w:szCs w:val="20"/>
                <w:lang w:eastAsia="pt-BR"/>
              </w:rPr>
              <w:t>Campo</w:t>
            </w:r>
          </w:p>
        </w:tc>
        <w:tc>
          <w:tcPr>
            <w:tcW w:w="5890" w:type="dxa"/>
            <w:shd w:val="clear" w:color="auto" w:fill="auto"/>
            <w:noWrap/>
            <w:vAlign w:val="center"/>
            <w:hideMark/>
          </w:tcPr>
          <w:p w14:paraId="1C87E66F" w14:textId="77777777" w:rsidR="00154E7B" w:rsidRPr="001E575D" w:rsidRDefault="00154E7B" w:rsidP="00AE3A29">
            <w:pPr>
              <w:spacing w:after="0" w:line="240" w:lineRule="auto"/>
              <w:rPr>
                <w:rFonts w:ascii="Calibri" w:eastAsia="Times New Roman" w:hAnsi="Calibri" w:cs="Calibri"/>
                <w:b/>
                <w:bCs/>
                <w:color w:val="000000"/>
                <w:sz w:val="20"/>
                <w:szCs w:val="20"/>
                <w:lang w:eastAsia="pt-BR"/>
              </w:rPr>
            </w:pPr>
            <w:r w:rsidRPr="001E575D">
              <w:rPr>
                <w:rFonts w:ascii="Calibri" w:eastAsia="Times New Roman" w:hAnsi="Calibri" w:cs="Calibri"/>
                <w:b/>
                <w:bCs/>
                <w:color w:val="000000"/>
                <w:sz w:val="20"/>
                <w:szCs w:val="20"/>
                <w:lang w:eastAsia="pt-BR"/>
              </w:rPr>
              <w:t>Descrição</w:t>
            </w:r>
          </w:p>
        </w:tc>
      </w:tr>
      <w:tr w:rsidR="00154E7B" w:rsidRPr="001E575D" w14:paraId="116273BD" w14:textId="77777777" w:rsidTr="00AE3A29">
        <w:trPr>
          <w:trHeight w:val="300"/>
        </w:trPr>
        <w:tc>
          <w:tcPr>
            <w:tcW w:w="1920" w:type="dxa"/>
            <w:shd w:val="clear" w:color="auto" w:fill="auto"/>
            <w:noWrap/>
            <w:vAlign w:val="center"/>
            <w:hideMark/>
          </w:tcPr>
          <w:p w14:paraId="1EA58885" w14:textId="77777777" w:rsidR="00565989" w:rsidRPr="001E575D" w:rsidRDefault="00565989" w:rsidP="00565989">
            <w:pPr>
              <w:spacing w:after="0" w:line="240" w:lineRule="auto"/>
              <w:rPr>
                <w:rFonts w:ascii="Calibri" w:eastAsia="Times New Roman" w:hAnsi="Calibri" w:cs="Calibri"/>
                <w:color w:val="000000"/>
                <w:sz w:val="20"/>
                <w:szCs w:val="20"/>
                <w:lang w:eastAsia="pt-BR"/>
              </w:rPr>
            </w:pPr>
            <w:bookmarkStart w:id="2" w:name="_Hlk129962840"/>
            <w:r w:rsidRPr="001E575D">
              <w:rPr>
                <w:rFonts w:ascii="Calibri" w:eastAsia="Times New Roman" w:hAnsi="Calibri" w:cs="Calibri"/>
                <w:color w:val="000000"/>
                <w:sz w:val="20"/>
                <w:szCs w:val="20"/>
                <w:lang w:eastAsia="pt-BR"/>
              </w:rPr>
              <w:t>SITUAÇÃO CADASTRAL:</w:t>
            </w:r>
          </w:p>
          <w:p w14:paraId="27180872" w14:textId="0EDD994C" w:rsidR="00154E7B" w:rsidRPr="001E575D" w:rsidRDefault="00565989" w:rsidP="00AE3A29">
            <w:pPr>
              <w:spacing w:after="0" w:line="240" w:lineRule="auto"/>
              <w:rPr>
                <w:rFonts w:ascii="Calibri" w:eastAsia="Times New Roman" w:hAnsi="Calibri" w:cs="Calibri"/>
                <w:color w:val="000000"/>
                <w:sz w:val="20"/>
                <w:szCs w:val="20"/>
                <w:lang w:eastAsia="pt-BR"/>
              </w:rPr>
            </w:pPr>
            <w:r>
              <w:rPr>
                <w:rFonts w:ascii="Calibri" w:eastAsia="Times New Roman" w:hAnsi="Calibri" w:cs="Calibri"/>
                <w:color w:val="000000"/>
                <w:sz w:val="20"/>
                <w:szCs w:val="20"/>
                <w:lang w:eastAsia="pt-BR"/>
              </w:rPr>
              <w:t>(</w:t>
            </w:r>
            <w:r w:rsidR="00154E7B" w:rsidRPr="001E575D">
              <w:rPr>
                <w:rFonts w:ascii="Calibri" w:eastAsia="Times New Roman" w:hAnsi="Calibri" w:cs="Calibri"/>
                <w:color w:val="000000"/>
                <w:sz w:val="20"/>
                <w:szCs w:val="20"/>
                <w:lang w:eastAsia="pt-BR"/>
              </w:rPr>
              <w:t>SIT_CAD</w:t>
            </w:r>
            <w:bookmarkEnd w:id="2"/>
            <w:r>
              <w:rPr>
                <w:rFonts w:ascii="Calibri" w:eastAsia="Times New Roman" w:hAnsi="Calibri" w:cs="Calibri"/>
                <w:color w:val="000000"/>
                <w:sz w:val="20"/>
                <w:szCs w:val="20"/>
                <w:lang w:eastAsia="pt-BR"/>
              </w:rPr>
              <w:t>)</w:t>
            </w:r>
          </w:p>
        </w:tc>
        <w:tc>
          <w:tcPr>
            <w:tcW w:w="5890" w:type="dxa"/>
            <w:shd w:val="clear" w:color="auto" w:fill="auto"/>
            <w:noWrap/>
            <w:vAlign w:val="center"/>
            <w:hideMark/>
          </w:tcPr>
          <w:p w14:paraId="4B2BAD55"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01 – NULA;</w:t>
            </w:r>
          </w:p>
          <w:p w14:paraId="65A5738A"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02 – ATIVA;</w:t>
            </w:r>
          </w:p>
          <w:p w14:paraId="174E50EC"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03 – SUSPENSA;</w:t>
            </w:r>
          </w:p>
          <w:p w14:paraId="328334C4"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04 – INAPTA;</w:t>
            </w:r>
          </w:p>
          <w:p w14:paraId="6E8C2488" w14:textId="77777777" w:rsidR="00154E7B" w:rsidRPr="001E575D" w:rsidRDefault="00154E7B" w:rsidP="00AE3A29">
            <w:pPr>
              <w:spacing w:after="0" w:line="240" w:lineRule="auto"/>
              <w:rPr>
                <w:rFonts w:ascii="Calibri" w:eastAsia="Times New Roman" w:hAnsi="Calibri" w:cs="Calibri"/>
                <w:color w:val="000000"/>
                <w:sz w:val="20"/>
                <w:szCs w:val="20"/>
                <w:lang w:eastAsia="pt-BR"/>
              </w:rPr>
            </w:pPr>
            <w:r w:rsidRPr="001E575D">
              <w:rPr>
                <w:rFonts w:ascii="Calibri" w:eastAsia="Times New Roman" w:hAnsi="Calibri" w:cs="Calibri"/>
                <w:color w:val="000000"/>
                <w:sz w:val="20"/>
                <w:szCs w:val="20"/>
                <w:lang w:eastAsia="pt-BR"/>
              </w:rPr>
              <w:t>08 – BAIXADA</w:t>
            </w:r>
          </w:p>
        </w:tc>
      </w:tr>
    </w:tbl>
    <w:p w14:paraId="08FED6BB" w14:textId="77777777" w:rsidR="00154E7B" w:rsidRDefault="00154E7B" w:rsidP="00154E7B">
      <w:pPr>
        <w:pStyle w:val="Legenda"/>
        <w:ind w:firstLine="360"/>
        <w:jc w:val="both"/>
        <w:rPr>
          <w:b w:val="0"/>
          <w:bCs w:val="0"/>
          <w:color w:val="auto"/>
          <w:sz w:val="24"/>
          <w:szCs w:val="24"/>
        </w:rPr>
      </w:pPr>
    </w:p>
    <w:p w14:paraId="3AB442BF" w14:textId="307166DD" w:rsidR="00565989" w:rsidRPr="00565989" w:rsidRDefault="00565989" w:rsidP="00565989">
      <w:pPr>
        <w:ind w:firstLine="708"/>
        <w:jc w:val="both"/>
        <w:rPr>
          <w:lang w:bidi="ar-SA"/>
        </w:rPr>
      </w:pPr>
      <w:r>
        <w:rPr>
          <w:sz w:val="24"/>
          <w:szCs w:val="24"/>
        </w:rPr>
        <w:t xml:space="preserve">Assim consideramos que as empresas sob suspensão, inaptas ou baixadas na Receita Federal, são também aquelas com </w:t>
      </w:r>
      <w:r w:rsidRPr="00154E7B">
        <w:rPr>
          <w:sz w:val="24"/>
          <w:szCs w:val="24"/>
        </w:rPr>
        <w:t>possibilidade de inadimplência</w:t>
      </w:r>
      <w:r>
        <w:rPr>
          <w:sz w:val="24"/>
          <w:szCs w:val="24"/>
        </w:rPr>
        <w:t xml:space="preserve"> entre aquelas financiadas pelo BNDES. A conexão com a análise de sobrevivência ocorre através da possibilidade de falência dessas empresas, e através da referência aos “Risco Ruína”, citados na seção 1.1.</w:t>
      </w:r>
    </w:p>
    <w:p w14:paraId="08377BE2" w14:textId="77777777" w:rsidR="00565989" w:rsidRDefault="00565989" w:rsidP="00154E7B">
      <w:pPr>
        <w:pStyle w:val="Legenda"/>
        <w:rPr>
          <w:color w:val="auto"/>
          <w:sz w:val="22"/>
          <w:szCs w:val="22"/>
        </w:rPr>
      </w:pPr>
    </w:p>
    <w:p w14:paraId="132D5D49" w14:textId="383FF219" w:rsidR="00154E7B" w:rsidRDefault="00154E7B" w:rsidP="00154E7B">
      <w:pPr>
        <w:pStyle w:val="Legenda"/>
      </w:pPr>
      <w:r w:rsidRPr="001E575D">
        <w:rPr>
          <w:color w:val="auto"/>
          <w:sz w:val="22"/>
          <w:szCs w:val="22"/>
        </w:rPr>
        <w:t xml:space="preserve">Tabela </w:t>
      </w:r>
      <w:r w:rsidRPr="001E575D">
        <w:rPr>
          <w:color w:val="auto"/>
          <w:sz w:val="22"/>
          <w:szCs w:val="22"/>
        </w:rPr>
        <w:fldChar w:fldCharType="begin"/>
      </w:r>
      <w:r w:rsidRPr="001E575D">
        <w:rPr>
          <w:color w:val="auto"/>
          <w:sz w:val="22"/>
          <w:szCs w:val="22"/>
        </w:rPr>
        <w:instrText xml:space="preserve"> SEQ Tabela \* ARABIC </w:instrText>
      </w:r>
      <w:r w:rsidRPr="001E575D">
        <w:rPr>
          <w:color w:val="auto"/>
          <w:sz w:val="22"/>
          <w:szCs w:val="22"/>
        </w:rPr>
        <w:fldChar w:fldCharType="separate"/>
      </w:r>
      <w:r w:rsidR="00565989">
        <w:rPr>
          <w:noProof/>
          <w:color w:val="auto"/>
          <w:sz w:val="22"/>
          <w:szCs w:val="22"/>
        </w:rPr>
        <w:t>2</w:t>
      </w:r>
      <w:r w:rsidRPr="001E575D">
        <w:rPr>
          <w:color w:val="auto"/>
          <w:sz w:val="22"/>
          <w:szCs w:val="22"/>
        </w:rPr>
        <w:fldChar w:fldCharType="end"/>
      </w:r>
      <w:r w:rsidRPr="001E575D">
        <w:rPr>
          <w:color w:val="auto"/>
          <w:sz w:val="22"/>
          <w:szCs w:val="22"/>
        </w:rPr>
        <w:t xml:space="preserve"> – </w:t>
      </w:r>
      <w:r>
        <w:rPr>
          <w:color w:val="auto"/>
          <w:sz w:val="22"/>
          <w:szCs w:val="22"/>
        </w:rPr>
        <w:t>Variáveis Explicativas (</w:t>
      </w:r>
      <w:r w:rsidRPr="009C0A66">
        <w:rPr>
          <w:i/>
          <w:iCs/>
          <w:color w:val="auto"/>
          <w:sz w:val="22"/>
          <w:szCs w:val="22"/>
        </w:rPr>
        <w:t>Features</w:t>
      </w:r>
      <w:r>
        <w:rPr>
          <w:color w:val="auto"/>
          <w:sz w:val="22"/>
          <w:szCs w:val="22"/>
        </w:rPr>
        <w:t>) e Dependentes (Target) do Modelo de Aprendizado de Máquina para Risco de Crédito</w:t>
      </w:r>
    </w:p>
    <w:tbl>
      <w:tblPr>
        <w:tblW w:w="8505"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977"/>
        <w:gridCol w:w="2552"/>
        <w:gridCol w:w="2976"/>
      </w:tblGrid>
      <w:tr w:rsidR="00154E7B" w:rsidRPr="008C791B" w14:paraId="04096623" w14:textId="77777777" w:rsidTr="00AE3A29">
        <w:trPr>
          <w:trHeight w:val="300"/>
        </w:trPr>
        <w:tc>
          <w:tcPr>
            <w:tcW w:w="2977" w:type="dxa"/>
            <w:tcBorders>
              <w:top w:val="single" w:sz="4" w:space="0" w:color="auto"/>
              <w:bottom w:val="dotted" w:sz="4" w:space="0" w:color="auto"/>
              <w:right w:val="dotted" w:sz="4" w:space="0" w:color="auto"/>
            </w:tcBorders>
            <w:shd w:val="clear" w:color="auto" w:fill="auto"/>
            <w:noWrap/>
            <w:vAlign w:val="center"/>
          </w:tcPr>
          <w:p w14:paraId="4E608293" w14:textId="77777777" w:rsidR="00154E7B" w:rsidRPr="008A6993" w:rsidRDefault="00154E7B" w:rsidP="00AE3A29">
            <w:pPr>
              <w:spacing w:after="0" w:line="240" w:lineRule="auto"/>
              <w:rPr>
                <w:rFonts w:eastAsia="Times New Roman" w:cstheme="minorHAnsi"/>
                <w:color w:val="000000"/>
                <w:sz w:val="20"/>
                <w:szCs w:val="20"/>
                <w:lang w:eastAsia="pt-BR"/>
              </w:rPr>
            </w:pPr>
          </w:p>
        </w:tc>
        <w:tc>
          <w:tcPr>
            <w:tcW w:w="2552" w:type="dxa"/>
            <w:tcBorders>
              <w:top w:val="single" w:sz="4" w:space="0" w:color="auto"/>
              <w:left w:val="dotted" w:sz="4" w:space="0" w:color="auto"/>
              <w:bottom w:val="dotted" w:sz="4" w:space="0" w:color="auto"/>
            </w:tcBorders>
            <w:shd w:val="clear" w:color="auto" w:fill="auto"/>
            <w:noWrap/>
            <w:vAlign w:val="center"/>
          </w:tcPr>
          <w:p w14:paraId="677E1F10"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Variáveis Explicativas </w:t>
            </w:r>
          </w:p>
          <w:p w14:paraId="6C7A8499"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BNDES</w:t>
            </w:r>
          </w:p>
        </w:tc>
        <w:tc>
          <w:tcPr>
            <w:tcW w:w="2976" w:type="dxa"/>
            <w:tcBorders>
              <w:top w:val="single" w:sz="4" w:space="0" w:color="auto"/>
              <w:left w:val="dotted" w:sz="4" w:space="0" w:color="auto"/>
              <w:bottom w:val="dotted" w:sz="4" w:space="0" w:color="auto"/>
            </w:tcBorders>
            <w:shd w:val="clear" w:color="auto" w:fill="auto"/>
            <w:noWrap/>
            <w:vAlign w:val="center"/>
          </w:tcPr>
          <w:p w14:paraId="333DCEFA"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Variáveis Explicativas </w:t>
            </w:r>
          </w:p>
          <w:p w14:paraId="653A2E26" w14:textId="77777777" w:rsidR="00154E7B" w:rsidRPr="008A6993" w:rsidRDefault="00154E7B" w:rsidP="00AE3A29">
            <w:pPr>
              <w:spacing w:after="0" w:line="240" w:lineRule="auto"/>
              <w:jc w:val="center"/>
              <w:rPr>
                <w:rFonts w:eastAsia="Times New Roman" w:cstheme="minorHAnsi"/>
                <w:color w:val="000000"/>
                <w:sz w:val="20"/>
                <w:szCs w:val="20"/>
                <w:lang w:eastAsia="pt-BR"/>
              </w:rPr>
            </w:pPr>
            <w:r w:rsidRPr="008A6993">
              <w:rPr>
                <w:rFonts w:eastAsia="Times New Roman" w:cstheme="minorHAnsi"/>
                <w:color w:val="000000"/>
                <w:sz w:val="20"/>
                <w:szCs w:val="20"/>
                <w:lang w:eastAsia="pt-BR"/>
              </w:rPr>
              <w:t>Receita Federal</w:t>
            </w:r>
          </w:p>
        </w:tc>
      </w:tr>
      <w:tr w:rsidR="00565989" w:rsidRPr="008C791B" w14:paraId="197A6CCC" w14:textId="77777777" w:rsidTr="00AC5E2C">
        <w:trPr>
          <w:trHeight w:val="3047"/>
        </w:trPr>
        <w:tc>
          <w:tcPr>
            <w:tcW w:w="2977" w:type="dxa"/>
            <w:tcBorders>
              <w:top w:val="single" w:sz="4" w:space="0" w:color="auto"/>
              <w:right w:val="dotted" w:sz="4" w:space="0" w:color="auto"/>
            </w:tcBorders>
            <w:shd w:val="clear" w:color="auto" w:fill="auto"/>
            <w:noWrap/>
            <w:vAlign w:val="center"/>
            <w:hideMark/>
          </w:tcPr>
          <w:p w14:paraId="6DA3895E" w14:textId="77777777"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Situações Cadastrais (SIT_CAD): </w:t>
            </w:r>
          </w:p>
          <w:p w14:paraId="37038EB3" w14:textId="77777777" w:rsidR="00565989" w:rsidRPr="008A6993" w:rsidRDefault="00565989" w:rsidP="00AE3A29">
            <w:pPr>
              <w:spacing w:after="0" w:line="240" w:lineRule="auto"/>
              <w:rPr>
                <w:rFonts w:eastAsia="Times New Roman" w:cstheme="minorHAnsi"/>
                <w:color w:val="000000"/>
                <w:sz w:val="20"/>
                <w:szCs w:val="20"/>
                <w:lang w:eastAsia="pt-BR"/>
              </w:rPr>
            </w:pPr>
          </w:p>
          <w:p w14:paraId="35D9D1FC" w14:textId="56DEA8EE"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3 – SUSPENSA</w:t>
            </w:r>
          </w:p>
          <w:p w14:paraId="00598DB0" w14:textId="77777777"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4 – INAPTA</w:t>
            </w:r>
          </w:p>
          <w:p w14:paraId="069D43F3" w14:textId="77777777"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8 – BAIXADA</w:t>
            </w:r>
          </w:p>
          <w:p w14:paraId="35E2BFA3" w14:textId="77777777" w:rsidR="00565989" w:rsidRPr="008A6993" w:rsidRDefault="00565989" w:rsidP="00AE3A29">
            <w:pPr>
              <w:spacing w:after="0" w:line="240" w:lineRule="auto"/>
              <w:rPr>
                <w:rFonts w:eastAsia="Times New Roman" w:cstheme="minorHAnsi"/>
                <w:color w:val="000000"/>
                <w:sz w:val="20"/>
                <w:szCs w:val="20"/>
                <w:lang w:eastAsia="pt-BR"/>
              </w:rPr>
            </w:pPr>
          </w:p>
          <w:p w14:paraId="23D22E32" w14:textId="5A447ECB" w:rsidR="00565989" w:rsidRPr="008A6993" w:rsidRDefault="00565989" w:rsidP="00AE3A29">
            <w:p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Onde data da situação é posterior à data de financiamento, mas não é posterior à data do fim do contrato</w:t>
            </w:r>
          </w:p>
        </w:tc>
        <w:tc>
          <w:tcPr>
            <w:tcW w:w="2552" w:type="dxa"/>
            <w:tcBorders>
              <w:top w:val="single" w:sz="4" w:space="0" w:color="auto"/>
              <w:left w:val="dotted" w:sz="4" w:space="0" w:color="auto"/>
            </w:tcBorders>
            <w:shd w:val="clear" w:color="auto" w:fill="auto"/>
            <w:noWrap/>
            <w:vAlign w:val="center"/>
            <w:hideMark/>
          </w:tcPr>
          <w:p w14:paraId="51430C94"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Porte Receita</w:t>
            </w:r>
          </w:p>
          <w:p w14:paraId="1446707F"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Idade da Firma</w:t>
            </w:r>
          </w:p>
          <w:p w14:paraId="6D566CBC"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Idade da Situação Cadastral </w:t>
            </w:r>
          </w:p>
          <w:p w14:paraId="279655C5"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Natureza Jurídica </w:t>
            </w:r>
          </w:p>
          <w:p w14:paraId="4D652894"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Número de Sócios</w:t>
            </w:r>
          </w:p>
          <w:p w14:paraId="3CD29094"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Idade média dos sócios</w:t>
            </w:r>
          </w:p>
          <w:p w14:paraId="75015D4C" w14:textId="746A45D5"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Estrangeiro Sócio (Dummy)</w:t>
            </w:r>
          </w:p>
          <w:p w14:paraId="50651D27"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Qualificação do Sócio Responsável </w:t>
            </w:r>
          </w:p>
        </w:tc>
        <w:tc>
          <w:tcPr>
            <w:tcW w:w="2976" w:type="dxa"/>
            <w:tcBorders>
              <w:top w:val="single" w:sz="4" w:space="0" w:color="auto"/>
              <w:left w:val="dotted" w:sz="4" w:space="0" w:color="auto"/>
            </w:tcBorders>
            <w:shd w:val="clear" w:color="auto" w:fill="auto"/>
            <w:noWrap/>
            <w:vAlign w:val="center"/>
          </w:tcPr>
          <w:p w14:paraId="521C346A"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Taxa de Juros </w:t>
            </w:r>
          </w:p>
          <w:p w14:paraId="1F1398C8"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Valor Contratado</w:t>
            </w:r>
          </w:p>
          <w:p w14:paraId="4DD8F511"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Valor Desembolsado</w:t>
            </w:r>
          </w:p>
          <w:p w14:paraId="173E60CC"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Prazo de Amortização</w:t>
            </w:r>
          </w:p>
          <w:p w14:paraId="4F1440DC"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Prazo de Carência</w:t>
            </w:r>
          </w:p>
          <w:p w14:paraId="57090E17"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 xml:space="preserve">Modalidade de Apoio </w:t>
            </w:r>
          </w:p>
          <w:p w14:paraId="116E5DDA"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Produto</w:t>
            </w:r>
          </w:p>
          <w:p w14:paraId="52133156"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Inovação (Dummy)</w:t>
            </w:r>
          </w:p>
          <w:p w14:paraId="45589279" w14:textId="1099B966"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Porte BNDES (P, M,G)</w:t>
            </w:r>
          </w:p>
          <w:p w14:paraId="71F80AD0"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UF</w:t>
            </w:r>
          </w:p>
          <w:p w14:paraId="53C3CC1E" w14:textId="77777777" w:rsidR="00565989" w:rsidRPr="008A6993" w:rsidRDefault="00565989" w:rsidP="00154E7B">
            <w:pPr>
              <w:pStyle w:val="PargrafodaLista"/>
              <w:numPr>
                <w:ilvl w:val="0"/>
                <w:numId w:val="7"/>
              </w:numPr>
              <w:spacing w:after="0" w:line="240" w:lineRule="auto"/>
              <w:rPr>
                <w:rFonts w:eastAsia="Times New Roman" w:cstheme="minorHAnsi"/>
                <w:color w:val="000000"/>
                <w:sz w:val="20"/>
                <w:szCs w:val="20"/>
                <w:lang w:eastAsia="pt-BR"/>
              </w:rPr>
            </w:pPr>
            <w:r w:rsidRPr="008A6993">
              <w:rPr>
                <w:rFonts w:eastAsia="Times New Roman" w:cstheme="minorHAnsi"/>
                <w:color w:val="000000"/>
                <w:sz w:val="20"/>
                <w:szCs w:val="20"/>
                <w:lang w:eastAsia="pt-BR"/>
              </w:rPr>
              <w:t>CNAE</w:t>
            </w:r>
          </w:p>
        </w:tc>
      </w:tr>
    </w:tbl>
    <w:p w14:paraId="221BA250" w14:textId="77777777" w:rsidR="00154E7B" w:rsidRDefault="00154E7B" w:rsidP="00154E7B"/>
    <w:p w14:paraId="192E8C7D" w14:textId="77777777" w:rsidR="00154E7B" w:rsidRPr="003C30F1" w:rsidRDefault="00154E7B" w:rsidP="00154E7B">
      <w:pPr>
        <w:rPr>
          <w:sz w:val="24"/>
          <w:szCs w:val="24"/>
        </w:rPr>
      </w:pPr>
    </w:p>
    <w:p w14:paraId="0B3FF9F5" w14:textId="3064D451" w:rsidR="00456DDA" w:rsidRPr="00F22EA9" w:rsidRDefault="00456DDA" w:rsidP="00360636"/>
    <w:p w14:paraId="21B402CB" w14:textId="25A57465" w:rsidR="00456DDA" w:rsidRPr="006142EF" w:rsidRDefault="006142EF" w:rsidP="006142EF">
      <w:pPr>
        <w:rPr>
          <w:b/>
          <w:bCs/>
        </w:rPr>
      </w:pPr>
      <w:r w:rsidRPr="006142EF">
        <w:rPr>
          <w:b/>
          <w:bCs/>
        </w:rPr>
        <w:t>2</w:t>
      </w:r>
      <w:r w:rsidR="008B44AF" w:rsidRPr="006142EF">
        <w:rPr>
          <w:b/>
          <w:bCs/>
        </w:rPr>
        <w:t xml:space="preserve">.3 Interpretação de Algoritmos de Aprendizado de Máquina </w:t>
      </w:r>
    </w:p>
    <w:p w14:paraId="45773033" w14:textId="77777777" w:rsidR="00E857A0" w:rsidRPr="00804562" w:rsidRDefault="00E857A0" w:rsidP="00E857A0">
      <w:pPr>
        <w:ind w:firstLine="708"/>
        <w:jc w:val="both"/>
        <w:rPr>
          <w:rFonts w:cstheme="minorHAnsi"/>
        </w:rPr>
      </w:pPr>
      <w:r w:rsidRPr="00804562">
        <w:rPr>
          <w:rFonts w:cstheme="minorHAnsi"/>
        </w:rPr>
        <w:t>Os modelos “caixas-pretas” são metodologias onde é possível identificar as suas entradas (</w:t>
      </w:r>
      <w:r w:rsidRPr="00804562">
        <w:rPr>
          <w:rFonts w:cstheme="minorHAnsi"/>
          <w:i/>
          <w:iCs/>
        </w:rPr>
        <w:t>inputs</w:t>
      </w:r>
      <w:r w:rsidRPr="00804562">
        <w:rPr>
          <w:rFonts w:cstheme="minorHAnsi"/>
        </w:rPr>
        <w:t>) e saídas (</w:t>
      </w:r>
      <w:r w:rsidRPr="00804562">
        <w:rPr>
          <w:rFonts w:cstheme="minorHAnsi"/>
          <w:i/>
          <w:iCs/>
        </w:rPr>
        <w:t>outputs</w:t>
      </w:r>
      <w:r w:rsidRPr="00804562">
        <w:rPr>
          <w:rFonts w:cstheme="minorHAnsi"/>
        </w:rPr>
        <w:t xml:space="preserve">), sendo obscuros os processos pelos quais os </w:t>
      </w:r>
      <w:r w:rsidRPr="00804562">
        <w:rPr>
          <w:rFonts w:cstheme="minorHAnsi"/>
          <w:i/>
          <w:iCs/>
        </w:rPr>
        <w:t>inputs</w:t>
      </w:r>
      <w:r w:rsidRPr="00804562">
        <w:rPr>
          <w:rFonts w:cstheme="minorHAnsi"/>
        </w:rPr>
        <w:t xml:space="preserve"> foram transformados em </w:t>
      </w:r>
      <w:r w:rsidRPr="00804562">
        <w:rPr>
          <w:rFonts w:cstheme="minorHAnsi"/>
          <w:i/>
          <w:iCs/>
        </w:rPr>
        <w:t>outputs</w:t>
      </w:r>
      <w:r w:rsidRPr="00804562">
        <w:rPr>
          <w:rFonts w:cstheme="minorHAnsi"/>
        </w:rPr>
        <w:t>. Os modelos de aprendizado de máquina são algumas vezes denominados de “caixas-pretas”, significando a complexidade de tais modelos obscurecem o entendimento da conexão entre cada variável explicativa (</w:t>
      </w:r>
      <w:r w:rsidRPr="00804562">
        <w:rPr>
          <w:rFonts w:cstheme="minorHAnsi"/>
          <w:i/>
          <w:iCs/>
        </w:rPr>
        <w:t>feature</w:t>
      </w:r>
      <w:r w:rsidRPr="00804562">
        <w:rPr>
          <w:rFonts w:cstheme="minorHAnsi"/>
        </w:rPr>
        <w:t xml:space="preserve">) e as saídas do modelo, sejam elas probabilidades, classificações ou valores preditos. </w:t>
      </w:r>
    </w:p>
    <w:p w14:paraId="475ED671" w14:textId="6837F321" w:rsidR="006142EF" w:rsidRPr="00804562" w:rsidRDefault="006142EF" w:rsidP="00E857A0">
      <w:pPr>
        <w:ind w:firstLine="708"/>
        <w:jc w:val="both"/>
        <w:rPr>
          <w:rFonts w:cstheme="minorHAnsi"/>
        </w:rPr>
      </w:pPr>
      <w:r w:rsidRPr="00804562">
        <w:rPr>
          <w:rFonts w:cstheme="minorHAnsi"/>
        </w:rPr>
        <w:t xml:space="preserve">O grande poder preditivo dos algoritmos de aprendizado vem acompanhado de maiores dificuldades na sua interpretação, devido a maior complexidade de tais algoritmos, e pela não-linearidade dos vínculos entre as </w:t>
      </w:r>
      <w:r w:rsidRPr="00804562">
        <w:rPr>
          <w:rFonts w:cstheme="minorHAnsi"/>
          <w:i/>
          <w:iCs/>
        </w:rPr>
        <w:t>features</w:t>
      </w:r>
      <w:r w:rsidRPr="00804562">
        <w:rPr>
          <w:rFonts w:cstheme="minorHAnsi"/>
        </w:rPr>
        <w:t xml:space="preserve"> e o valor predito. A interpretabilidade é especialmente importante em instituições finanças, os quais precisam atender diferentes </w:t>
      </w:r>
      <w:r w:rsidR="00E857A0" w:rsidRPr="00804562">
        <w:rPr>
          <w:rFonts w:cstheme="minorHAnsi"/>
        </w:rPr>
        <w:t>regulações</w:t>
      </w:r>
      <w:r w:rsidRPr="00804562">
        <w:rPr>
          <w:rFonts w:cstheme="minorHAnsi"/>
        </w:rPr>
        <w:t xml:space="preserve">, </w:t>
      </w:r>
      <w:r w:rsidR="00E857A0" w:rsidRPr="00804562">
        <w:rPr>
          <w:rFonts w:cstheme="minorHAnsi"/>
        </w:rPr>
        <w:t xml:space="preserve">incluindo </w:t>
      </w:r>
      <w:r w:rsidR="00E857A0" w:rsidRPr="00804562">
        <w:rPr>
          <w:rFonts w:cstheme="minorHAnsi"/>
        </w:rPr>
        <w:lastRenderedPageBreak/>
        <w:t xml:space="preserve">a </w:t>
      </w:r>
      <w:r w:rsidRPr="00804562">
        <w:rPr>
          <w:rFonts w:cstheme="minorHAnsi"/>
        </w:rPr>
        <w:t xml:space="preserve">explicabilidade </w:t>
      </w:r>
      <w:r w:rsidR="00E857A0" w:rsidRPr="00804562">
        <w:rPr>
          <w:rFonts w:cstheme="minorHAnsi"/>
        </w:rPr>
        <w:t xml:space="preserve">das metodologias de classificação de risco de crédito. A explicabilidade dos modelos de aprendizado de máquina </w:t>
      </w:r>
      <w:r w:rsidRPr="00804562">
        <w:rPr>
          <w:rFonts w:cstheme="minorHAnsi"/>
        </w:rPr>
        <w:t xml:space="preserve">também esbarra em questões éticas e regulamentares, cujos desdobramentos já começam a ser abordadas, por exemplo, pela Comissão Europeia (2020). </w:t>
      </w:r>
    </w:p>
    <w:p w14:paraId="04AF522A" w14:textId="4727E1C2" w:rsidR="006142EF" w:rsidRPr="00804562" w:rsidRDefault="00E857A0" w:rsidP="00E857A0">
      <w:pPr>
        <w:ind w:firstLine="708"/>
        <w:jc w:val="both"/>
        <w:rPr>
          <w:rFonts w:cstheme="minorHAnsi"/>
        </w:rPr>
      </w:pPr>
      <w:r w:rsidRPr="00804562">
        <w:rPr>
          <w:rFonts w:cstheme="minorHAnsi"/>
        </w:rPr>
        <w:t xml:space="preserve">Diante desses desafios, surgiram </w:t>
      </w:r>
      <w:r w:rsidR="008B44AF" w:rsidRPr="00804562">
        <w:rPr>
          <w:rFonts w:cstheme="minorHAnsi"/>
        </w:rPr>
        <w:t xml:space="preserve">diferentes metodologias </w:t>
      </w:r>
      <w:r w:rsidRPr="00804562">
        <w:rPr>
          <w:rFonts w:cstheme="minorHAnsi"/>
        </w:rPr>
        <w:t xml:space="preserve">visando </w:t>
      </w:r>
      <w:r w:rsidR="006142EF" w:rsidRPr="00804562">
        <w:rPr>
          <w:rFonts w:cstheme="minorHAnsi"/>
        </w:rPr>
        <w:t xml:space="preserve">esclarecer ao </w:t>
      </w:r>
      <w:r w:rsidR="00D82F60" w:rsidRPr="00804562">
        <w:rPr>
          <w:rFonts w:cstheme="minorHAnsi"/>
        </w:rPr>
        <w:t xml:space="preserve">usuário </w:t>
      </w:r>
      <w:r w:rsidRPr="00804562">
        <w:rPr>
          <w:rFonts w:cstheme="minorHAnsi"/>
        </w:rPr>
        <w:t xml:space="preserve">de soluções </w:t>
      </w:r>
      <w:r w:rsidR="006142EF" w:rsidRPr="00804562">
        <w:rPr>
          <w:rFonts w:cstheme="minorHAnsi"/>
        </w:rPr>
        <w:t xml:space="preserve">como uma determinada </w:t>
      </w:r>
      <w:r w:rsidR="00F53EBD" w:rsidRPr="00F53EBD">
        <w:rPr>
          <w:rFonts w:cstheme="minorHAnsi"/>
        </w:rPr>
        <w:t>entrada</w:t>
      </w:r>
      <w:r w:rsidR="00F53EBD">
        <w:rPr>
          <w:rFonts w:cstheme="minorHAnsi"/>
          <w:i/>
          <w:iCs/>
        </w:rPr>
        <w:t xml:space="preserve"> </w:t>
      </w:r>
      <w:r w:rsidR="006142EF" w:rsidRPr="00804562">
        <w:rPr>
          <w:rFonts w:cstheme="minorHAnsi"/>
        </w:rPr>
        <w:t xml:space="preserve">gerou uma </w:t>
      </w:r>
      <w:r w:rsidR="00D82F60" w:rsidRPr="00804562">
        <w:rPr>
          <w:rFonts w:cstheme="minorHAnsi"/>
        </w:rPr>
        <w:t>determinada saída</w:t>
      </w:r>
      <w:r w:rsidR="006142EF" w:rsidRPr="00804562">
        <w:rPr>
          <w:rFonts w:cstheme="minorHAnsi"/>
        </w:rPr>
        <w:t xml:space="preserve">, denominadas </w:t>
      </w:r>
      <w:r w:rsidR="00D82F60" w:rsidRPr="00804562">
        <w:rPr>
          <w:rFonts w:cstheme="minorHAnsi"/>
        </w:rPr>
        <w:t>eXplainable AI (XAI).</w:t>
      </w:r>
      <w:r w:rsidRPr="00804562">
        <w:rPr>
          <w:rFonts w:cstheme="minorHAnsi"/>
        </w:rPr>
        <w:t xml:space="preserve"> </w:t>
      </w:r>
      <w:r w:rsidR="006142EF" w:rsidRPr="00804562">
        <w:rPr>
          <w:rFonts w:cstheme="minorHAnsi"/>
        </w:rPr>
        <w:t xml:space="preserve">O conceito de </w:t>
      </w:r>
      <w:r w:rsidRPr="00804562">
        <w:rPr>
          <w:rFonts w:cstheme="minorHAnsi"/>
        </w:rPr>
        <w:t xml:space="preserve">aprendizado de máquina </w:t>
      </w:r>
      <w:r w:rsidR="006142EF" w:rsidRPr="00804562">
        <w:rPr>
          <w:rFonts w:cstheme="minorHAnsi"/>
        </w:rPr>
        <w:t>interpretável (eXplainable AI) surge para aumenta</w:t>
      </w:r>
      <w:r w:rsidRPr="00804562">
        <w:rPr>
          <w:rFonts w:cstheme="minorHAnsi"/>
        </w:rPr>
        <w:t xml:space="preserve">r </w:t>
      </w:r>
      <w:r w:rsidR="006142EF" w:rsidRPr="00804562">
        <w:rPr>
          <w:rFonts w:cstheme="minorHAnsi"/>
        </w:rPr>
        <w:t xml:space="preserve">o conforto e a confiança das diversas instâncias de decisão das instituições nesses modelos. </w:t>
      </w:r>
      <w:r w:rsidRPr="00804562">
        <w:rPr>
          <w:rFonts w:cstheme="minorHAnsi"/>
        </w:rPr>
        <w:t xml:space="preserve">A </w:t>
      </w:r>
      <w:r w:rsidRPr="00804562">
        <w:rPr>
          <w:rFonts w:cstheme="minorHAnsi"/>
          <w:i/>
          <w:iCs/>
        </w:rPr>
        <w:t>Feature Importance</w:t>
      </w:r>
      <w:r w:rsidR="00515E52" w:rsidRPr="00804562">
        <w:rPr>
          <w:rFonts w:cstheme="minorHAnsi"/>
        </w:rPr>
        <w:t xml:space="preserve"> (Kuhn &amp; Johnson, </w:t>
      </w:r>
      <w:r w:rsidR="00515E52" w:rsidRPr="00804562">
        <w:rPr>
          <w:rFonts w:cstheme="minorHAnsi"/>
          <w:i/>
          <w:iCs/>
        </w:rPr>
        <w:t>2013</w:t>
      </w:r>
      <w:r w:rsidRPr="00804562">
        <w:rPr>
          <w:rFonts w:cstheme="minorHAnsi"/>
        </w:rPr>
        <w:t xml:space="preserve">) é </w:t>
      </w:r>
      <w:r w:rsidR="00F53EBD">
        <w:rPr>
          <w:rFonts w:cstheme="minorHAnsi"/>
        </w:rPr>
        <w:t xml:space="preserve">uma metodologia mais intuitiva para interpretação de algoritmos de </w:t>
      </w:r>
      <w:r w:rsidRPr="00804562">
        <w:rPr>
          <w:rFonts w:cstheme="minorHAnsi"/>
        </w:rPr>
        <w:t xml:space="preserve">aprendizado de máquina. Entretanto, também podemos citar </w:t>
      </w:r>
      <w:r w:rsidR="006142EF" w:rsidRPr="00804562">
        <w:rPr>
          <w:rFonts w:cstheme="minorHAnsi"/>
        </w:rPr>
        <w:t xml:space="preserve">a abordagem LIME e valor-SHAP têm sido mais abertamente reconhecidos como o estado da arte. </w:t>
      </w:r>
    </w:p>
    <w:p w14:paraId="01663BDC" w14:textId="693BC27B" w:rsidR="00515E52" w:rsidRPr="00804562" w:rsidRDefault="00515E52" w:rsidP="00515E52">
      <w:pPr>
        <w:ind w:firstLine="708"/>
        <w:jc w:val="both"/>
        <w:rPr>
          <w:rFonts w:cstheme="minorHAnsi"/>
        </w:rPr>
      </w:pPr>
      <w:r w:rsidRPr="00804562">
        <w:rPr>
          <w:rFonts w:cstheme="minorHAnsi"/>
        </w:rPr>
        <w:t xml:space="preserve">Em finanças, a interpretabilidade é também importante para estabelecer a confiança do consumidor na metodologia de avaliação de risco de crédito utilizada. Nesse sentido, Bussmann (2020) e Ariza-Garzón et al. (2020) propõe um modelo XAI baseado em valores de Shapley aplicado no contexto de decisões de empréstimo para pequenas e médias empresas em plataformas de financiamento P2P. Por sua vez, HadjiMisheva et al. (2021) também exploram a </w:t>
      </w:r>
      <w:r w:rsidR="00E76C1F" w:rsidRPr="00804562">
        <w:rPr>
          <w:rFonts w:cstheme="minorHAnsi"/>
        </w:rPr>
        <w:t xml:space="preserve">as </w:t>
      </w:r>
      <w:r w:rsidRPr="00804562">
        <w:rPr>
          <w:rFonts w:cstheme="minorHAnsi"/>
        </w:rPr>
        <w:t xml:space="preserve">estruturas </w:t>
      </w:r>
      <w:r w:rsidR="00E76C1F" w:rsidRPr="00804562">
        <w:rPr>
          <w:rFonts w:cstheme="minorHAnsi"/>
        </w:rPr>
        <w:t xml:space="preserve">do </w:t>
      </w:r>
      <w:r w:rsidRPr="00804562">
        <w:rPr>
          <w:rFonts w:cstheme="minorHAnsi"/>
        </w:rPr>
        <w:t xml:space="preserve">SHAP e </w:t>
      </w:r>
      <w:r w:rsidR="00E76C1F" w:rsidRPr="00804562">
        <w:rPr>
          <w:rFonts w:cstheme="minorHAnsi"/>
        </w:rPr>
        <w:t xml:space="preserve">LIME </w:t>
      </w:r>
      <w:r w:rsidRPr="00804562">
        <w:rPr>
          <w:rFonts w:cstheme="minorHAnsi"/>
        </w:rPr>
        <w:t xml:space="preserve">no contexto do gerenciamento de risco de crédito, </w:t>
      </w:r>
      <w:r w:rsidR="00E76C1F" w:rsidRPr="00804562">
        <w:rPr>
          <w:rFonts w:cstheme="minorHAnsi"/>
        </w:rPr>
        <w:t xml:space="preserve">identificando obstáculos </w:t>
      </w:r>
      <w:r w:rsidRPr="00804562">
        <w:rPr>
          <w:rFonts w:cstheme="minorHAnsi"/>
        </w:rPr>
        <w:t xml:space="preserve">práticos na aplicação dessas técnicas a vários tipos de algoritmos de </w:t>
      </w:r>
      <w:r w:rsidR="00E76C1F" w:rsidRPr="00804562">
        <w:rPr>
          <w:rFonts w:cstheme="minorHAnsi"/>
        </w:rPr>
        <w:t>aprendizado de máquina</w:t>
      </w:r>
      <w:r w:rsidRPr="00804562">
        <w:rPr>
          <w:rFonts w:cstheme="minorHAnsi"/>
        </w:rPr>
        <w:t xml:space="preserve">, </w:t>
      </w:r>
      <w:r w:rsidR="00E76C1F" w:rsidRPr="00804562">
        <w:rPr>
          <w:rFonts w:cstheme="minorHAnsi"/>
        </w:rPr>
        <w:t xml:space="preserve">e </w:t>
      </w:r>
      <w:r w:rsidRPr="00804562">
        <w:rPr>
          <w:rFonts w:cstheme="minorHAnsi"/>
        </w:rPr>
        <w:t>propo</w:t>
      </w:r>
      <w:r w:rsidR="00E76C1F" w:rsidRPr="00804562">
        <w:rPr>
          <w:rFonts w:cstheme="minorHAnsi"/>
        </w:rPr>
        <w:t xml:space="preserve">ndo algumas </w:t>
      </w:r>
      <w:r w:rsidRPr="00804562">
        <w:rPr>
          <w:rFonts w:cstheme="minorHAnsi"/>
        </w:rPr>
        <w:t>soluções.</w:t>
      </w:r>
    </w:p>
    <w:p w14:paraId="10282676" w14:textId="77777777" w:rsidR="00515E52" w:rsidRPr="00804562" w:rsidRDefault="00515E52" w:rsidP="006142EF">
      <w:pPr>
        <w:rPr>
          <w:rFonts w:cstheme="minorHAnsi"/>
        </w:rPr>
      </w:pPr>
    </w:p>
    <w:p w14:paraId="52813802" w14:textId="77777777" w:rsidR="006142EF" w:rsidRPr="00804562" w:rsidRDefault="006142EF" w:rsidP="006142EF">
      <w:pPr>
        <w:rPr>
          <w:rFonts w:cstheme="minorHAnsi"/>
          <w:b/>
          <w:bCs/>
        </w:rPr>
      </w:pPr>
      <w:r w:rsidRPr="00804562">
        <w:rPr>
          <w:rFonts w:cstheme="minorHAnsi"/>
          <w:b/>
          <w:bCs/>
        </w:rPr>
        <w:t>LIME</w:t>
      </w:r>
    </w:p>
    <w:p w14:paraId="5A235DC9" w14:textId="0F912E81" w:rsidR="006142EF" w:rsidRPr="00804562" w:rsidRDefault="006142EF" w:rsidP="00E857A0">
      <w:pPr>
        <w:ind w:firstLine="708"/>
        <w:jc w:val="both"/>
        <w:rPr>
          <w:rFonts w:cstheme="minorHAnsi"/>
        </w:rPr>
      </w:pPr>
      <w:r w:rsidRPr="00804562">
        <w:rPr>
          <w:rFonts w:cstheme="minorHAnsi"/>
        </w:rPr>
        <w:t xml:space="preserve">A técnica denominada modelo agnóstico interpretado localmente (LIME) procura aproximar um modelo de caixa-preta por um modelo local interpretável em cada previsão individual. Ribeiro </w:t>
      </w:r>
      <w:r w:rsidRPr="00804562">
        <w:rPr>
          <w:rFonts w:cstheme="minorHAnsi"/>
          <w:i/>
          <w:iCs/>
        </w:rPr>
        <w:t>et al</w:t>
      </w:r>
      <w:r w:rsidRPr="00804562">
        <w:rPr>
          <w:rFonts w:cstheme="minorHAnsi"/>
        </w:rPr>
        <w:t>. (2016) sugerem que essa abordagem é aplicável em qualquer algoritmo de classificação, uma vez que o LIME é independente do classificador original. O LIME procura ajustar um modelo local usando amostra de dados semelhantes à observação que está sendo explicada, fornecendo explicações para a previsão relativa a cada observação. As explicações fornecidas pelo LIME para cada observação X são obtidas da seguinte forma:</w:t>
      </w:r>
    </w:p>
    <w:p w14:paraId="1E7FCCAD" w14:textId="77777777" w:rsidR="006142EF" w:rsidRPr="00804562" w:rsidRDefault="006142EF" w:rsidP="006142EF">
      <w:pPr>
        <w:rPr>
          <w:rFonts w:cstheme="minorHAnsi"/>
        </w:rPr>
      </w:pPr>
      <m:oMathPara>
        <m:oMath>
          <m:r>
            <m:rPr>
              <m:sty m:val="p"/>
            </m:rPr>
            <w:rPr>
              <w:rFonts w:ascii="Cambria Math" w:hAnsi="Cambria Math" w:cstheme="minorHAnsi"/>
            </w:rPr>
            <m:t>Φ</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b>
            <m:sSubPr>
              <m:ctrlPr>
                <w:rPr>
                  <w:rFonts w:ascii="Cambria Math" w:hAnsi="Cambria Math" w:cstheme="minorHAnsi"/>
                  <w:i/>
                </w:rPr>
              </m:ctrlPr>
            </m:sSubPr>
            <m:e>
              <m:r>
                <m:rPr>
                  <m:sty m:val="p"/>
                </m:rPr>
                <w:rPr>
                  <w:rFonts w:ascii="Cambria Math" w:hAnsi="Cambria Math" w:cstheme="minorHAnsi"/>
                </w:rPr>
                <m:t>arg</m:t>
              </m:r>
              <m:r>
                <w:rPr>
                  <w:rFonts w:ascii="Cambria Math" w:hAnsi="Cambria Math" w:cstheme="minorHAnsi"/>
                </w:rPr>
                <m:t>min</m:t>
              </m:r>
            </m:e>
            <m:sub>
              <m:r>
                <w:rPr>
                  <w:rFonts w:ascii="Cambria Math" w:hAnsi="Cambria Math" w:cstheme="minorHAnsi"/>
                </w:rPr>
                <m:t>g∈G</m:t>
              </m:r>
            </m:sub>
          </m:sSub>
          <m:r>
            <w:rPr>
              <w:rFonts w:ascii="Cambria Math" w:hAnsi="Cambria Math" w:cstheme="minorHAnsi"/>
            </w:rPr>
            <m:t xml:space="preserve"> L</m:t>
          </m:r>
          <m:d>
            <m:dPr>
              <m:ctrlPr>
                <w:rPr>
                  <w:rFonts w:ascii="Cambria Math" w:eastAsiaTheme="minorEastAsia" w:hAnsi="Cambria Math" w:cstheme="minorHAnsi"/>
                  <w:i/>
                </w:rPr>
              </m:ctrlPr>
            </m:dPr>
            <m:e>
              <m:r>
                <w:rPr>
                  <w:rFonts w:ascii="Cambria Math" w:eastAsiaTheme="minorEastAsia" w:hAnsi="Cambria Math" w:cstheme="minorHAnsi"/>
                </w:rPr>
                <m:t>f,g,</m:t>
              </m:r>
              <m:sSub>
                <m:sSubPr>
                  <m:ctrlPr>
                    <w:rPr>
                      <w:rFonts w:ascii="Cambria Math" w:eastAsiaTheme="minorEastAsia" w:hAnsi="Cambria Math" w:cstheme="minorHAnsi"/>
                      <w:i/>
                    </w:rPr>
                  </m:ctrlPr>
                </m:sSubPr>
                <m:e>
                  <m:r>
                    <w:rPr>
                      <w:rFonts w:ascii="Cambria Math" w:eastAsiaTheme="minorEastAsia" w:hAnsi="Cambria Math" w:cstheme="minorHAnsi"/>
                    </w:rPr>
                    <m:t>π</m:t>
                  </m:r>
                </m:e>
                <m:sub>
                  <m:r>
                    <w:rPr>
                      <w:rFonts w:ascii="Cambria Math" w:eastAsiaTheme="minorEastAsia" w:hAnsi="Cambria Math" w:cstheme="minorHAnsi"/>
                    </w:rPr>
                    <m:t>x</m:t>
                  </m:r>
                </m:sub>
              </m:sSub>
              <m:r>
                <w:rPr>
                  <w:rFonts w:ascii="Cambria Math" w:eastAsiaTheme="minorEastAsia" w:hAnsi="Cambria Math" w:cstheme="minorHAnsi"/>
                </w:rPr>
                <m:t>(z)</m:t>
              </m:r>
            </m:e>
          </m:d>
          <m:r>
            <w:rPr>
              <w:rFonts w:ascii="Cambria Math" w:eastAsiaTheme="minorEastAsia" w:hAnsi="Cambria Math" w:cstheme="minorHAnsi"/>
            </w:rPr>
            <m:t>+</m:t>
          </m:r>
          <m:r>
            <m:rPr>
              <m:sty m:val="p"/>
            </m:rPr>
            <w:rPr>
              <w:rFonts w:ascii="Cambria Math" w:eastAsiaTheme="minorEastAsia" w:hAnsi="Cambria Math" w:cstheme="minorHAnsi"/>
            </w:rPr>
            <m:t>Ω</m:t>
          </m:r>
          <m:r>
            <w:rPr>
              <w:rFonts w:ascii="Cambria Math" w:eastAsiaTheme="minorEastAsia" w:hAnsi="Cambria Math" w:cstheme="minorHAnsi"/>
            </w:rPr>
            <m:t>(g)</m:t>
          </m:r>
        </m:oMath>
      </m:oMathPara>
    </w:p>
    <w:p w14:paraId="340B2B5E" w14:textId="3E0069F2" w:rsidR="006142EF" w:rsidRPr="00804562" w:rsidRDefault="00B3707D" w:rsidP="006142EF">
      <w:pPr>
        <w:rPr>
          <w:rFonts w:cstheme="minorHAnsi"/>
        </w:rPr>
      </w:pPr>
      <w:r>
        <w:rPr>
          <w:rFonts w:cstheme="minorHAnsi"/>
        </w:rPr>
        <w:t>o</w:t>
      </w:r>
      <w:r w:rsidR="006142EF" w:rsidRPr="00804562">
        <w:rPr>
          <w:rFonts w:cstheme="minorHAnsi"/>
        </w:rPr>
        <w:t xml:space="preserve">nde, G é a classe de modelos potencialmente interpretáveis, tais como modelos lineares e árvores de decisão: </w:t>
      </w:r>
      <m:oMath>
        <m:r>
          <w:rPr>
            <w:rFonts w:ascii="Cambria Math" w:hAnsi="Cambria Math" w:cstheme="minorHAnsi"/>
          </w:rPr>
          <m:t>g∈G</m:t>
        </m:r>
      </m:oMath>
      <w:r w:rsidR="006142EF" w:rsidRPr="00804562">
        <w:rPr>
          <w:rFonts w:cstheme="minorHAnsi"/>
        </w:rPr>
        <w:t xml:space="preserve">. </w:t>
      </w:r>
    </w:p>
    <w:p w14:paraId="2B8B8CF7" w14:textId="77777777" w:rsidR="006142EF" w:rsidRPr="00804562" w:rsidRDefault="006142EF" w:rsidP="006142EF">
      <w:pPr>
        <w:rPr>
          <w:rFonts w:cstheme="minorHAnsi"/>
        </w:rPr>
      </w:pPr>
      <m:oMath>
        <m:r>
          <w:rPr>
            <w:rFonts w:ascii="Cambria Math" w:hAnsi="Cambria Math" w:cstheme="minorHAnsi"/>
          </w:rPr>
          <m:t>f:</m:t>
        </m:r>
        <m:sSup>
          <m:sSupPr>
            <m:ctrlPr>
              <w:rPr>
                <w:rFonts w:ascii="Cambria Math" w:hAnsi="Cambria Math" w:cstheme="minorHAnsi"/>
                <w:i/>
              </w:rPr>
            </m:ctrlPr>
          </m:sSupPr>
          <m:e>
            <m:r>
              <m:rPr>
                <m:scr m:val="double-struck"/>
              </m:rPr>
              <w:rPr>
                <w:rFonts w:ascii="Cambria Math" w:hAnsi="Cambria Math" w:cstheme="minorHAnsi"/>
              </w:rPr>
              <m:t>R</m:t>
            </m:r>
          </m:e>
          <m:sup>
            <m:r>
              <w:rPr>
                <w:rFonts w:ascii="Cambria Math" w:hAnsi="Cambria Math" w:cstheme="minorHAnsi"/>
              </w:rPr>
              <m:t>d</m:t>
            </m:r>
          </m:sup>
        </m:sSup>
        <m:r>
          <m:rPr>
            <m:scr m:val="double-struck"/>
          </m:rPr>
          <w:rPr>
            <w:rFonts w:ascii="Cambria Math" w:hAnsi="Cambria Math" w:cstheme="minorHAnsi"/>
          </w:rPr>
          <m:t>→R</m:t>
        </m:r>
      </m:oMath>
      <w:r w:rsidRPr="00804562">
        <w:rPr>
          <w:rFonts w:eastAsiaTheme="minorEastAsia" w:cstheme="minorHAnsi"/>
        </w:rPr>
        <w:t xml:space="preserve"> é a explicação do modelo.</w:t>
      </w:r>
    </w:p>
    <w:p w14:paraId="23ABB513" w14:textId="77777777" w:rsidR="006142EF" w:rsidRPr="00804562" w:rsidRDefault="00000000" w:rsidP="006142EF">
      <w:pPr>
        <w:rPr>
          <w:rFonts w:cstheme="minorHAnsi"/>
        </w:rPr>
      </w:pPr>
      <m:oMath>
        <m:sSub>
          <m:sSubPr>
            <m:ctrlPr>
              <w:rPr>
                <w:rFonts w:ascii="Cambria Math" w:eastAsiaTheme="minorEastAsia" w:hAnsi="Cambria Math" w:cstheme="minorHAnsi"/>
                <w:i/>
              </w:rPr>
            </m:ctrlPr>
          </m:sSubPr>
          <m:e>
            <m:r>
              <w:rPr>
                <w:rFonts w:ascii="Cambria Math" w:eastAsiaTheme="minorEastAsia" w:hAnsi="Cambria Math" w:cstheme="minorHAnsi"/>
              </w:rPr>
              <m:t>π</m:t>
            </m:r>
          </m:e>
          <m:sub>
            <m:r>
              <w:rPr>
                <w:rFonts w:ascii="Cambria Math" w:eastAsiaTheme="minorEastAsia" w:hAnsi="Cambria Math" w:cstheme="minorHAnsi"/>
              </w:rPr>
              <m:t>x</m:t>
            </m:r>
          </m:sub>
        </m:sSub>
        <m:r>
          <w:rPr>
            <w:rFonts w:ascii="Cambria Math" w:eastAsiaTheme="minorEastAsia" w:hAnsi="Cambria Math" w:cstheme="minorHAnsi"/>
          </w:rPr>
          <m:t>(Z)</m:t>
        </m:r>
      </m:oMath>
      <w:r w:rsidR="006142EF" w:rsidRPr="00804562">
        <w:rPr>
          <w:rFonts w:eastAsiaTheme="minorEastAsia" w:cstheme="minorHAnsi"/>
        </w:rPr>
        <w:t xml:space="preserve">: Medida de proximidade de uma instancia </w:t>
      </w:r>
      <w:r w:rsidR="006142EF" w:rsidRPr="00804562">
        <w:rPr>
          <w:rFonts w:eastAsiaTheme="minorEastAsia" w:cstheme="minorHAnsi"/>
          <w:i/>
          <w:iCs/>
        </w:rPr>
        <w:t>z</w:t>
      </w:r>
      <w:r w:rsidR="006142EF" w:rsidRPr="00804562">
        <w:rPr>
          <w:rFonts w:eastAsiaTheme="minorEastAsia" w:cstheme="minorHAnsi"/>
        </w:rPr>
        <w:t xml:space="preserve"> de </w:t>
      </w:r>
      <w:r w:rsidR="006142EF" w:rsidRPr="00804562">
        <w:rPr>
          <w:rFonts w:eastAsiaTheme="minorEastAsia" w:cstheme="minorHAnsi"/>
          <w:i/>
          <w:iCs/>
        </w:rPr>
        <w:t>x</w:t>
      </w:r>
      <w:r w:rsidR="006142EF" w:rsidRPr="00804562">
        <w:rPr>
          <w:rFonts w:eastAsiaTheme="minorEastAsia" w:cstheme="minorHAnsi"/>
        </w:rPr>
        <w:t>.</w:t>
      </w:r>
    </w:p>
    <w:p w14:paraId="0D4E6F79" w14:textId="77777777" w:rsidR="006142EF" w:rsidRPr="00804562" w:rsidRDefault="006142EF" w:rsidP="006142EF">
      <w:pPr>
        <w:rPr>
          <w:rFonts w:cstheme="minorHAnsi"/>
        </w:rPr>
      </w:pPr>
      <m:oMath>
        <m:r>
          <m:rPr>
            <m:sty m:val="p"/>
          </m:rPr>
          <w:rPr>
            <w:rFonts w:ascii="Cambria Math" w:eastAsiaTheme="minorEastAsia" w:hAnsi="Cambria Math" w:cstheme="minorHAnsi"/>
          </w:rPr>
          <m:t>Ω</m:t>
        </m:r>
        <m:r>
          <w:rPr>
            <w:rFonts w:ascii="Cambria Math" w:eastAsiaTheme="minorEastAsia" w:hAnsi="Cambria Math" w:cstheme="minorHAnsi"/>
          </w:rPr>
          <m:t>(g)</m:t>
        </m:r>
      </m:oMath>
      <w:r w:rsidRPr="00804562">
        <w:rPr>
          <w:rFonts w:eastAsiaTheme="minorEastAsia" w:cstheme="minorHAnsi"/>
        </w:rPr>
        <w:t xml:space="preserve">: Medida de complexidade da explicação de </w:t>
      </w:r>
      <m:oMath>
        <m:r>
          <w:rPr>
            <w:rFonts w:ascii="Cambria Math" w:hAnsi="Cambria Math" w:cstheme="minorHAnsi"/>
          </w:rPr>
          <m:t>g∈G</m:t>
        </m:r>
      </m:oMath>
      <w:r w:rsidRPr="00804562">
        <w:rPr>
          <w:rFonts w:eastAsiaTheme="minorEastAsia" w:cstheme="minorHAnsi"/>
        </w:rPr>
        <w:t>.</w:t>
      </w:r>
    </w:p>
    <w:p w14:paraId="15173912" w14:textId="77777777" w:rsidR="006142EF" w:rsidRPr="00804562" w:rsidRDefault="006142EF" w:rsidP="006142EF">
      <w:pPr>
        <w:rPr>
          <w:rFonts w:cstheme="minorHAnsi"/>
        </w:rPr>
      </w:pPr>
      <w:r w:rsidRPr="00804562">
        <w:rPr>
          <w:rFonts w:cstheme="minorHAnsi"/>
        </w:rPr>
        <w:t xml:space="preserve">O objetivo é minimizar a função de perda </w:t>
      </w:r>
      <w:r w:rsidRPr="00804562">
        <w:rPr>
          <w:rFonts w:cstheme="minorHAnsi"/>
          <w:i/>
          <w:iCs/>
        </w:rPr>
        <w:t>L</w:t>
      </w:r>
      <w:r w:rsidRPr="00804562">
        <w:rPr>
          <w:rFonts w:cstheme="minorHAnsi"/>
        </w:rPr>
        <w:t xml:space="preserve"> localmente, sem lançar mão de pressupostos a respeito de </w:t>
      </w:r>
      <w:r w:rsidRPr="00804562">
        <w:rPr>
          <w:rFonts w:cstheme="minorHAnsi"/>
          <w:i/>
          <w:iCs/>
        </w:rPr>
        <w:t>f</w:t>
      </w:r>
      <w:r w:rsidRPr="00804562">
        <w:rPr>
          <w:rFonts w:cstheme="minorHAnsi"/>
        </w:rPr>
        <w:t xml:space="preserve">, assegurando a natureza agnóstica de </w:t>
      </w:r>
      <w:r w:rsidRPr="00804562">
        <w:rPr>
          <w:rFonts w:cstheme="minorHAnsi"/>
          <w:i/>
          <w:iCs/>
        </w:rPr>
        <w:t>L</w:t>
      </w:r>
      <w:r w:rsidRPr="00804562">
        <w:rPr>
          <w:rFonts w:cstheme="minorHAnsi"/>
        </w:rPr>
        <w:t xml:space="preserve">. Por sua vez, </w:t>
      </w:r>
      <w:r w:rsidRPr="00804562">
        <w:rPr>
          <w:rFonts w:cstheme="minorHAnsi"/>
          <w:i/>
          <w:iCs/>
        </w:rPr>
        <w:t>L</w:t>
      </w:r>
      <w:r w:rsidRPr="00804562">
        <w:rPr>
          <w:rFonts w:cstheme="minorHAnsi"/>
        </w:rPr>
        <w:t xml:space="preserve"> é a medida agnóstica de quão infiel </w:t>
      </w:r>
      <w:r w:rsidRPr="00804562">
        <w:rPr>
          <w:rFonts w:cstheme="minorHAnsi"/>
          <w:i/>
          <w:iCs/>
        </w:rPr>
        <w:t xml:space="preserve">g </w:t>
      </w:r>
      <w:r w:rsidRPr="00804562">
        <w:rPr>
          <w:rFonts w:cstheme="minorHAnsi"/>
        </w:rPr>
        <w:t xml:space="preserve">é na aproximação de </w:t>
      </w:r>
      <w:r w:rsidRPr="00804562">
        <w:rPr>
          <w:rFonts w:cstheme="minorHAnsi"/>
          <w:i/>
          <w:iCs/>
        </w:rPr>
        <w:t>f</w:t>
      </w:r>
      <w:r w:rsidRPr="00804562">
        <w:rPr>
          <w:rFonts w:cstheme="minorHAnsi"/>
        </w:rPr>
        <w:t xml:space="preserve"> na localidade definida por </w:t>
      </w:r>
      <m:oMath>
        <m:sSub>
          <m:sSubPr>
            <m:ctrlPr>
              <w:rPr>
                <w:rFonts w:ascii="Cambria Math" w:eastAsiaTheme="minorEastAsia" w:hAnsi="Cambria Math" w:cstheme="minorHAnsi"/>
                <w:i/>
              </w:rPr>
            </m:ctrlPr>
          </m:sSubPr>
          <m:e>
            <m:r>
              <w:rPr>
                <w:rFonts w:ascii="Cambria Math" w:eastAsiaTheme="minorEastAsia" w:hAnsi="Cambria Math" w:cstheme="minorHAnsi"/>
              </w:rPr>
              <m:t>π</m:t>
            </m:r>
          </m:e>
          <m:sub>
            <m:r>
              <w:rPr>
                <w:rFonts w:ascii="Cambria Math" w:eastAsiaTheme="minorEastAsia" w:hAnsi="Cambria Math" w:cstheme="minorHAnsi"/>
              </w:rPr>
              <m:t>x</m:t>
            </m:r>
          </m:sub>
        </m:sSub>
      </m:oMath>
      <w:r w:rsidRPr="00804562">
        <w:rPr>
          <w:rFonts w:cstheme="minorHAnsi"/>
        </w:rPr>
        <w:t xml:space="preserve">. </w:t>
      </w:r>
    </w:p>
    <w:p w14:paraId="36F51F49" w14:textId="77777777" w:rsidR="006142EF" w:rsidRPr="00804562" w:rsidRDefault="006142EF" w:rsidP="006142EF">
      <w:pPr>
        <w:rPr>
          <w:rFonts w:cstheme="minorHAnsi"/>
        </w:rPr>
      </w:pPr>
    </w:p>
    <w:p w14:paraId="74BE12C0" w14:textId="77777777" w:rsidR="006142EF" w:rsidRPr="00804562" w:rsidRDefault="006142EF" w:rsidP="006142EF">
      <w:pPr>
        <w:rPr>
          <w:rFonts w:cstheme="minorHAnsi"/>
          <w:b/>
          <w:bCs/>
        </w:rPr>
      </w:pPr>
      <w:r w:rsidRPr="00804562">
        <w:rPr>
          <w:rFonts w:cstheme="minorHAnsi"/>
          <w:b/>
          <w:bCs/>
        </w:rPr>
        <w:t>SHAP</w:t>
      </w:r>
    </w:p>
    <w:p w14:paraId="3AE24AC8" w14:textId="758E00CA" w:rsidR="006142EF" w:rsidRPr="00804562" w:rsidRDefault="006142EF" w:rsidP="00E857A0">
      <w:pPr>
        <w:ind w:firstLine="708"/>
        <w:jc w:val="both"/>
        <w:rPr>
          <w:rFonts w:cstheme="minorHAnsi"/>
        </w:rPr>
      </w:pPr>
      <w:r w:rsidRPr="00804562">
        <w:rPr>
          <w:rFonts w:cstheme="minorHAnsi"/>
        </w:rPr>
        <w:lastRenderedPageBreak/>
        <w:t xml:space="preserve">Lundberg </w:t>
      </w:r>
      <w:r w:rsidR="00E857A0" w:rsidRPr="00804562">
        <w:rPr>
          <w:rFonts w:cstheme="minorHAnsi"/>
        </w:rPr>
        <w:t>&amp;</w:t>
      </w:r>
      <w:r w:rsidRPr="00804562">
        <w:rPr>
          <w:rFonts w:cstheme="minorHAnsi"/>
        </w:rPr>
        <w:t xml:space="preserve"> Lee (2017) se inspiraram em conceitos de teoria dos jogos ao propor a metodologia SHAP de interpretação de modelos de aprendizado de máquina. A variabilidade das predições é dividida entre as covariáveis disponíveis, e a contribuição de cada variável explicativa para cada previsão de ponto pode ser avaliada independentemente do modelo subjacente (Joseph, 2019).</w:t>
      </w:r>
    </w:p>
    <w:p w14:paraId="165BBE64" w14:textId="77777777" w:rsidR="006142EF" w:rsidRPr="00804562" w:rsidRDefault="006142EF" w:rsidP="006142EF">
      <w:pPr>
        <w:ind w:firstLine="708"/>
        <w:jc w:val="both"/>
        <w:rPr>
          <w:rFonts w:cstheme="minorHAnsi"/>
        </w:rPr>
      </w:pPr>
      <w:r w:rsidRPr="00804562">
        <w:rPr>
          <w:rFonts w:cstheme="minorHAnsi"/>
        </w:rPr>
        <w:t xml:space="preserve">A metodologia SHAP (SHApley Additive exPlanation) procura expressar as previsões como se fossem combinações lineares de variáveis binárias, as quais descrevem se determinada covariável está ou não presente no modelo. O SHAP aproxima cada previsão </w:t>
      </w:r>
      <m:oMath>
        <m:r>
          <w:rPr>
            <w:rFonts w:ascii="Cambria Math" w:hAnsi="Cambria Math" w:cstheme="minorHAnsi"/>
          </w:rPr>
          <m:t>f(x)</m:t>
        </m:r>
      </m:oMath>
      <w:r w:rsidRPr="00804562">
        <w:rPr>
          <w:rFonts w:cstheme="minorHAnsi"/>
        </w:rPr>
        <w:t xml:space="preserve"> por uma função linear das variáveis binárias </w:t>
      </w:r>
      <m:oMath>
        <m:r>
          <w:rPr>
            <w:rFonts w:ascii="Cambria Math" w:hAnsi="Cambria Math" w:cstheme="minorHAnsi"/>
          </w:rPr>
          <m:t>g(x)</m:t>
        </m:r>
      </m:oMath>
      <w:r w:rsidRPr="00804562">
        <w:rPr>
          <w:rFonts w:cstheme="minorHAnsi"/>
        </w:rPr>
        <w:t xml:space="preserve">, sendo </w:t>
      </w:r>
      <m:oMath>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m:t>
            </m:r>
          </m:sup>
        </m:sSup>
        <m:r>
          <w:rPr>
            <w:rFonts w:ascii="Cambria Math" w:hAnsi="Cambria Math" w:cstheme="minorHAnsi"/>
          </w:rPr>
          <m:t>∈{0,1}</m:t>
        </m:r>
      </m:oMath>
      <w:r w:rsidRPr="00804562">
        <w:rPr>
          <w:rFonts w:eastAsiaTheme="minorEastAsia" w:cstheme="minorHAnsi"/>
        </w:rPr>
        <w:t xml:space="preserve"> as variáveis binarias e </w:t>
      </w:r>
      <m:oMath>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r>
          <m:rPr>
            <m:scr m:val="double-struck"/>
          </m:rPr>
          <w:rPr>
            <w:rFonts w:ascii="Cambria Math" w:hAnsi="Cambria Math" w:cstheme="minorHAnsi"/>
          </w:rPr>
          <m:t>∈R</m:t>
        </m:r>
      </m:oMath>
      <w:r w:rsidRPr="00804562">
        <w:rPr>
          <w:rFonts w:cstheme="minorHAnsi"/>
        </w:rPr>
        <w:t xml:space="preserve"> as quantidades de explicação, conforme:</w:t>
      </w:r>
    </w:p>
    <w:p w14:paraId="58A3ACBD" w14:textId="77777777" w:rsidR="006142EF" w:rsidRPr="00804562" w:rsidRDefault="006142EF" w:rsidP="006142EF">
      <w:pPr>
        <w:rPr>
          <w:rFonts w:cstheme="minorHAnsi"/>
        </w:rPr>
      </w:pPr>
      <m:oMathPara>
        <m:oMath>
          <m:r>
            <w:rPr>
              <w:rFonts w:ascii="Cambria Math" w:hAnsi="Cambria Math" w:cstheme="minorHAnsi"/>
            </w:rPr>
            <m:t>g(</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m:t>
              </m:r>
            </m:sup>
          </m:sSup>
          <m:r>
            <w:rPr>
              <w:rFonts w:ascii="Cambria Math"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0</m:t>
              </m:r>
            </m:sub>
          </m:sSub>
          <m:r>
            <w:rPr>
              <w:rFonts w:ascii="Cambria Math" w:eastAsiaTheme="minorEastAsia" w:hAnsi="Cambria Math" w:cstheme="minorHAnsi"/>
            </w:rPr>
            <m:t>+</m:t>
          </m:r>
          <m:nary>
            <m:naryPr>
              <m:chr m:val="∑"/>
              <m:limLoc m:val="undOvr"/>
              <m:ctrlPr>
                <w:rPr>
                  <w:rFonts w:ascii="Cambria Math" w:eastAsiaTheme="minorEastAsia" w:hAnsi="Cambria Math" w:cstheme="minorHAnsi"/>
                  <w:i/>
                </w:rPr>
              </m:ctrlPr>
            </m:naryPr>
            <m:sub>
              <m:r>
                <w:rPr>
                  <w:rFonts w:ascii="Cambria Math" w:eastAsiaTheme="minorEastAsia" w:hAnsi="Cambria Math" w:cstheme="minorHAnsi"/>
                </w:rPr>
                <m:t>i=1</m:t>
              </m:r>
            </m:sub>
            <m:sup>
              <m:r>
                <w:rPr>
                  <w:rFonts w:ascii="Cambria Math" w:eastAsiaTheme="minorEastAsia" w:hAnsi="Cambria Math" w:cstheme="minorHAnsi"/>
                </w:rPr>
                <m:t>M</m:t>
              </m:r>
            </m:sup>
            <m:e>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sSub>
                <m:sSubPr>
                  <m:ctrlPr>
                    <w:rPr>
                      <w:rFonts w:ascii="Cambria Math" w:hAnsi="Cambria Math" w:cstheme="minorHAnsi"/>
                      <w:i/>
                    </w:rPr>
                  </m:ctrlPr>
                </m:sSubPr>
                <m:e>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m:t>
                      </m:r>
                    </m:sup>
                  </m:sSup>
                </m:e>
                <m:sub>
                  <m:r>
                    <w:rPr>
                      <w:rFonts w:ascii="Cambria Math" w:hAnsi="Cambria Math" w:cstheme="minorHAnsi"/>
                    </w:rPr>
                    <m:t>i</m:t>
                  </m:r>
                </m:sub>
              </m:sSub>
            </m:e>
          </m:nary>
        </m:oMath>
      </m:oMathPara>
    </w:p>
    <w:p w14:paraId="1A26A129" w14:textId="77777777" w:rsidR="006142EF" w:rsidRPr="00804562" w:rsidRDefault="006142EF" w:rsidP="006142EF">
      <w:pPr>
        <w:rPr>
          <w:rFonts w:cstheme="minorHAnsi"/>
        </w:rPr>
      </w:pPr>
      <w:r w:rsidRPr="00804562">
        <w:rPr>
          <w:rFonts w:cstheme="minorHAnsi"/>
        </w:rPr>
        <w:t>onde M é o número de variáveis explicativas.</w:t>
      </w:r>
    </w:p>
    <w:p w14:paraId="6920D016" w14:textId="77777777" w:rsidR="006142EF" w:rsidRPr="00804562" w:rsidRDefault="006142EF" w:rsidP="00E857A0">
      <w:pPr>
        <w:ind w:firstLine="708"/>
        <w:jc w:val="both"/>
        <w:rPr>
          <w:rFonts w:cstheme="minorHAnsi"/>
        </w:rPr>
      </w:pPr>
      <w:r w:rsidRPr="00804562">
        <w:rPr>
          <w:rFonts w:cstheme="minorHAnsi"/>
        </w:rPr>
        <w:t xml:space="preserve">Somente modelos aditivos que satisfazem as propriedades de precisão local, </w:t>
      </w:r>
      <w:r w:rsidRPr="00804562">
        <w:rPr>
          <w:rFonts w:cstheme="minorHAnsi"/>
          <w:i/>
          <w:iCs/>
        </w:rPr>
        <w:t>missingness</w:t>
      </w:r>
      <w:r w:rsidRPr="00804562">
        <w:rPr>
          <w:rFonts w:cstheme="minorHAnsi"/>
        </w:rPr>
        <w:t xml:space="preserve"> e consistência podem ser obtidos ao atribuir para cada variável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i</m:t>
            </m:r>
          </m:sub>
        </m:sSub>
      </m:oMath>
      <w:r w:rsidRPr="00804562">
        <w:rPr>
          <w:rFonts w:eastAsiaTheme="minorEastAsia" w:cstheme="minorHAnsi"/>
        </w:rPr>
        <w:t xml:space="preserve"> um efeito </w:t>
      </w:r>
      <m:oMath>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oMath>
      <w:r w:rsidRPr="00804562">
        <w:rPr>
          <w:rFonts w:eastAsiaTheme="minorEastAsia" w:cstheme="minorHAnsi"/>
        </w:rPr>
        <w:t>, isto é, o valor</w:t>
      </w:r>
      <w:r w:rsidRPr="00804562">
        <w:rPr>
          <w:rFonts w:cstheme="minorHAnsi"/>
        </w:rPr>
        <w:t xml:space="preserve"> de Shapley (Scott et al., 2018):</w:t>
      </w:r>
    </w:p>
    <w:p w14:paraId="2ADBD23B" w14:textId="77777777" w:rsidR="006142EF" w:rsidRPr="00804562" w:rsidRDefault="00000000" w:rsidP="006142EF">
      <w:pPr>
        <w:rPr>
          <w:rFonts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ϕ</m:t>
              </m:r>
            </m:e>
            <m:sub>
              <m:r>
                <w:rPr>
                  <w:rFonts w:ascii="Cambria Math" w:eastAsiaTheme="minorEastAsia" w:hAnsi="Cambria Math" w:cstheme="minorHAnsi"/>
                </w:rPr>
                <m:t>i</m:t>
              </m:r>
            </m:sub>
          </m:sSub>
          <m:d>
            <m:dPr>
              <m:ctrlPr>
                <w:rPr>
                  <w:rFonts w:ascii="Cambria Math" w:eastAsiaTheme="minorEastAsia" w:hAnsi="Cambria Math" w:cstheme="minorHAnsi"/>
                  <w:i/>
                </w:rPr>
              </m:ctrlPr>
            </m:dPr>
            <m:e>
              <m:r>
                <w:rPr>
                  <w:rFonts w:ascii="Cambria Math" w:eastAsiaTheme="minorEastAsia" w:hAnsi="Cambria Math" w:cstheme="minorHAnsi"/>
                </w:rPr>
                <m:t>f,x</m:t>
              </m:r>
            </m:e>
          </m:d>
          <m:r>
            <w:rPr>
              <w:rFonts w:ascii="Cambria Math" w:eastAsiaTheme="minorEastAsia" w:hAnsi="Cambria Math" w:cstheme="minorHAnsi"/>
            </w:rPr>
            <m:t>=</m:t>
          </m:r>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z'⊆x'</m:t>
              </m:r>
            </m:sub>
            <m:sup/>
            <m:e>
              <m:f>
                <m:fPr>
                  <m:ctrlPr>
                    <w:rPr>
                      <w:rFonts w:ascii="Cambria Math" w:eastAsiaTheme="minorEastAsia" w:hAnsi="Cambria Math" w:cstheme="minorHAnsi"/>
                      <w:i/>
                    </w:rPr>
                  </m:ctrlPr>
                </m:fPr>
                <m:num>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e>
                  </m:d>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M-</m:t>
                      </m:r>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e>
                      </m:d>
                      <m:r>
                        <w:rPr>
                          <w:rFonts w:ascii="Cambria Math" w:eastAsiaTheme="minorEastAsia" w:hAnsi="Cambria Math" w:cstheme="minorHAnsi"/>
                        </w:rPr>
                        <m:t>-1</m:t>
                      </m:r>
                    </m:e>
                  </m:d>
                  <m:r>
                    <w:rPr>
                      <w:rFonts w:ascii="Cambria Math" w:eastAsiaTheme="minorEastAsia" w:hAnsi="Cambria Math" w:cstheme="minorHAnsi"/>
                    </w:rPr>
                    <m:t>!</m:t>
                  </m:r>
                </m:num>
                <m:den>
                  <m:r>
                    <w:rPr>
                      <w:rFonts w:ascii="Cambria Math" w:eastAsiaTheme="minorEastAsia" w:hAnsi="Cambria Math" w:cstheme="minorHAnsi"/>
                    </w:rPr>
                    <m:t>M!</m:t>
                  </m:r>
                </m:den>
              </m:f>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r>
                        <w:rPr>
                          <w:rFonts w:ascii="Cambria Math" w:eastAsiaTheme="minorEastAsia" w:hAnsi="Cambria Math" w:cstheme="minorHAnsi"/>
                        </w:rPr>
                        <m:t>\i</m:t>
                      </m:r>
                    </m:e>
                  </m:d>
                </m:e>
              </m:d>
            </m:e>
          </m:nary>
        </m:oMath>
      </m:oMathPara>
    </w:p>
    <w:p w14:paraId="4E1CED09" w14:textId="0CF55DC9" w:rsidR="006142EF" w:rsidRPr="00804562" w:rsidRDefault="006142EF" w:rsidP="00E857A0">
      <w:pPr>
        <w:jc w:val="both"/>
        <w:rPr>
          <w:rFonts w:cstheme="minorHAnsi"/>
        </w:rPr>
      </w:pPr>
      <w:r w:rsidRPr="00804562">
        <w:rPr>
          <w:rFonts w:cstheme="minorHAnsi"/>
        </w:rPr>
        <w:t xml:space="preserve">onde </w:t>
      </w:r>
      <w:r w:rsidRPr="00804562">
        <w:rPr>
          <w:rFonts w:cstheme="minorHAnsi"/>
          <w:i/>
          <w:iCs/>
        </w:rPr>
        <w:t>f</w:t>
      </w:r>
      <w:r w:rsidRPr="00804562">
        <w:rPr>
          <w:rFonts w:cstheme="minorHAnsi"/>
        </w:rPr>
        <w:t xml:space="preserve"> é a explicação do modelo, </w:t>
      </w:r>
      <m:oMath>
        <m:r>
          <w:rPr>
            <w:rFonts w:ascii="Cambria Math" w:eastAsiaTheme="minorEastAsia" w:hAnsi="Cambria Math" w:cstheme="minorHAnsi"/>
          </w:rPr>
          <m:t>x</m:t>
        </m:r>
      </m:oMath>
      <w:r w:rsidRPr="00804562">
        <w:rPr>
          <w:rFonts w:cstheme="minorHAnsi"/>
        </w:rPr>
        <w:t xml:space="preserve"> são as variáveis disponíveis e </w:t>
      </w:r>
      <m:oMath>
        <m:r>
          <w:rPr>
            <w:rFonts w:ascii="Cambria Math" w:eastAsiaTheme="minorEastAsia" w:hAnsi="Cambria Math" w:cstheme="minorHAnsi"/>
          </w:rPr>
          <m:t>x'</m:t>
        </m:r>
      </m:oMath>
      <w:r w:rsidRPr="00804562">
        <w:rPr>
          <w:rFonts w:cstheme="minorHAnsi"/>
        </w:rPr>
        <w:t xml:space="preserve"> são as variáveis selecionadas.</w:t>
      </w:r>
      <w:r w:rsidR="00E857A0" w:rsidRPr="00804562">
        <w:rPr>
          <w:rFonts w:cstheme="minorHAnsi"/>
        </w:rPr>
        <w:t xml:space="preserve"> </w:t>
      </w:r>
      <w:r w:rsidRPr="00804562">
        <w:rPr>
          <w:rFonts w:cstheme="minorHAnsi"/>
        </w:rPr>
        <w:t xml:space="preserve">A expressão </w:t>
      </w:r>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z</m:t>
                </m:r>
              </m:e>
              <m:sup>
                <m:r>
                  <w:rPr>
                    <w:rFonts w:ascii="Cambria Math" w:eastAsiaTheme="minorEastAsia" w:hAnsi="Cambria Math" w:cstheme="minorHAnsi"/>
                  </w:rPr>
                  <m:t>'</m:t>
                </m:r>
              </m:sup>
            </m:sSup>
            <m:r>
              <w:rPr>
                <w:rFonts w:ascii="Cambria Math" w:eastAsiaTheme="minorEastAsia" w:hAnsi="Cambria Math" w:cstheme="minorHAnsi"/>
              </w:rPr>
              <m:t>\i</m:t>
            </m:r>
          </m:e>
        </m:d>
        <m:r>
          <w:rPr>
            <w:rFonts w:ascii="Cambria Math" w:eastAsiaTheme="minorEastAsia" w:hAnsi="Cambria Math" w:cstheme="minorHAnsi"/>
          </w:rPr>
          <m:t xml:space="preserve"> </m:t>
        </m:r>
      </m:oMath>
      <w:r w:rsidRPr="00804562">
        <w:rPr>
          <w:rFonts w:cstheme="minorHAnsi"/>
        </w:rPr>
        <w:t>demonstrada, para cada predição individual, o desvio dos valores de Shapley de sua média, ou seja, a contribuição da i-ésima variável.</w:t>
      </w:r>
    </w:p>
    <w:p w14:paraId="46BE56AC" w14:textId="503B79BE" w:rsidR="006142EF" w:rsidRPr="00804562" w:rsidRDefault="006142EF" w:rsidP="00E857A0">
      <w:pPr>
        <w:ind w:firstLine="708"/>
        <w:jc w:val="both"/>
        <w:rPr>
          <w:rFonts w:cstheme="minorHAnsi"/>
        </w:rPr>
      </w:pPr>
      <w:r w:rsidRPr="00804562">
        <w:rPr>
          <w:rFonts w:cstheme="minorHAnsi"/>
        </w:rPr>
        <w:t xml:space="preserve">Intuitivamente, os valores de Shapley são um modelo explicativo que se aproxima localmente </w:t>
      </w:r>
      <w:r w:rsidR="00846B7A" w:rsidRPr="00804562">
        <w:rPr>
          <w:rFonts w:cstheme="minorHAnsi"/>
        </w:rPr>
        <w:t>d</w:t>
      </w:r>
      <w:r w:rsidRPr="00804562">
        <w:rPr>
          <w:rFonts w:cstheme="minorHAnsi"/>
        </w:rPr>
        <w:t xml:space="preserve">o modelo original. Sempre que </w:t>
      </w:r>
      <w:r w:rsidRPr="00804562">
        <w:rPr>
          <w:rFonts w:cstheme="minorHAnsi"/>
          <w:i/>
          <w:iCs/>
        </w:rPr>
        <w:t>x</w:t>
      </w:r>
      <w:r w:rsidRPr="00804562">
        <w:rPr>
          <w:rFonts w:cstheme="minorHAnsi"/>
        </w:rPr>
        <w:t xml:space="preserve"> for diferente de zero, o valor de Shapley também será</w:t>
      </w:r>
      <w:r w:rsidR="00846B7A" w:rsidRPr="00804562">
        <w:rPr>
          <w:rFonts w:cstheme="minorHAnsi"/>
        </w:rPr>
        <w:t xml:space="preserve"> (</w:t>
      </w:r>
      <w:r w:rsidRPr="00804562">
        <w:rPr>
          <w:rFonts w:cstheme="minorHAnsi"/>
        </w:rPr>
        <w:t xml:space="preserve">propriedade </w:t>
      </w:r>
      <w:r w:rsidRPr="00804562">
        <w:rPr>
          <w:rFonts w:cstheme="minorHAnsi"/>
          <w:i/>
          <w:iCs/>
        </w:rPr>
        <w:t>missingness</w:t>
      </w:r>
      <w:r w:rsidR="00846B7A" w:rsidRPr="00804562">
        <w:rPr>
          <w:rFonts w:cstheme="minorHAnsi"/>
          <w:i/>
          <w:iCs/>
        </w:rPr>
        <w:t>).</w:t>
      </w:r>
      <w:r w:rsidR="00846B7A" w:rsidRPr="00804562">
        <w:rPr>
          <w:rFonts w:cstheme="minorHAnsi"/>
        </w:rPr>
        <w:t xml:space="preserve"> S</w:t>
      </w:r>
      <w:r w:rsidRPr="00804562">
        <w:rPr>
          <w:rFonts w:cstheme="minorHAnsi"/>
        </w:rPr>
        <w:t xml:space="preserve">e para </w:t>
      </w:r>
      <w:r w:rsidR="00846B7A" w:rsidRPr="00804562">
        <w:rPr>
          <w:rFonts w:cstheme="minorHAnsi"/>
        </w:rPr>
        <w:t xml:space="preserve">um </w:t>
      </w:r>
      <w:r w:rsidRPr="00804562">
        <w:rPr>
          <w:rFonts w:cstheme="minorHAnsi"/>
        </w:rPr>
        <w:t>modelo diferente</w:t>
      </w:r>
      <w:r w:rsidR="00846B7A" w:rsidRPr="00804562">
        <w:rPr>
          <w:rFonts w:cstheme="minorHAnsi"/>
        </w:rPr>
        <w:t>,</w:t>
      </w:r>
      <w:r w:rsidRPr="00804562">
        <w:rPr>
          <w:rFonts w:cstheme="minorHAnsi"/>
        </w:rPr>
        <w:t xml:space="preserve"> a contribuição de uma variável </w:t>
      </w:r>
      <w:r w:rsidR="00846B7A" w:rsidRPr="00804562">
        <w:rPr>
          <w:rFonts w:cstheme="minorHAnsi"/>
        </w:rPr>
        <w:t xml:space="preserve">para a predição </w:t>
      </w:r>
      <w:r w:rsidRPr="00804562">
        <w:rPr>
          <w:rFonts w:cstheme="minorHAnsi"/>
        </w:rPr>
        <w:t xml:space="preserve">for maior, </w:t>
      </w:r>
      <w:r w:rsidR="00846B7A" w:rsidRPr="00804562">
        <w:rPr>
          <w:rFonts w:cstheme="minorHAnsi"/>
        </w:rPr>
        <w:t xml:space="preserve">então </w:t>
      </w:r>
      <w:r w:rsidRPr="00804562">
        <w:rPr>
          <w:rFonts w:cstheme="minorHAnsi"/>
        </w:rPr>
        <w:t>o valor de Shapley correspondente também será (propriedade de consistência).</w:t>
      </w:r>
    </w:p>
    <w:p w14:paraId="3F76C4BD" w14:textId="6CB3333B" w:rsidR="006142EF" w:rsidRPr="00804562" w:rsidRDefault="006142EF" w:rsidP="00E857A0">
      <w:pPr>
        <w:ind w:firstLine="708"/>
        <w:jc w:val="both"/>
        <w:rPr>
          <w:rFonts w:cstheme="minorHAnsi"/>
        </w:rPr>
      </w:pPr>
      <w:r w:rsidRPr="00804562">
        <w:rPr>
          <w:rFonts w:cstheme="minorHAnsi"/>
        </w:rPr>
        <w:t>Amb</w:t>
      </w:r>
      <w:r w:rsidR="00515E52" w:rsidRPr="00804562">
        <w:rPr>
          <w:rFonts w:cstheme="minorHAnsi"/>
        </w:rPr>
        <w:t xml:space="preserve">as as metodologias, </w:t>
      </w:r>
      <w:r w:rsidRPr="00804562">
        <w:rPr>
          <w:rFonts w:cstheme="minorHAnsi"/>
        </w:rPr>
        <w:t>LIME e SHAP</w:t>
      </w:r>
      <w:r w:rsidR="00515E52" w:rsidRPr="00804562">
        <w:rPr>
          <w:rFonts w:cstheme="minorHAnsi"/>
        </w:rPr>
        <w:t>,</w:t>
      </w:r>
      <w:r w:rsidRPr="00804562">
        <w:rPr>
          <w:rFonts w:cstheme="minorHAnsi"/>
        </w:rPr>
        <w:t xml:space="preserve"> obtêm os parâmetros para contribuição de cada </w:t>
      </w:r>
      <w:r w:rsidRPr="00804562">
        <w:rPr>
          <w:rFonts w:cstheme="minorHAnsi"/>
          <w:i/>
          <w:iCs/>
        </w:rPr>
        <w:t>feature</w:t>
      </w:r>
      <w:r w:rsidRPr="00804562">
        <w:rPr>
          <w:rFonts w:cstheme="minorHAnsi"/>
        </w:rPr>
        <w:t xml:space="preserve"> em cada observação (explicação local). Entretanto, eles diferem no algoritmo que leva a tal resultado. A fim de ver qual abordagem é melhor para detectar a contribuição das variáveis no nível local, tentamos uma abordagem não supervisionada e verificamos se é possível agrupar observações empregando uma matriz de dissimilaridade construída sobre pesos LIME e valores SHAP, empregando a distância euclidiana padronizada como o base para agrupamento.</w:t>
      </w:r>
    </w:p>
    <w:p w14:paraId="0F6BEF57" w14:textId="77777777" w:rsidR="008B44AF" w:rsidRPr="00804562" w:rsidRDefault="008B44AF" w:rsidP="00D82F60">
      <w:pPr>
        <w:rPr>
          <w:rFonts w:cstheme="minorHAnsi"/>
        </w:rPr>
      </w:pPr>
    </w:p>
    <w:p w14:paraId="3C524EFB" w14:textId="600CA0EC" w:rsidR="008B44AF" w:rsidRPr="00F53EBD" w:rsidRDefault="00F53EBD" w:rsidP="00D82F60">
      <w:pPr>
        <w:rPr>
          <w:rFonts w:cstheme="minorHAnsi"/>
          <w:b/>
          <w:bCs/>
        </w:rPr>
      </w:pPr>
      <w:r w:rsidRPr="00F53EBD">
        <w:rPr>
          <w:rFonts w:cstheme="minorHAnsi"/>
          <w:b/>
          <w:bCs/>
        </w:rPr>
        <w:t>Feature Importance</w:t>
      </w:r>
    </w:p>
    <w:p w14:paraId="053DFCDC" w14:textId="361A3321" w:rsidR="00456DDA" w:rsidRPr="00804562" w:rsidRDefault="00456DDA" w:rsidP="00360636">
      <w:pPr>
        <w:rPr>
          <w:rFonts w:cstheme="minorHAnsi"/>
        </w:rPr>
      </w:pPr>
    </w:p>
    <w:p w14:paraId="40410322" w14:textId="77777777" w:rsidR="00F53EBD" w:rsidRDefault="00F53EBD" w:rsidP="00F53EBD">
      <w:pPr>
        <w:jc w:val="both"/>
      </w:pPr>
      <w:r>
        <w:t>A importância das entradas do modelo (</w:t>
      </w:r>
      <w:r>
        <w:rPr>
          <w:i/>
          <w:iCs/>
        </w:rPr>
        <w:t>f</w:t>
      </w:r>
      <w:r w:rsidRPr="00506B83">
        <w:rPr>
          <w:i/>
          <w:iCs/>
        </w:rPr>
        <w:t>eature importance</w:t>
      </w:r>
      <w:r>
        <w:t>) atribui um escore cada uma das entradas (</w:t>
      </w:r>
      <w:r w:rsidRPr="00506B83">
        <w:rPr>
          <w:i/>
          <w:iCs/>
        </w:rPr>
        <w:t>inputs</w:t>
      </w:r>
      <w:r>
        <w:t>), com base em sua importância para prever as saídas (</w:t>
      </w:r>
      <w:r w:rsidRPr="00506B83">
        <w:rPr>
          <w:i/>
          <w:iCs/>
        </w:rPr>
        <w:t>outputs</w:t>
      </w:r>
      <w:r w:rsidRPr="00506B83">
        <w:t>)</w:t>
      </w:r>
      <w:r>
        <w:t xml:space="preserve">. Uma das formas de obter a </w:t>
      </w:r>
      <w:r>
        <w:rPr>
          <w:i/>
          <w:iCs/>
        </w:rPr>
        <w:t>f</w:t>
      </w:r>
      <w:r w:rsidRPr="00506B83">
        <w:rPr>
          <w:i/>
          <w:iCs/>
        </w:rPr>
        <w:t>eature importance</w:t>
      </w:r>
      <w:r>
        <w:t xml:space="preserve"> é através do método de permutação de variáveis. </w:t>
      </w:r>
    </w:p>
    <w:p w14:paraId="1922103D" w14:textId="77777777" w:rsidR="00F53EBD" w:rsidRDefault="00F53EBD" w:rsidP="00F53EBD">
      <w:pPr>
        <w:pStyle w:val="PargrafodaLista"/>
        <w:numPr>
          <w:ilvl w:val="0"/>
          <w:numId w:val="8"/>
        </w:numPr>
        <w:jc w:val="both"/>
      </w:pPr>
      <w:r w:rsidRPr="00F53EBD">
        <w:rPr>
          <w:b/>
          <w:bCs/>
        </w:rPr>
        <w:lastRenderedPageBreak/>
        <w:t>Passo 1</w:t>
      </w:r>
      <w:r>
        <w:t xml:space="preserve">: Escolher aleatoriamente uma variável (entrada), ordenar aleatoriamente os valores desta variável, e realizar as previsões utilizando todas as demais </w:t>
      </w:r>
      <w:r w:rsidRPr="00F53EBD">
        <w:rPr>
          <w:i/>
          <w:iCs/>
        </w:rPr>
        <w:t xml:space="preserve">features </w:t>
      </w:r>
      <w:r>
        <w:t xml:space="preserve">originais juntamente com a </w:t>
      </w:r>
      <w:r w:rsidRPr="00F53EBD">
        <w:rPr>
          <w:i/>
          <w:iCs/>
        </w:rPr>
        <w:t>feature</w:t>
      </w:r>
      <w:r>
        <w:t xml:space="preserve"> embaralhada. </w:t>
      </w:r>
    </w:p>
    <w:p w14:paraId="4AD5A251" w14:textId="77777777" w:rsidR="00F53EBD" w:rsidRDefault="00F53EBD" w:rsidP="00F53EBD">
      <w:pPr>
        <w:pStyle w:val="PargrafodaLista"/>
        <w:numPr>
          <w:ilvl w:val="0"/>
          <w:numId w:val="8"/>
        </w:numPr>
        <w:jc w:val="both"/>
      </w:pPr>
      <w:r w:rsidRPr="00F53EBD">
        <w:rPr>
          <w:b/>
          <w:bCs/>
        </w:rPr>
        <w:t>Passo 2</w:t>
      </w:r>
      <w:r>
        <w:t xml:space="preserve">: Utilizar uma função de </w:t>
      </w:r>
      <w:r w:rsidRPr="00506B83">
        <w:t xml:space="preserve">perda </w:t>
      </w:r>
      <w:r>
        <w:t xml:space="preserve">para comparar a </w:t>
      </w:r>
      <w:r w:rsidRPr="00506B83">
        <w:t>variabilidade entre a</w:t>
      </w:r>
      <w:r>
        <w:t>s</w:t>
      </w:r>
      <w:r w:rsidRPr="00506B83">
        <w:t xml:space="preserve"> saída</w:t>
      </w:r>
      <w:r>
        <w:t>s</w:t>
      </w:r>
      <w:r w:rsidRPr="00506B83">
        <w:t xml:space="preserve"> prevista</w:t>
      </w:r>
      <w:r>
        <w:t>s</w:t>
      </w:r>
      <w:r w:rsidRPr="00506B83">
        <w:t xml:space="preserve"> </w:t>
      </w:r>
      <w:r>
        <w:t xml:space="preserve">utilizando a </w:t>
      </w:r>
      <w:r w:rsidRPr="00F53EBD">
        <w:rPr>
          <w:i/>
          <w:iCs/>
        </w:rPr>
        <w:t>feature</w:t>
      </w:r>
      <w:r>
        <w:t xml:space="preserve"> embaralhada e a </w:t>
      </w:r>
      <w:r w:rsidRPr="00F53EBD">
        <w:rPr>
          <w:i/>
          <w:iCs/>
        </w:rPr>
        <w:t>feature</w:t>
      </w:r>
      <w:r>
        <w:t xml:space="preserve"> original</w:t>
      </w:r>
      <w:r w:rsidRPr="00506B83">
        <w:t>.</w:t>
      </w:r>
    </w:p>
    <w:p w14:paraId="00C0D313" w14:textId="77777777" w:rsidR="00F53EBD" w:rsidRPr="00506B83" w:rsidRDefault="00F53EBD" w:rsidP="00F53EBD">
      <w:pPr>
        <w:pStyle w:val="PargrafodaLista"/>
        <w:numPr>
          <w:ilvl w:val="0"/>
          <w:numId w:val="8"/>
        </w:numPr>
        <w:jc w:val="both"/>
      </w:pPr>
      <w:r w:rsidRPr="00F53EBD">
        <w:rPr>
          <w:b/>
          <w:bCs/>
        </w:rPr>
        <w:t>Passo 3</w:t>
      </w:r>
      <w:r>
        <w:t xml:space="preserve">: Retorna a </w:t>
      </w:r>
      <w:r w:rsidRPr="00F53EBD">
        <w:rPr>
          <w:i/>
          <w:iCs/>
        </w:rPr>
        <w:t>feature</w:t>
      </w:r>
      <w:r>
        <w:t xml:space="preserve"> para sua forma original, e seleciona aleatoriamente uma nova </w:t>
      </w:r>
      <w:r w:rsidRPr="00F53EBD">
        <w:rPr>
          <w:i/>
          <w:iCs/>
        </w:rPr>
        <w:t>feature</w:t>
      </w:r>
      <w:r>
        <w:t xml:space="preserve"> para ser embaralhada</w:t>
      </w:r>
      <w:r w:rsidRPr="00506B83">
        <w:t>.</w:t>
      </w:r>
    </w:p>
    <w:p w14:paraId="006E249F" w14:textId="19FFF002" w:rsidR="00F53EBD" w:rsidRDefault="00F53EBD" w:rsidP="00F53EBD">
      <w:pPr>
        <w:pStyle w:val="PargrafodaLista"/>
        <w:numPr>
          <w:ilvl w:val="0"/>
          <w:numId w:val="8"/>
        </w:numPr>
        <w:jc w:val="both"/>
      </w:pPr>
      <w:r w:rsidRPr="00F53EBD">
        <w:rPr>
          <w:b/>
          <w:bCs/>
        </w:rPr>
        <w:t>Passo 4</w:t>
      </w:r>
      <w:r>
        <w:t>: Repete os passos 1 a 3 para todas as entradas do algoritmo</w:t>
      </w:r>
      <w:r w:rsidRPr="00506B83">
        <w:t>.</w:t>
      </w:r>
    </w:p>
    <w:p w14:paraId="1C7F9B64" w14:textId="1CCD33AB" w:rsidR="00F53EBD" w:rsidRPr="00506B83" w:rsidRDefault="00F53EBD" w:rsidP="00F53EBD">
      <w:pPr>
        <w:pStyle w:val="PargrafodaLista"/>
        <w:numPr>
          <w:ilvl w:val="0"/>
          <w:numId w:val="8"/>
        </w:numPr>
        <w:jc w:val="both"/>
      </w:pPr>
      <w:r w:rsidRPr="00F53EBD">
        <w:rPr>
          <w:b/>
          <w:bCs/>
        </w:rPr>
        <w:t>Passo 5</w:t>
      </w:r>
      <w:r w:rsidRPr="00413EC9">
        <w:t>: A</w:t>
      </w:r>
      <w:r>
        <w:t xml:space="preserve">s importâncias das </w:t>
      </w:r>
      <w:r w:rsidRPr="00413EC9">
        <w:t>entradas</w:t>
      </w:r>
      <w:r w:rsidRPr="00F53EBD">
        <w:rPr>
          <w:i/>
          <w:iCs/>
        </w:rPr>
        <w:t xml:space="preserve"> </w:t>
      </w:r>
      <w:r>
        <w:t>(</w:t>
      </w:r>
      <w:r w:rsidRPr="00F53EBD">
        <w:rPr>
          <w:i/>
          <w:iCs/>
        </w:rPr>
        <w:t>feature importance</w:t>
      </w:r>
      <w:r>
        <w:t xml:space="preserve">) são calculadas </w:t>
      </w:r>
      <w:r w:rsidRPr="00413EC9">
        <w:t xml:space="preserve">comparando </w:t>
      </w:r>
      <w:r>
        <w:t xml:space="preserve">o escore da </w:t>
      </w:r>
      <w:r w:rsidRPr="00F53EBD">
        <w:rPr>
          <w:i/>
          <w:iCs/>
        </w:rPr>
        <w:t>feature</w:t>
      </w:r>
      <w:r>
        <w:t xml:space="preserve"> original em cada um dos sorteios das demais variáveis</w:t>
      </w:r>
      <w:r w:rsidRPr="00413EC9">
        <w:t xml:space="preserve"> com </w:t>
      </w:r>
      <w:r>
        <w:t xml:space="preserve">o escore médio desta mesma </w:t>
      </w:r>
      <w:r w:rsidRPr="00F53EBD">
        <w:rPr>
          <w:i/>
          <w:iCs/>
        </w:rPr>
        <w:t>feature</w:t>
      </w:r>
      <w:r>
        <w:t xml:space="preserve"> aleatorizada</w:t>
      </w:r>
      <w:r w:rsidRPr="00413EC9">
        <w:t>.</w:t>
      </w:r>
    </w:p>
    <w:p w14:paraId="66791012" w14:textId="278E5357" w:rsidR="00F53EBD" w:rsidRDefault="00F53EBD" w:rsidP="00F53EBD">
      <w:pPr>
        <w:ind w:firstLine="360"/>
        <w:jc w:val="both"/>
      </w:pPr>
      <w:r>
        <w:t xml:space="preserve">Uma </w:t>
      </w:r>
      <w:r>
        <w:rPr>
          <w:i/>
          <w:iCs/>
        </w:rPr>
        <w:t>f</w:t>
      </w:r>
      <w:r w:rsidRPr="00506B83">
        <w:rPr>
          <w:i/>
          <w:iCs/>
        </w:rPr>
        <w:t xml:space="preserve">eature </w:t>
      </w:r>
      <w:r w:rsidRPr="00413EC9">
        <w:t xml:space="preserve">é “sem importância” </w:t>
      </w:r>
      <w:r>
        <w:t xml:space="preserve">a previsão do </w:t>
      </w:r>
      <w:r w:rsidRPr="00413EC9">
        <w:t xml:space="preserve">modelo </w:t>
      </w:r>
      <w:r>
        <w:t xml:space="preserve">permanece </w:t>
      </w:r>
      <w:r w:rsidRPr="00413EC9">
        <w:t>inalterad</w:t>
      </w:r>
      <w:r>
        <w:t>a quando embaralhamos os valores desta feature</w:t>
      </w:r>
      <w:r w:rsidRPr="00413EC9">
        <w:t xml:space="preserve">. A </w:t>
      </w:r>
      <w:r w:rsidRPr="00F53EBD">
        <w:rPr>
          <w:i/>
          <w:iCs/>
        </w:rPr>
        <w:t>feature importance</w:t>
      </w:r>
      <w:r w:rsidRPr="00413EC9">
        <w:t xml:space="preserve"> foi introduzida </w:t>
      </w:r>
      <w:r>
        <w:t xml:space="preserve">inicialmente </w:t>
      </w:r>
      <w:r w:rsidRPr="00413EC9">
        <w:t xml:space="preserve">por Breiman (2001) para </w:t>
      </w:r>
      <w:r>
        <w:t xml:space="preserve">o algoritmo </w:t>
      </w:r>
      <w:r w:rsidRPr="00881BAB">
        <w:rPr>
          <w:i/>
          <w:iCs/>
        </w:rPr>
        <w:t>random forest</w:t>
      </w:r>
      <w:r>
        <w:t xml:space="preserve">, sendo posteriormente generalizada por Aaron </w:t>
      </w:r>
      <w:r w:rsidRPr="00881BAB">
        <w:rPr>
          <w:i/>
          <w:iCs/>
        </w:rPr>
        <w:t>et al</w:t>
      </w:r>
      <w:r>
        <w:rPr>
          <w:i/>
          <w:iCs/>
        </w:rPr>
        <w:t>.</w:t>
      </w:r>
      <w:r w:rsidRPr="00413EC9">
        <w:t xml:space="preserve"> (2018)</w:t>
      </w:r>
      <w:r>
        <w:t xml:space="preserve">, os quais elaboraram </w:t>
      </w:r>
      <w:r w:rsidRPr="00413EC9">
        <w:t xml:space="preserve">uma versão </w:t>
      </w:r>
      <w:r>
        <w:t>“</w:t>
      </w:r>
      <w:r w:rsidRPr="00413EC9">
        <w:t>agnóstica</w:t>
      </w:r>
      <w:r>
        <w:t>”</w:t>
      </w:r>
      <w:r w:rsidRPr="00413EC9">
        <w:t xml:space="preserve"> da </w:t>
      </w:r>
      <w:r>
        <w:rPr>
          <w:i/>
          <w:iCs/>
        </w:rPr>
        <w:t>f</w:t>
      </w:r>
      <w:r w:rsidRPr="00506B83">
        <w:rPr>
          <w:i/>
          <w:iCs/>
        </w:rPr>
        <w:t>eature importance</w:t>
      </w:r>
      <w:r>
        <w:t xml:space="preserve">, a qual os autores denominaram </w:t>
      </w:r>
      <w:r w:rsidRPr="00413EC9">
        <w:t xml:space="preserve">de </w:t>
      </w:r>
      <w:r>
        <w:t>“</w:t>
      </w:r>
      <w:r w:rsidRPr="00413EC9">
        <w:t>confiança no modelo</w:t>
      </w:r>
      <w:r>
        <w:t>” (</w:t>
      </w:r>
      <w:r w:rsidRPr="00881BAB">
        <w:rPr>
          <w:i/>
          <w:iCs/>
        </w:rPr>
        <w:t>model reliance</w:t>
      </w:r>
      <w:r>
        <w:t>)</w:t>
      </w:r>
      <w:r w:rsidRPr="00413EC9">
        <w:t xml:space="preserve">. </w:t>
      </w:r>
    </w:p>
    <w:p w14:paraId="4D6A71B2" w14:textId="77777777" w:rsidR="00F53EBD" w:rsidRDefault="00F53EBD" w:rsidP="00F53EBD"/>
    <w:p w14:paraId="4D13A267" w14:textId="5AB7D48A" w:rsidR="00B3707D" w:rsidRPr="008A6993" w:rsidRDefault="008A6993" w:rsidP="008A6993">
      <w:pPr>
        <w:pStyle w:val="PargrafodaLista"/>
        <w:numPr>
          <w:ilvl w:val="0"/>
          <w:numId w:val="6"/>
        </w:numPr>
        <w:rPr>
          <w:b/>
          <w:bCs/>
        </w:rPr>
      </w:pPr>
      <w:r w:rsidRPr="008A6993">
        <w:rPr>
          <w:b/>
          <w:bCs/>
        </w:rPr>
        <w:t>Spread Bancário</w:t>
      </w:r>
    </w:p>
    <w:p w14:paraId="799D2E86" w14:textId="77777777" w:rsidR="008A6993" w:rsidRDefault="008A6993" w:rsidP="008A6993">
      <w:pPr>
        <w:ind w:firstLine="708"/>
        <w:jc w:val="both"/>
        <w:rPr>
          <w:sz w:val="24"/>
          <w:szCs w:val="24"/>
        </w:rPr>
      </w:pPr>
      <w:r>
        <w:rPr>
          <w:sz w:val="24"/>
          <w:szCs w:val="24"/>
        </w:rPr>
        <w:t>Visando o monitoramento de tendências de mercado e da eficiência dos bancos a literatura tem se ocupado em entender quais os determinantes do spread bancário. Spreads bancários muito altos podem refletir um ambiente bancário regulatório inadequado. Uma preocupação é quanto a cobrança de taxas de juros injustas e inacessíveis aos consumidores e empresas (</w:t>
      </w:r>
      <w:bookmarkStart w:id="3" w:name="_Hlk89424634"/>
      <w:r>
        <w:rPr>
          <w:sz w:val="24"/>
          <w:szCs w:val="24"/>
        </w:rPr>
        <w:t>Hawtreya &amp; Liang, 2008</w:t>
      </w:r>
      <w:bookmarkEnd w:id="3"/>
      <w:r>
        <w:rPr>
          <w:sz w:val="24"/>
          <w:szCs w:val="24"/>
        </w:rPr>
        <w:t xml:space="preserve">). Desta forma, o Banco Nacional de Desenvolvimento Econômico e Social (BNDES) têm manifestado sua preocupação em relação a adequação dos spreads cobrados em operações que utilizam recursos subsidiados, seja elas diretas ou indiretas (BNDES, 2018). Da mesma forma, algumas iniciativas do Banco Central do Brasil têm procurado incentivar diminuição dos </w:t>
      </w:r>
      <w:r>
        <w:rPr>
          <w:i/>
          <w:iCs/>
          <w:sz w:val="24"/>
          <w:szCs w:val="24"/>
        </w:rPr>
        <w:t>spreads</w:t>
      </w:r>
      <w:r>
        <w:rPr>
          <w:sz w:val="24"/>
          <w:szCs w:val="24"/>
        </w:rPr>
        <w:t xml:space="preserve"> bancários através do aumento da competição de mercado (Dantas, </w:t>
      </w:r>
      <w:r>
        <w:rPr>
          <w:i/>
          <w:iCs/>
          <w:sz w:val="24"/>
          <w:szCs w:val="24"/>
        </w:rPr>
        <w:t>et al.</w:t>
      </w:r>
      <w:r>
        <w:rPr>
          <w:sz w:val="24"/>
          <w:szCs w:val="24"/>
        </w:rPr>
        <w:t>, 2011).</w:t>
      </w:r>
    </w:p>
    <w:p w14:paraId="1E0ED5D3" w14:textId="77777777" w:rsidR="008A6993" w:rsidRDefault="008A6993" w:rsidP="008A6993">
      <w:pPr>
        <w:ind w:firstLine="708"/>
        <w:jc w:val="both"/>
        <w:rPr>
          <w:sz w:val="24"/>
          <w:szCs w:val="24"/>
        </w:rPr>
      </w:pPr>
      <w:r>
        <w:rPr>
          <w:sz w:val="24"/>
          <w:szCs w:val="24"/>
        </w:rPr>
        <w:t>As equações de formação do spread no nível macro de Hawtreya &amp; Liang (2008), consideram a concentração de mercado, aversão ao risco e tamanho do mercado como os principais determinantes do spread bancário:</w:t>
      </w:r>
    </w:p>
    <w:p w14:paraId="3A2DBEF8" w14:textId="77777777" w:rsidR="008A6993" w:rsidRDefault="008A6993" w:rsidP="008A6993">
      <w:pPr>
        <w:ind w:firstLine="708"/>
        <w:jc w:val="both"/>
        <w:rPr>
          <w:sz w:val="24"/>
          <w:szCs w:val="24"/>
        </w:rPr>
      </w:pPr>
      <m:oMathPara>
        <m:oMath>
          <m:r>
            <w:rPr>
              <w:rFonts w:ascii="Cambria Math" w:hAnsi="Cambria Math"/>
              <w:sz w:val="24"/>
              <w:szCs w:val="24"/>
            </w:rPr>
            <m:t>s=</m:t>
          </m:r>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r>
            <w:rPr>
              <w:rFonts w:ascii="Cambria Math" w:hAnsi="Cambria Math"/>
              <w:sz w:val="24"/>
              <w:szCs w:val="24"/>
            </w:rPr>
            <m:t>+</m:t>
          </m:r>
          <m:f>
            <m:fPr>
              <m:ctrlPr>
                <w:rPr>
                  <w:rFonts w:ascii="Cambria Math" w:hAnsi="Cambria Math"/>
                  <w:i/>
                  <w:sz w:val="24"/>
                  <w:szCs w:val="24"/>
                  <w:lang w:bidi="ar-SA"/>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R </m:t>
          </m:r>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 xml:space="preserve"> Q</m:t>
          </m:r>
        </m:oMath>
      </m:oMathPara>
    </w:p>
    <w:p w14:paraId="0803F63B" w14:textId="77777777" w:rsidR="008A6993" w:rsidRDefault="008A6993" w:rsidP="008A6993">
      <w:pPr>
        <w:jc w:val="both"/>
        <w:rPr>
          <w:sz w:val="24"/>
          <w:szCs w:val="24"/>
        </w:rPr>
      </w:pPr>
      <w:r>
        <w:rPr>
          <w:sz w:val="24"/>
          <w:szCs w:val="24"/>
        </w:rPr>
        <w:t xml:space="preserve">onde, </w:t>
      </w:r>
    </w:p>
    <w:p w14:paraId="1B09E983" w14:textId="77777777" w:rsidR="008A6993" w:rsidRDefault="008A6993" w:rsidP="008A6993">
      <w:pPr>
        <w:jc w:val="both"/>
        <w:rPr>
          <w:rFonts w:eastAsiaTheme="minorEastAsia"/>
          <w:sz w:val="24"/>
          <w:szCs w:val="24"/>
        </w:rPr>
      </w:pPr>
      <w:r>
        <w:rPr>
          <w:rFonts w:eastAsiaTheme="minorEastAsia"/>
          <w:i/>
          <w:iCs/>
          <w:sz w:val="24"/>
          <w:szCs w:val="24"/>
        </w:rPr>
        <w:t>s</w:t>
      </w:r>
      <w:r>
        <w:rPr>
          <w:rFonts w:eastAsiaTheme="minorEastAsia"/>
          <w:sz w:val="24"/>
          <w:szCs w:val="24"/>
        </w:rPr>
        <w:t>: spread</w:t>
      </w:r>
    </w:p>
    <w:p w14:paraId="66500348" w14:textId="77777777" w:rsidR="008A6993" w:rsidRDefault="00000000" w:rsidP="008A6993">
      <w:pPr>
        <w:jc w:val="both"/>
        <w:rPr>
          <w:rFonts w:eastAsiaTheme="minorEastAsia"/>
          <w:sz w:val="24"/>
          <w:szCs w:val="24"/>
        </w:rPr>
      </w:pPr>
      <m:oMath>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oMath>
      <w:r w:rsidR="008A6993">
        <w:rPr>
          <w:rFonts w:eastAsiaTheme="minorEastAsia"/>
          <w:sz w:val="24"/>
          <w:szCs w:val="24"/>
        </w:rPr>
        <w:t>: concentração de mercado</w:t>
      </w:r>
    </w:p>
    <w:p w14:paraId="269ABFF1" w14:textId="77777777" w:rsidR="008A6993" w:rsidRDefault="008A6993" w:rsidP="008A6993">
      <w:pPr>
        <w:jc w:val="both"/>
        <w:rPr>
          <w:rFonts w:eastAsiaTheme="minorEastAsia"/>
          <w:sz w:val="24"/>
          <w:szCs w:val="24"/>
        </w:rPr>
      </w:pPr>
      <w:r>
        <w:rPr>
          <w:rFonts w:eastAsiaTheme="minorEastAsia"/>
          <w:i/>
          <w:iCs/>
          <w:sz w:val="24"/>
          <w:szCs w:val="24"/>
        </w:rPr>
        <w:t>R</w:t>
      </w:r>
      <w:r>
        <w:rPr>
          <w:rFonts w:eastAsiaTheme="minorEastAsia"/>
          <w:sz w:val="24"/>
          <w:szCs w:val="24"/>
        </w:rPr>
        <w:t>: taxa de aversão ao risco</w:t>
      </w:r>
    </w:p>
    <w:p w14:paraId="19C251C7" w14:textId="77777777" w:rsidR="008A6993" w:rsidRDefault="00000000" w:rsidP="008A6993">
      <w:pPr>
        <w:jc w:val="both"/>
        <w:rPr>
          <w:rFonts w:eastAsiaTheme="minorEastAsia"/>
          <w:sz w:val="24"/>
          <w:szCs w:val="24"/>
        </w:rPr>
      </w:pPr>
      <m:oMath>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sidR="008A6993">
        <w:rPr>
          <w:rFonts w:eastAsiaTheme="minorEastAsia"/>
          <w:sz w:val="24"/>
          <w:szCs w:val="24"/>
        </w:rPr>
        <w:t>: variância da taxa de juros da economia</w:t>
      </w:r>
    </w:p>
    <w:p w14:paraId="4EC7EEDF" w14:textId="77777777" w:rsidR="008A6993" w:rsidRDefault="008A6993" w:rsidP="008A6993">
      <w:pPr>
        <w:jc w:val="both"/>
        <w:rPr>
          <w:rFonts w:eastAsiaTheme="minorEastAsia"/>
          <w:sz w:val="24"/>
          <w:szCs w:val="24"/>
        </w:rPr>
      </w:pPr>
      <w:r>
        <w:rPr>
          <w:rFonts w:eastAsiaTheme="minorEastAsia"/>
          <w:i/>
          <w:iCs/>
          <w:sz w:val="24"/>
          <w:szCs w:val="24"/>
        </w:rPr>
        <w:t>Q</w:t>
      </w:r>
      <w:r>
        <w:rPr>
          <w:rFonts w:eastAsiaTheme="minorEastAsia"/>
          <w:sz w:val="24"/>
          <w:szCs w:val="24"/>
        </w:rPr>
        <w:t>: Tamanho das transações bancárias.</w:t>
      </w:r>
    </w:p>
    <w:p w14:paraId="6723C7F6" w14:textId="77777777" w:rsidR="008A6993" w:rsidRDefault="008A6993" w:rsidP="008A6993">
      <w:pPr>
        <w:ind w:firstLine="708"/>
        <w:jc w:val="both"/>
        <w:rPr>
          <w:sz w:val="24"/>
          <w:szCs w:val="24"/>
        </w:rPr>
      </w:pPr>
      <w:r>
        <w:rPr>
          <w:sz w:val="24"/>
          <w:szCs w:val="24"/>
        </w:rPr>
        <w:lastRenderedPageBreak/>
        <w:t>O aumento da concentração de mercado estaria associado ao aumento do spread bancário. O efeito da aversão ao risco (</w:t>
      </w:r>
      <w:r>
        <w:rPr>
          <w:i/>
          <w:iCs/>
          <w:sz w:val="24"/>
          <w:szCs w:val="24"/>
        </w:rPr>
        <w:t>R</w:t>
      </w:r>
      <w:r>
        <w:rPr>
          <w:sz w:val="24"/>
          <w:szCs w:val="24"/>
        </w:rPr>
        <w:t>) sobre o spread dependeria também dos movimentos simultâneos na volatilidade da taxa de juros da economia (</w:t>
      </w:r>
      <m:oMath>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oMath>
      <w:r>
        <w:rPr>
          <w:sz w:val="24"/>
          <w:szCs w:val="24"/>
        </w:rPr>
        <w:t>) e do tamanho do mercado (</w:t>
      </w:r>
      <w:r>
        <w:rPr>
          <w:i/>
          <w:iCs/>
          <w:sz w:val="24"/>
          <w:szCs w:val="24"/>
        </w:rPr>
        <w:t>Q</w:t>
      </w:r>
      <w:r>
        <w:rPr>
          <w:sz w:val="24"/>
          <w:szCs w:val="24"/>
        </w:rPr>
        <w:t xml:space="preserve">). Entretanto, de forma geral, uma maior aversão ao risco resultaria e maiores spreads bancários. </w:t>
      </w:r>
    </w:p>
    <w:p w14:paraId="62BB183C" w14:textId="77777777" w:rsidR="008A6993" w:rsidRDefault="008A6993" w:rsidP="008A6993">
      <w:pPr>
        <w:ind w:firstLine="708"/>
        <w:jc w:val="both"/>
        <w:rPr>
          <w:sz w:val="24"/>
          <w:szCs w:val="24"/>
        </w:rPr>
      </w:pPr>
      <w:r>
        <w:rPr>
          <w:sz w:val="24"/>
          <w:szCs w:val="24"/>
        </w:rPr>
        <w:t>Subtraindo a concentração de mercado dos dois lados da equação e aplicando logaritmo natural temos:</w:t>
      </w:r>
    </w:p>
    <w:p w14:paraId="3E9D96E8" w14:textId="77777777" w:rsidR="008A6993" w:rsidRDefault="008A6993" w:rsidP="008A6993">
      <w:pPr>
        <w:ind w:firstLine="708"/>
        <w:jc w:val="both"/>
        <w:rPr>
          <w:sz w:val="24"/>
          <w:szCs w:val="24"/>
        </w:rPr>
      </w:pPr>
      <m:oMathPara>
        <m:oMath>
          <m:r>
            <w:rPr>
              <w:rFonts w:ascii="Cambria Math" w:hAnsi="Cambria Math"/>
              <w:sz w:val="24"/>
              <w:szCs w:val="24"/>
            </w:rPr>
            <m:t>s-</m:t>
          </m:r>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r>
            <w:rPr>
              <w:rFonts w:ascii="Cambria Math" w:hAnsi="Cambria Math"/>
              <w:sz w:val="24"/>
              <w:szCs w:val="24"/>
            </w:rPr>
            <m:t>=</m:t>
          </m:r>
          <m:f>
            <m:fPr>
              <m:ctrlPr>
                <w:rPr>
                  <w:rFonts w:ascii="Cambria Math" w:hAnsi="Cambria Math"/>
                  <w:i/>
                  <w:sz w:val="24"/>
                  <w:szCs w:val="24"/>
                  <w:lang w:bidi="ar-SA"/>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R </m:t>
          </m:r>
          <m:sSubSup>
            <m:sSubSupPr>
              <m:ctrlPr>
                <w:rPr>
                  <w:rFonts w:ascii="Cambria Math" w:hAnsi="Cambria Math"/>
                  <w:i/>
                  <w:sz w:val="24"/>
                  <w:szCs w:val="24"/>
                  <w:lang w:bidi="ar-SA"/>
                </w:rPr>
              </m:ctrlPr>
            </m:sSubSupPr>
            <m:e>
              <m:r>
                <w:rPr>
                  <w:rFonts w:ascii="Cambria Math" w:hAnsi="Cambria Math"/>
                  <w:sz w:val="24"/>
                  <w:szCs w:val="24"/>
                </w:rPr>
                <m:t>σ</m:t>
              </m:r>
            </m:e>
            <m:sub>
              <m:r>
                <w:rPr>
                  <w:rFonts w:ascii="Cambria Math" w:hAnsi="Cambria Math"/>
                  <w:sz w:val="24"/>
                  <w:szCs w:val="24"/>
                </w:rPr>
                <m:t>I</m:t>
              </m:r>
            </m:sub>
            <m:sup>
              <m:r>
                <w:rPr>
                  <w:rFonts w:ascii="Cambria Math" w:hAnsi="Cambria Math"/>
                  <w:sz w:val="24"/>
                  <w:szCs w:val="24"/>
                </w:rPr>
                <m:t>2</m:t>
              </m:r>
            </m:sup>
          </m:sSubSup>
          <m:r>
            <w:rPr>
              <w:rFonts w:ascii="Cambria Math" w:hAnsi="Cambria Math"/>
              <w:sz w:val="24"/>
              <w:szCs w:val="24"/>
            </w:rPr>
            <m:t xml:space="preserve"> Q</m:t>
          </m:r>
        </m:oMath>
      </m:oMathPara>
    </w:p>
    <w:p w14:paraId="3EB30558" w14:textId="77777777" w:rsidR="008A6993" w:rsidRDefault="00000000" w:rsidP="008A6993">
      <w:pPr>
        <w:jc w:val="both"/>
        <w:rPr>
          <w:sz w:val="24"/>
          <w:szCs w:val="24"/>
        </w:rPr>
      </w:pPr>
      <m:oMathPara>
        <m:oMath>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s-</m:t>
                  </m:r>
                  <m:f>
                    <m:fPr>
                      <m:ctrlPr>
                        <w:rPr>
                          <w:rFonts w:ascii="Cambria Math" w:hAnsi="Cambria Math"/>
                          <w:i/>
                          <w:sz w:val="24"/>
                          <w:szCs w:val="24"/>
                          <w:lang w:bidi="ar-SA"/>
                        </w:rPr>
                      </m:ctrlPr>
                    </m:fPr>
                    <m:num>
                      <m:r>
                        <w:rPr>
                          <w:rFonts w:ascii="Cambria Math" w:hAnsi="Cambria Math"/>
                          <w:sz w:val="24"/>
                          <w:szCs w:val="24"/>
                        </w:rPr>
                        <m:t>α</m:t>
                      </m:r>
                    </m:num>
                    <m:den>
                      <m:r>
                        <w:rPr>
                          <w:rFonts w:ascii="Cambria Math" w:hAnsi="Cambria Math"/>
                          <w:sz w:val="24"/>
                          <w:szCs w:val="24"/>
                        </w:rPr>
                        <m:t>β</m:t>
                      </m:r>
                    </m:den>
                  </m:f>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f>
                    <m:fPr>
                      <m:ctrlPr>
                        <w:rPr>
                          <w:rFonts w:ascii="Cambria Math" w:hAnsi="Cambria Math"/>
                          <w:i/>
                          <w:sz w:val="24"/>
                          <w:szCs w:val="24"/>
                          <w:lang w:bidi="ar-SA"/>
                        </w:rPr>
                      </m:ctrlPr>
                    </m:fPr>
                    <m:num>
                      <m:r>
                        <w:rPr>
                          <w:rFonts w:ascii="Cambria Math" w:hAnsi="Cambria Math"/>
                          <w:sz w:val="24"/>
                          <w:szCs w:val="24"/>
                        </w:rPr>
                        <m:t>1</m:t>
                      </m:r>
                    </m:num>
                    <m:den>
                      <m:r>
                        <w:rPr>
                          <w:rFonts w:ascii="Cambria Math" w:hAnsi="Cambria Math"/>
                          <w:sz w:val="24"/>
                          <w:szCs w:val="24"/>
                        </w:rPr>
                        <m:t>2</m:t>
                      </m:r>
                    </m:den>
                  </m:f>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R</m:t>
                  </m:r>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2 ln</m:t>
              </m:r>
            </m:fName>
            <m:e>
              <m:d>
                <m:dPr>
                  <m:ctrlPr>
                    <w:rPr>
                      <w:rFonts w:ascii="Cambria Math" w:hAnsi="Cambria Math"/>
                      <w:i/>
                      <w:sz w:val="24"/>
                      <w:szCs w:val="24"/>
                      <w:lang w:bidi="ar-SA"/>
                    </w:rPr>
                  </m:ctrlPr>
                </m:dPr>
                <m:e>
                  <m:sSub>
                    <m:sSubPr>
                      <m:ctrlPr>
                        <w:rPr>
                          <w:rFonts w:ascii="Cambria Math" w:hAnsi="Cambria Math"/>
                          <w:i/>
                          <w:sz w:val="24"/>
                          <w:szCs w:val="24"/>
                          <w:lang w:bidi="ar-SA"/>
                        </w:rPr>
                      </m:ctrlPr>
                    </m:sSubPr>
                    <m:e>
                      <m: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Q</m:t>
                  </m:r>
                </m:e>
              </m:d>
            </m:e>
          </m:func>
        </m:oMath>
      </m:oMathPara>
    </w:p>
    <w:p w14:paraId="74E0CA3F" w14:textId="77777777" w:rsidR="008A6993" w:rsidRDefault="008A6993" w:rsidP="008A6993">
      <w:pPr>
        <w:jc w:val="both"/>
        <w:rPr>
          <w:sz w:val="24"/>
          <w:szCs w:val="24"/>
        </w:rPr>
      </w:pPr>
      <w:r>
        <w:rPr>
          <w:sz w:val="24"/>
          <w:szCs w:val="24"/>
        </w:rPr>
        <w:t>Considerando a concentração de mercado como um fator fixo, do ponto de vista macroeconômico é possível expressar o spread como uma relação linear entre taxa de aversão ao risco, variabilidade da taxa de juros e tamanho do mercado.</w:t>
      </w:r>
    </w:p>
    <w:p w14:paraId="6EBBC573" w14:textId="77777777" w:rsidR="008A6993" w:rsidRDefault="00000000" w:rsidP="008A6993">
      <w:pPr>
        <w:jc w:val="both"/>
        <w:rPr>
          <w:sz w:val="24"/>
          <w:szCs w:val="24"/>
        </w:rPr>
      </w:pPr>
      <m:oMathPara>
        <m:oMath>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s</m:t>
                  </m:r>
                </m:e>
              </m:d>
            </m:e>
          </m:func>
          <m:r>
            <w:rPr>
              <w:rFonts w:ascii="Cambria Math" w:hAnsi="Cambria Math"/>
              <w:sz w:val="24"/>
              <w:szCs w:val="24"/>
            </w:rPr>
            <m:t>=</m:t>
          </m:r>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1</m:t>
              </m:r>
            </m:sub>
          </m:sSub>
          <m:func>
            <m:funcPr>
              <m:ctrlPr>
                <w:rPr>
                  <w:rFonts w:ascii="Cambria Math" w:hAnsi="Cambria Math"/>
                  <w:i/>
                  <w:sz w:val="24"/>
                  <w:szCs w:val="24"/>
                  <w:lang w:bidi="ar-SA"/>
                </w:rPr>
              </m:ctrlPr>
            </m:funcPr>
            <m:fName>
              <m:r>
                <m:rPr>
                  <m:sty m:val="p"/>
                </m:rPr>
                <w:rPr>
                  <w:rFonts w:ascii="Cambria Math" w:hAnsi="Cambria Math"/>
                  <w:sz w:val="24"/>
                  <w:szCs w:val="24"/>
                </w:rPr>
                <m:t>ln</m:t>
              </m:r>
            </m:fName>
            <m:e>
              <m:d>
                <m:dPr>
                  <m:ctrlPr>
                    <w:rPr>
                      <w:rFonts w:ascii="Cambria Math" w:hAnsi="Cambria Math"/>
                      <w:i/>
                      <w:sz w:val="24"/>
                      <w:szCs w:val="24"/>
                      <w:lang w:bidi="ar-SA"/>
                    </w:rPr>
                  </m:ctrlPr>
                </m:dPr>
                <m:e>
                  <m:r>
                    <w:rPr>
                      <w:rFonts w:ascii="Cambria Math" w:hAnsi="Cambria Math"/>
                      <w:sz w:val="24"/>
                      <w:szCs w:val="24"/>
                    </w:rPr>
                    <m:t>R</m:t>
                  </m:r>
                </m:e>
              </m:d>
            </m:e>
          </m:func>
          <m:r>
            <w:rPr>
              <w:rFonts w:ascii="Cambria Math" w:hAnsi="Cambria Math"/>
              <w:sz w:val="24"/>
              <w:szCs w:val="24"/>
            </w:rPr>
            <m:t>+</m:t>
          </m:r>
          <m:func>
            <m:funcPr>
              <m:ctrlPr>
                <w:rPr>
                  <w:rFonts w:ascii="Cambria Math" w:hAnsi="Cambria Math"/>
                  <w:i/>
                  <w:sz w:val="24"/>
                  <w:szCs w:val="24"/>
                  <w:lang w:bidi="ar-SA"/>
                </w:rPr>
              </m:ctrlPr>
            </m:funcPr>
            <m:fName>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2</m:t>
                  </m:r>
                </m:sub>
              </m:sSub>
              <m:r>
                <m:rPr>
                  <m:sty m:val="p"/>
                </m:rPr>
                <w:rPr>
                  <w:rFonts w:ascii="Cambria Math" w:hAnsi="Cambria Math"/>
                  <w:sz w:val="24"/>
                  <w:szCs w:val="24"/>
                </w:rPr>
                <m:t xml:space="preserve"> ln</m:t>
              </m:r>
            </m:fName>
            <m:e>
              <m:d>
                <m:dPr>
                  <m:ctrlPr>
                    <w:rPr>
                      <w:rFonts w:ascii="Cambria Math" w:hAnsi="Cambria Math"/>
                      <w:i/>
                      <w:sz w:val="24"/>
                      <w:szCs w:val="24"/>
                      <w:lang w:bidi="ar-SA"/>
                    </w:rPr>
                  </m:ctrlPr>
                </m:dPr>
                <m:e>
                  <m:sSub>
                    <m:sSubPr>
                      <m:ctrlPr>
                        <w:rPr>
                          <w:rFonts w:ascii="Cambria Math" w:hAnsi="Cambria Math"/>
                          <w:i/>
                          <w:sz w:val="24"/>
                          <w:szCs w:val="24"/>
                          <w:lang w:bidi="ar-SA"/>
                        </w:rPr>
                      </m:ctrlPr>
                    </m:sSubPr>
                    <m:e>
                      <m:r>
                        <w:rPr>
                          <w:rFonts w:ascii="Cambria Math" w:hAnsi="Cambria Math"/>
                          <w:sz w:val="24"/>
                          <w:szCs w:val="24"/>
                        </w:rPr>
                        <m:t>σ</m:t>
                      </m:r>
                    </m:e>
                    <m:sub>
                      <m:r>
                        <w:rPr>
                          <w:rFonts w:ascii="Cambria Math" w:hAnsi="Cambria Math"/>
                          <w:sz w:val="24"/>
                          <w:szCs w:val="24"/>
                        </w:rPr>
                        <m:t>I</m:t>
                      </m:r>
                    </m:sub>
                  </m:sSub>
                </m:e>
              </m:d>
            </m:e>
          </m:func>
          <m:r>
            <w:rPr>
              <w:rFonts w:ascii="Cambria Math" w:hAnsi="Cambria Math"/>
              <w:sz w:val="24"/>
              <w:szCs w:val="24"/>
            </w:rPr>
            <m:t>+</m:t>
          </m:r>
          <m:func>
            <m:funcPr>
              <m:ctrlPr>
                <w:rPr>
                  <w:rFonts w:ascii="Cambria Math" w:hAnsi="Cambria Math"/>
                  <w:i/>
                  <w:sz w:val="24"/>
                  <w:szCs w:val="24"/>
                  <w:lang w:bidi="ar-SA"/>
                </w:rPr>
              </m:ctrlPr>
            </m:funcPr>
            <m:fName>
              <m:sSub>
                <m:sSubPr>
                  <m:ctrlPr>
                    <w:rPr>
                      <w:rFonts w:ascii="Cambria Math" w:hAnsi="Cambria Math"/>
                      <w:i/>
                      <w:sz w:val="24"/>
                      <w:szCs w:val="24"/>
                      <w:lang w:bidi="ar-SA"/>
                    </w:rPr>
                  </m:ctrlPr>
                </m:sSubPr>
                <m:e>
                  <m:r>
                    <w:rPr>
                      <w:rFonts w:ascii="Cambria Math" w:hAnsi="Cambria Math"/>
                      <w:sz w:val="24"/>
                      <w:szCs w:val="24"/>
                    </w:rPr>
                    <m:t>β</m:t>
                  </m:r>
                </m:e>
                <m:sub>
                  <m:r>
                    <w:rPr>
                      <w:rFonts w:ascii="Cambria Math" w:hAnsi="Cambria Math"/>
                      <w:sz w:val="24"/>
                      <w:szCs w:val="24"/>
                    </w:rPr>
                    <m:t>3</m:t>
                  </m:r>
                </m:sub>
              </m:sSub>
              <m:r>
                <m:rPr>
                  <m:sty m:val="p"/>
                </m:rPr>
                <w:rPr>
                  <w:rFonts w:ascii="Cambria Math" w:hAnsi="Cambria Math"/>
                  <w:sz w:val="24"/>
                  <w:szCs w:val="24"/>
                </w:rPr>
                <m:t xml:space="preserve"> ln</m:t>
              </m:r>
            </m:fName>
            <m:e>
              <m:d>
                <m:dPr>
                  <m:ctrlPr>
                    <w:rPr>
                      <w:rFonts w:ascii="Cambria Math" w:hAnsi="Cambria Math"/>
                      <w:i/>
                      <w:sz w:val="24"/>
                      <w:szCs w:val="24"/>
                      <w:lang w:bidi="ar-SA"/>
                    </w:rPr>
                  </m:ctrlPr>
                </m:dPr>
                <m:e>
                  <m:r>
                    <w:rPr>
                      <w:rFonts w:ascii="Cambria Math" w:hAnsi="Cambria Math"/>
                      <w:sz w:val="24"/>
                      <w:szCs w:val="24"/>
                    </w:rPr>
                    <m:t>Q</m:t>
                  </m:r>
                </m:e>
              </m:d>
            </m:e>
          </m:func>
        </m:oMath>
      </m:oMathPara>
    </w:p>
    <w:p w14:paraId="3492C2A4" w14:textId="77777777" w:rsidR="008A6993" w:rsidRDefault="008A6993" w:rsidP="008A6993">
      <w:pPr>
        <w:ind w:firstLine="708"/>
        <w:jc w:val="both"/>
        <w:rPr>
          <w:sz w:val="24"/>
          <w:szCs w:val="24"/>
        </w:rPr>
      </w:pPr>
    </w:p>
    <w:p w14:paraId="7D41DCC6" w14:textId="77777777" w:rsidR="008A6993" w:rsidRDefault="008A6993" w:rsidP="008A6993">
      <w:pPr>
        <w:ind w:firstLine="708"/>
        <w:jc w:val="both"/>
        <w:rPr>
          <w:sz w:val="24"/>
          <w:szCs w:val="24"/>
        </w:rPr>
      </w:pPr>
      <w:r>
        <w:rPr>
          <w:sz w:val="24"/>
          <w:szCs w:val="24"/>
        </w:rPr>
        <w:t xml:space="preserve">A equação acima é uma relação macroeconômica, e mesmo assim já representa uma relativa simplificação dos determinantes do spread bancário. Dias &amp; Ichikava (2011) testam muitos outros determinantes, inclusive os índices de bolsa de valores no mercado americano. Dentro todos os indicadores verificados, destaca-se a taxa de inadimplência, que seria capturada pelo índice de aversão ao risco. </w:t>
      </w:r>
    </w:p>
    <w:p w14:paraId="62BF97E8" w14:textId="77777777" w:rsidR="008A6993" w:rsidRDefault="008A6993" w:rsidP="008A6993">
      <w:pPr>
        <w:ind w:firstLine="708"/>
        <w:jc w:val="both"/>
        <w:rPr>
          <w:sz w:val="24"/>
          <w:szCs w:val="24"/>
        </w:rPr>
      </w:pPr>
      <w:r>
        <w:rPr>
          <w:sz w:val="24"/>
          <w:szCs w:val="24"/>
        </w:rPr>
        <w:t>Hawtreya &amp; Liang (2008) defendem também que a complexidade no entendimento dos determinantes do spread aumentará conforme nos movemos da representação no nível macroeconômico, para o nível mesoeconômico (setorial) e microeconômico (firmas e consumidores).</w:t>
      </w:r>
    </w:p>
    <w:p w14:paraId="6B338269" w14:textId="77777777" w:rsidR="008A6993" w:rsidRDefault="008A6993" w:rsidP="008A6993">
      <w:pPr>
        <w:ind w:firstLine="708"/>
        <w:jc w:val="both"/>
        <w:rPr>
          <w:sz w:val="24"/>
          <w:szCs w:val="24"/>
        </w:rPr>
      </w:pPr>
    </w:p>
    <w:p w14:paraId="1C756009" w14:textId="77777777" w:rsidR="00B3707D" w:rsidRPr="008A6993" w:rsidRDefault="00B3707D" w:rsidP="008A6993">
      <w:pPr>
        <w:jc w:val="both"/>
        <w:rPr>
          <w:sz w:val="24"/>
          <w:szCs w:val="24"/>
        </w:rPr>
      </w:pPr>
    </w:p>
    <w:p w14:paraId="5DF2003A" w14:textId="5AF681A4" w:rsidR="00B3707D" w:rsidRPr="00A925CD" w:rsidRDefault="00000530" w:rsidP="00000530">
      <w:pPr>
        <w:rPr>
          <w:b/>
          <w:bCs/>
          <w:sz w:val="24"/>
          <w:szCs w:val="24"/>
        </w:rPr>
      </w:pPr>
      <w:r>
        <w:rPr>
          <w:b/>
          <w:bCs/>
          <w:sz w:val="24"/>
          <w:szCs w:val="24"/>
        </w:rPr>
        <w:t xml:space="preserve">4. Resultados </w:t>
      </w:r>
    </w:p>
    <w:p w14:paraId="1BCA880D" w14:textId="77777777" w:rsidR="00B3707D" w:rsidRDefault="00B3707D" w:rsidP="00B3707D">
      <w:pPr>
        <w:ind w:firstLine="360"/>
        <w:jc w:val="both"/>
        <w:rPr>
          <w:sz w:val="24"/>
          <w:szCs w:val="24"/>
        </w:rPr>
      </w:pPr>
    </w:p>
    <w:p w14:paraId="5A291252" w14:textId="77777777" w:rsidR="00000530" w:rsidRDefault="00000530" w:rsidP="00B3707D">
      <w:pPr>
        <w:ind w:firstLine="360"/>
        <w:jc w:val="both"/>
        <w:rPr>
          <w:sz w:val="24"/>
          <w:szCs w:val="24"/>
        </w:rPr>
      </w:pPr>
    </w:p>
    <w:p w14:paraId="074118B0" w14:textId="77777777" w:rsidR="00662ED0" w:rsidRDefault="00662ED0" w:rsidP="00B3707D">
      <w:pPr>
        <w:ind w:firstLine="360"/>
        <w:jc w:val="both"/>
        <w:rPr>
          <w:sz w:val="24"/>
          <w:szCs w:val="24"/>
        </w:rPr>
      </w:pPr>
    </w:p>
    <w:p w14:paraId="6EBACA41" w14:textId="77777777" w:rsidR="00662ED0" w:rsidRDefault="00662ED0" w:rsidP="00B3707D">
      <w:pPr>
        <w:ind w:firstLine="360"/>
        <w:jc w:val="both"/>
        <w:rPr>
          <w:sz w:val="24"/>
          <w:szCs w:val="24"/>
        </w:rPr>
      </w:pPr>
    </w:p>
    <w:p w14:paraId="5DD7A2CF" w14:textId="77777777" w:rsidR="00662ED0" w:rsidRDefault="00662ED0" w:rsidP="00B3707D">
      <w:pPr>
        <w:ind w:firstLine="360"/>
        <w:jc w:val="both"/>
        <w:rPr>
          <w:sz w:val="24"/>
          <w:szCs w:val="24"/>
        </w:rPr>
      </w:pPr>
    </w:p>
    <w:p w14:paraId="3FCEFA77" w14:textId="77777777" w:rsidR="00662ED0" w:rsidRDefault="00662ED0" w:rsidP="00B3707D">
      <w:pPr>
        <w:ind w:firstLine="360"/>
        <w:jc w:val="both"/>
        <w:rPr>
          <w:sz w:val="24"/>
          <w:szCs w:val="24"/>
        </w:rPr>
      </w:pPr>
    </w:p>
    <w:p w14:paraId="6ECDDD88" w14:textId="77777777" w:rsidR="00662ED0" w:rsidRDefault="00662ED0" w:rsidP="00B3707D">
      <w:pPr>
        <w:ind w:firstLine="360"/>
        <w:jc w:val="both"/>
        <w:rPr>
          <w:sz w:val="24"/>
          <w:szCs w:val="24"/>
        </w:rPr>
      </w:pPr>
    </w:p>
    <w:p w14:paraId="46AA4BA0" w14:textId="77777777" w:rsidR="00662ED0" w:rsidRDefault="00662ED0" w:rsidP="00B3707D">
      <w:pPr>
        <w:ind w:firstLine="360"/>
        <w:jc w:val="both"/>
        <w:rPr>
          <w:sz w:val="24"/>
          <w:szCs w:val="24"/>
        </w:rPr>
      </w:pPr>
    </w:p>
    <w:p w14:paraId="1723D47C" w14:textId="77777777" w:rsidR="00662ED0" w:rsidRDefault="00662ED0" w:rsidP="00B3707D">
      <w:pPr>
        <w:ind w:firstLine="360"/>
        <w:jc w:val="both"/>
        <w:rPr>
          <w:sz w:val="24"/>
          <w:szCs w:val="24"/>
        </w:rPr>
      </w:pPr>
    </w:p>
    <w:p w14:paraId="3C96C1E8" w14:textId="77777777" w:rsidR="00000530" w:rsidRPr="00BD6A01" w:rsidRDefault="00000530" w:rsidP="00B3707D">
      <w:pPr>
        <w:ind w:firstLine="360"/>
        <w:jc w:val="both"/>
        <w:rPr>
          <w:sz w:val="24"/>
          <w:szCs w:val="24"/>
        </w:rPr>
      </w:pPr>
    </w:p>
    <w:p w14:paraId="43D22B92" w14:textId="18F1EB9E" w:rsidR="00B3707D" w:rsidRDefault="00B3707D" w:rsidP="00B3707D">
      <w:pPr>
        <w:pStyle w:val="Legenda"/>
        <w:spacing w:after="120"/>
        <w:rPr>
          <w:color w:val="auto"/>
          <w:sz w:val="22"/>
          <w:szCs w:val="22"/>
        </w:rPr>
      </w:pPr>
      <w:r w:rsidRPr="003A5166">
        <w:rPr>
          <w:color w:val="auto"/>
          <w:sz w:val="22"/>
          <w:szCs w:val="22"/>
        </w:rPr>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sidR="003B6A41">
        <w:rPr>
          <w:noProof/>
          <w:color w:val="auto"/>
          <w:sz w:val="22"/>
          <w:szCs w:val="22"/>
        </w:rPr>
        <w:t>3</w:t>
      </w:r>
      <w:r w:rsidRPr="003A5166">
        <w:rPr>
          <w:color w:val="auto"/>
          <w:sz w:val="22"/>
          <w:szCs w:val="22"/>
        </w:rPr>
        <w:fldChar w:fldCharType="end"/>
      </w:r>
      <w:r w:rsidRPr="003A5166">
        <w:rPr>
          <w:color w:val="auto"/>
          <w:sz w:val="22"/>
          <w:szCs w:val="22"/>
        </w:rPr>
        <w:t xml:space="preserve"> –</w:t>
      </w:r>
      <w:r w:rsidR="00000530">
        <w:rPr>
          <w:color w:val="auto"/>
          <w:sz w:val="22"/>
          <w:szCs w:val="22"/>
        </w:rPr>
        <w:t xml:space="preserve"> Métricas de Precisão</w:t>
      </w:r>
    </w:p>
    <w:tbl>
      <w:tblPr>
        <w:tblStyle w:val="Tabelacomgrade"/>
        <w:tblW w:w="855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2"/>
        <w:gridCol w:w="1542"/>
        <w:gridCol w:w="1597"/>
        <w:gridCol w:w="1518"/>
        <w:gridCol w:w="2279"/>
      </w:tblGrid>
      <w:tr w:rsidR="00B451F7" w14:paraId="368F2B48" w14:textId="77777777" w:rsidTr="00B451F7">
        <w:trPr>
          <w:jc w:val="center"/>
        </w:trPr>
        <w:tc>
          <w:tcPr>
            <w:tcW w:w="1622" w:type="dxa"/>
            <w:tcBorders>
              <w:bottom w:val="single" w:sz="4" w:space="0" w:color="auto"/>
            </w:tcBorders>
            <w:vAlign w:val="center"/>
          </w:tcPr>
          <w:p w14:paraId="157D946F" w14:textId="77777777" w:rsidR="00000530" w:rsidRDefault="00000530" w:rsidP="00000530">
            <w:pPr>
              <w:jc w:val="center"/>
              <w:rPr>
                <w:lang w:bidi="ar-SA"/>
              </w:rPr>
            </w:pPr>
          </w:p>
        </w:tc>
        <w:tc>
          <w:tcPr>
            <w:tcW w:w="1542" w:type="dxa"/>
            <w:tcBorders>
              <w:bottom w:val="single" w:sz="4" w:space="0" w:color="auto"/>
            </w:tcBorders>
            <w:vAlign w:val="center"/>
          </w:tcPr>
          <w:p w14:paraId="57A4EB7A" w14:textId="1436CDB0" w:rsidR="00000530" w:rsidRDefault="00000530" w:rsidP="00000530">
            <w:pPr>
              <w:jc w:val="center"/>
              <w:rPr>
                <w:lang w:bidi="ar-SA"/>
              </w:rPr>
            </w:pPr>
          </w:p>
        </w:tc>
        <w:tc>
          <w:tcPr>
            <w:tcW w:w="1597" w:type="dxa"/>
            <w:tcBorders>
              <w:bottom w:val="single" w:sz="4" w:space="0" w:color="auto"/>
            </w:tcBorders>
            <w:vAlign w:val="center"/>
          </w:tcPr>
          <w:p w14:paraId="6CEA8DBF" w14:textId="77EA685F" w:rsidR="00000530" w:rsidRDefault="00000530" w:rsidP="00000530">
            <w:pPr>
              <w:jc w:val="center"/>
              <w:rPr>
                <w:lang w:bidi="ar-SA"/>
              </w:rPr>
            </w:pPr>
            <w:r>
              <w:rPr>
                <w:lang w:bidi="ar-SA"/>
              </w:rPr>
              <w:t>Catboost</w:t>
            </w:r>
          </w:p>
        </w:tc>
        <w:tc>
          <w:tcPr>
            <w:tcW w:w="1518" w:type="dxa"/>
            <w:tcBorders>
              <w:bottom w:val="single" w:sz="4" w:space="0" w:color="auto"/>
            </w:tcBorders>
            <w:vAlign w:val="center"/>
          </w:tcPr>
          <w:p w14:paraId="7D4CBDD6" w14:textId="0BF65F34" w:rsidR="00000530" w:rsidRDefault="00000530" w:rsidP="00000530">
            <w:pPr>
              <w:jc w:val="center"/>
              <w:rPr>
                <w:lang w:bidi="ar-SA"/>
              </w:rPr>
            </w:pPr>
            <w:r>
              <w:rPr>
                <w:lang w:bidi="ar-SA"/>
              </w:rPr>
              <w:t>ELM</w:t>
            </w:r>
          </w:p>
        </w:tc>
        <w:tc>
          <w:tcPr>
            <w:tcW w:w="2279" w:type="dxa"/>
            <w:tcBorders>
              <w:bottom w:val="single" w:sz="4" w:space="0" w:color="auto"/>
            </w:tcBorders>
            <w:vAlign w:val="center"/>
          </w:tcPr>
          <w:p w14:paraId="041BB8DA" w14:textId="34F080BF" w:rsidR="00000530" w:rsidRDefault="00000530" w:rsidP="00000530">
            <w:pPr>
              <w:jc w:val="center"/>
              <w:rPr>
                <w:lang w:bidi="ar-SA"/>
              </w:rPr>
            </w:pPr>
            <w:r>
              <w:rPr>
                <w:lang w:bidi="ar-SA"/>
              </w:rPr>
              <w:t>XGboost</w:t>
            </w:r>
          </w:p>
        </w:tc>
      </w:tr>
      <w:tr w:rsidR="00662ED0" w14:paraId="64482888" w14:textId="77777777" w:rsidTr="00524F5E">
        <w:trPr>
          <w:jc w:val="center"/>
        </w:trPr>
        <w:tc>
          <w:tcPr>
            <w:tcW w:w="1622" w:type="dxa"/>
            <w:tcBorders>
              <w:top w:val="single" w:sz="4" w:space="0" w:color="auto"/>
              <w:bottom w:val="nil"/>
            </w:tcBorders>
            <w:vAlign w:val="center"/>
          </w:tcPr>
          <w:p w14:paraId="52965067" w14:textId="7ADE86F6" w:rsidR="00662ED0" w:rsidRDefault="00662ED0" w:rsidP="00662ED0">
            <w:pPr>
              <w:jc w:val="center"/>
              <w:rPr>
                <w:lang w:bidi="ar-SA"/>
              </w:rPr>
            </w:pPr>
            <w:r>
              <w:rPr>
                <w:lang w:bidi="ar-SA"/>
              </w:rPr>
              <w:t>Treino</w:t>
            </w:r>
          </w:p>
        </w:tc>
        <w:tc>
          <w:tcPr>
            <w:tcW w:w="1542" w:type="dxa"/>
            <w:tcBorders>
              <w:top w:val="single" w:sz="4" w:space="0" w:color="auto"/>
              <w:bottom w:val="nil"/>
            </w:tcBorders>
            <w:vAlign w:val="center"/>
          </w:tcPr>
          <w:p w14:paraId="2D7C49D1" w14:textId="0DB42258" w:rsidR="00662ED0" w:rsidRDefault="00662ED0" w:rsidP="00662ED0">
            <w:pPr>
              <w:jc w:val="center"/>
              <w:rPr>
                <w:lang w:bidi="ar-SA"/>
              </w:rPr>
            </w:pPr>
            <w:r>
              <w:rPr>
                <w:lang w:bidi="ar-SA"/>
              </w:rPr>
              <w:t>Acurácia</w:t>
            </w:r>
          </w:p>
        </w:tc>
        <w:tc>
          <w:tcPr>
            <w:tcW w:w="1597" w:type="dxa"/>
            <w:tcBorders>
              <w:top w:val="single" w:sz="4" w:space="0" w:color="auto"/>
              <w:bottom w:val="nil"/>
            </w:tcBorders>
            <w:vAlign w:val="bottom"/>
          </w:tcPr>
          <w:p w14:paraId="1428968B" w14:textId="0E3451D7" w:rsidR="00662ED0" w:rsidRPr="00000530" w:rsidRDefault="00662ED0" w:rsidP="00662ED0">
            <w:pPr>
              <w:jc w:val="center"/>
              <w:rPr>
                <w:lang w:val="en-US" w:bidi="ar-SA"/>
              </w:rPr>
            </w:pPr>
            <w:r>
              <w:rPr>
                <w:rFonts w:ascii="Calibri" w:hAnsi="Calibri" w:cs="Calibri"/>
                <w:color w:val="000000"/>
              </w:rPr>
              <w:t>0,9574</w:t>
            </w:r>
          </w:p>
        </w:tc>
        <w:tc>
          <w:tcPr>
            <w:tcW w:w="1518" w:type="dxa"/>
            <w:tcBorders>
              <w:top w:val="single" w:sz="4" w:space="0" w:color="auto"/>
              <w:bottom w:val="nil"/>
            </w:tcBorders>
            <w:vAlign w:val="center"/>
          </w:tcPr>
          <w:p w14:paraId="74240E23" w14:textId="230D1780" w:rsidR="00662ED0" w:rsidRDefault="00662ED0" w:rsidP="00662ED0">
            <w:pPr>
              <w:jc w:val="center"/>
              <w:rPr>
                <w:lang w:bidi="ar-SA"/>
              </w:rPr>
            </w:pPr>
            <w:r w:rsidRPr="00000530">
              <w:rPr>
                <w:lang w:val="en-US" w:bidi="ar-SA"/>
              </w:rPr>
              <w:t>0</w:t>
            </w:r>
            <w:r>
              <w:rPr>
                <w:lang w:val="en-US" w:bidi="ar-SA"/>
              </w:rPr>
              <w:t>,</w:t>
            </w:r>
            <w:r w:rsidRPr="00000530">
              <w:rPr>
                <w:lang w:val="en-US" w:bidi="ar-SA"/>
              </w:rPr>
              <w:t>928</w:t>
            </w:r>
            <w:r>
              <w:rPr>
                <w:lang w:val="en-US" w:bidi="ar-SA"/>
              </w:rPr>
              <w:t>5</w:t>
            </w:r>
          </w:p>
        </w:tc>
        <w:tc>
          <w:tcPr>
            <w:tcW w:w="2279" w:type="dxa"/>
            <w:tcBorders>
              <w:top w:val="single" w:sz="4" w:space="0" w:color="auto"/>
              <w:bottom w:val="nil"/>
            </w:tcBorders>
            <w:vAlign w:val="center"/>
          </w:tcPr>
          <w:p w14:paraId="263F4509" w14:textId="39256F70" w:rsidR="00662ED0" w:rsidRDefault="00662ED0" w:rsidP="00662ED0">
            <w:pPr>
              <w:jc w:val="center"/>
              <w:rPr>
                <w:lang w:bidi="ar-SA"/>
              </w:rPr>
            </w:pPr>
            <w:r w:rsidRPr="00B451F7">
              <w:rPr>
                <w:lang w:bidi="ar-SA"/>
              </w:rPr>
              <w:t>0</w:t>
            </w:r>
            <w:r>
              <w:rPr>
                <w:lang w:bidi="ar-SA"/>
              </w:rPr>
              <w:t>,</w:t>
            </w:r>
            <w:r w:rsidRPr="00B451F7">
              <w:rPr>
                <w:lang w:bidi="ar-SA"/>
              </w:rPr>
              <w:t>9293</w:t>
            </w:r>
          </w:p>
        </w:tc>
      </w:tr>
      <w:tr w:rsidR="00662ED0" w14:paraId="1A4F656F" w14:textId="77777777" w:rsidTr="00524F5E">
        <w:trPr>
          <w:jc w:val="center"/>
        </w:trPr>
        <w:tc>
          <w:tcPr>
            <w:tcW w:w="1622" w:type="dxa"/>
            <w:tcBorders>
              <w:top w:val="nil"/>
              <w:bottom w:val="nil"/>
            </w:tcBorders>
            <w:vAlign w:val="center"/>
          </w:tcPr>
          <w:p w14:paraId="26CC9BB9" w14:textId="77777777" w:rsidR="00662ED0" w:rsidRDefault="00662ED0" w:rsidP="00662ED0">
            <w:pPr>
              <w:jc w:val="center"/>
              <w:rPr>
                <w:lang w:bidi="ar-SA"/>
              </w:rPr>
            </w:pPr>
          </w:p>
        </w:tc>
        <w:tc>
          <w:tcPr>
            <w:tcW w:w="1542" w:type="dxa"/>
            <w:tcBorders>
              <w:top w:val="nil"/>
              <w:bottom w:val="nil"/>
            </w:tcBorders>
            <w:vAlign w:val="center"/>
          </w:tcPr>
          <w:p w14:paraId="3F47E770" w14:textId="6B974F5D" w:rsidR="00662ED0" w:rsidRDefault="00662ED0" w:rsidP="00662ED0">
            <w:pPr>
              <w:jc w:val="center"/>
              <w:rPr>
                <w:lang w:bidi="ar-SA"/>
              </w:rPr>
            </w:pPr>
            <w:r>
              <w:rPr>
                <w:lang w:bidi="ar-SA"/>
              </w:rPr>
              <w:t>Escore F1</w:t>
            </w:r>
          </w:p>
        </w:tc>
        <w:tc>
          <w:tcPr>
            <w:tcW w:w="1597" w:type="dxa"/>
            <w:tcBorders>
              <w:top w:val="nil"/>
              <w:bottom w:val="nil"/>
            </w:tcBorders>
            <w:vAlign w:val="bottom"/>
          </w:tcPr>
          <w:p w14:paraId="44867B18" w14:textId="08344EFE" w:rsidR="00662ED0" w:rsidRDefault="00662ED0" w:rsidP="00662ED0">
            <w:pPr>
              <w:jc w:val="center"/>
              <w:rPr>
                <w:lang w:bidi="ar-SA"/>
              </w:rPr>
            </w:pPr>
            <w:r>
              <w:rPr>
                <w:rFonts w:ascii="Calibri" w:hAnsi="Calibri" w:cs="Calibri"/>
                <w:color w:val="000000"/>
              </w:rPr>
              <w:t>0,5806</w:t>
            </w:r>
          </w:p>
        </w:tc>
        <w:tc>
          <w:tcPr>
            <w:tcW w:w="1518" w:type="dxa"/>
            <w:tcBorders>
              <w:top w:val="nil"/>
              <w:bottom w:val="nil"/>
            </w:tcBorders>
            <w:vAlign w:val="center"/>
          </w:tcPr>
          <w:p w14:paraId="762D2587" w14:textId="387FB967" w:rsidR="00662ED0" w:rsidRDefault="00662ED0" w:rsidP="00662ED0">
            <w:pPr>
              <w:jc w:val="center"/>
              <w:rPr>
                <w:lang w:bidi="ar-SA"/>
              </w:rPr>
            </w:pPr>
            <w:r w:rsidRPr="00000530">
              <w:rPr>
                <w:lang w:val="en-US" w:bidi="ar-SA"/>
              </w:rPr>
              <w:t>0</w:t>
            </w:r>
            <w:r>
              <w:rPr>
                <w:lang w:val="en-US" w:bidi="ar-SA"/>
              </w:rPr>
              <w:t>,</w:t>
            </w:r>
            <w:r w:rsidRPr="00000530">
              <w:rPr>
                <w:lang w:val="en-US" w:bidi="ar-SA"/>
              </w:rPr>
              <w:t>1135</w:t>
            </w:r>
          </w:p>
        </w:tc>
        <w:tc>
          <w:tcPr>
            <w:tcW w:w="2279" w:type="dxa"/>
            <w:tcBorders>
              <w:top w:val="nil"/>
              <w:bottom w:val="nil"/>
            </w:tcBorders>
            <w:vAlign w:val="center"/>
          </w:tcPr>
          <w:p w14:paraId="3D0595C4" w14:textId="6C2B872A" w:rsidR="00662ED0" w:rsidRDefault="00662ED0" w:rsidP="00662ED0">
            <w:pPr>
              <w:jc w:val="center"/>
              <w:rPr>
                <w:lang w:bidi="ar-SA"/>
              </w:rPr>
            </w:pPr>
            <w:r w:rsidRPr="00B451F7">
              <w:rPr>
                <w:lang w:bidi="ar-SA"/>
              </w:rPr>
              <w:t>0</w:t>
            </w:r>
            <w:r>
              <w:rPr>
                <w:lang w:bidi="ar-SA"/>
              </w:rPr>
              <w:t>,</w:t>
            </w:r>
            <w:r w:rsidRPr="00B451F7">
              <w:rPr>
                <w:lang w:bidi="ar-SA"/>
              </w:rPr>
              <w:t>516</w:t>
            </w:r>
            <w:r>
              <w:rPr>
                <w:lang w:bidi="ar-SA"/>
              </w:rPr>
              <w:t>0</w:t>
            </w:r>
          </w:p>
        </w:tc>
      </w:tr>
      <w:tr w:rsidR="00662ED0" w14:paraId="0C093F60" w14:textId="77777777" w:rsidTr="00524F5E">
        <w:trPr>
          <w:jc w:val="center"/>
        </w:trPr>
        <w:tc>
          <w:tcPr>
            <w:tcW w:w="1622" w:type="dxa"/>
            <w:tcBorders>
              <w:top w:val="nil"/>
              <w:bottom w:val="nil"/>
            </w:tcBorders>
            <w:vAlign w:val="center"/>
          </w:tcPr>
          <w:p w14:paraId="23EFEEDE" w14:textId="77777777" w:rsidR="00662ED0" w:rsidRDefault="00662ED0" w:rsidP="00662ED0">
            <w:pPr>
              <w:jc w:val="center"/>
              <w:rPr>
                <w:lang w:bidi="ar-SA"/>
              </w:rPr>
            </w:pPr>
          </w:p>
        </w:tc>
        <w:tc>
          <w:tcPr>
            <w:tcW w:w="1542" w:type="dxa"/>
            <w:tcBorders>
              <w:top w:val="nil"/>
              <w:bottom w:val="nil"/>
            </w:tcBorders>
            <w:vAlign w:val="center"/>
          </w:tcPr>
          <w:p w14:paraId="686D68BA" w14:textId="127EC248" w:rsidR="00662ED0" w:rsidRDefault="00662ED0" w:rsidP="00662ED0">
            <w:pPr>
              <w:jc w:val="center"/>
              <w:rPr>
                <w:lang w:bidi="ar-SA"/>
              </w:rPr>
            </w:pPr>
            <w:r>
              <w:rPr>
                <w:lang w:bidi="ar-SA"/>
              </w:rPr>
              <w:t>Recall</w:t>
            </w:r>
          </w:p>
        </w:tc>
        <w:tc>
          <w:tcPr>
            <w:tcW w:w="1597" w:type="dxa"/>
            <w:tcBorders>
              <w:top w:val="nil"/>
              <w:bottom w:val="nil"/>
            </w:tcBorders>
            <w:vAlign w:val="bottom"/>
          </w:tcPr>
          <w:p w14:paraId="485794E4" w14:textId="59C72E5A" w:rsidR="00662ED0" w:rsidRPr="00000530" w:rsidRDefault="00662ED0" w:rsidP="00662ED0">
            <w:pPr>
              <w:jc w:val="center"/>
              <w:rPr>
                <w:lang w:val="en-US" w:bidi="ar-SA"/>
              </w:rPr>
            </w:pPr>
            <w:r>
              <w:rPr>
                <w:rFonts w:ascii="Calibri" w:hAnsi="Calibri" w:cs="Calibri"/>
                <w:color w:val="000000"/>
              </w:rPr>
              <w:t>0,4175</w:t>
            </w:r>
          </w:p>
        </w:tc>
        <w:tc>
          <w:tcPr>
            <w:tcW w:w="1518" w:type="dxa"/>
            <w:tcBorders>
              <w:top w:val="nil"/>
              <w:bottom w:val="nil"/>
            </w:tcBorders>
            <w:vAlign w:val="center"/>
          </w:tcPr>
          <w:p w14:paraId="62F7C931" w14:textId="16F874E5" w:rsidR="00662ED0" w:rsidRDefault="00662ED0" w:rsidP="00662ED0">
            <w:pPr>
              <w:jc w:val="center"/>
              <w:rPr>
                <w:lang w:bidi="ar-SA"/>
              </w:rPr>
            </w:pPr>
            <w:r w:rsidRPr="00000530">
              <w:rPr>
                <w:lang w:val="en-US" w:bidi="ar-SA"/>
              </w:rPr>
              <w:t>0</w:t>
            </w:r>
            <w:r>
              <w:rPr>
                <w:lang w:val="en-US" w:bidi="ar-SA"/>
              </w:rPr>
              <w:t>,</w:t>
            </w:r>
            <w:r w:rsidRPr="00000530">
              <w:rPr>
                <w:lang w:val="en-US" w:bidi="ar-SA"/>
              </w:rPr>
              <w:t>0644</w:t>
            </w:r>
          </w:p>
        </w:tc>
        <w:tc>
          <w:tcPr>
            <w:tcW w:w="2279" w:type="dxa"/>
            <w:tcBorders>
              <w:top w:val="nil"/>
              <w:bottom w:val="nil"/>
            </w:tcBorders>
            <w:vAlign w:val="center"/>
          </w:tcPr>
          <w:p w14:paraId="56EE38E3" w14:textId="03DD1FAE" w:rsidR="00662ED0" w:rsidRDefault="00662ED0" w:rsidP="00662ED0">
            <w:pPr>
              <w:jc w:val="center"/>
              <w:rPr>
                <w:lang w:bidi="ar-SA"/>
              </w:rPr>
            </w:pPr>
            <w:r w:rsidRPr="00B451F7">
              <w:rPr>
                <w:lang w:bidi="ar-SA"/>
              </w:rPr>
              <w:t>0</w:t>
            </w:r>
            <w:r>
              <w:rPr>
                <w:lang w:bidi="ar-SA"/>
              </w:rPr>
              <w:t>,</w:t>
            </w:r>
            <w:r w:rsidRPr="00B451F7">
              <w:rPr>
                <w:lang w:bidi="ar-SA"/>
              </w:rPr>
              <w:t>5297</w:t>
            </w:r>
          </w:p>
        </w:tc>
      </w:tr>
      <w:tr w:rsidR="00662ED0" w14:paraId="351E22E5" w14:textId="77777777" w:rsidTr="00524F5E">
        <w:trPr>
          <w:jc w:val="center"/>
        </w:trPr>
        <w:tc>
          <w:tcPr>
            <w:tcW w:w="1622" w:type="dxa"/>
            <w:tcBorders>
              <w:top w:val="nil"/>
              <w:bottom w:val="nil"/>
            </w:tcBorders>
            <w:vAlign w:val="center"/>
          </w:tcPr>
          <w:p w14:paraId="3CC02FDD" w14:textId="77777777" w:rsidR="00662ED0" w:rsidRDefault="00662ED0" w:rsidP="00662ED0">
            <w:pPr>
              <w:jc w:val="center"/>
              <w:rPr>
                <w:lang w:bidi="ar-SA"/>
              </w:rPr>
            </w:pPr>
          </w:p>
        </w:tc>
        <w:tc>
          <w:tcPr>
            <w:tcW w:w="1542" w:type="dxa"/>
            <w:tcBorders>
              <w:top w:val="nil"/>
              <w:bottom w:val="nil"/>
            </w:tcBorders>
            <w:vAlign w:val="center"/>
          </w:tcPr>
          <w:p w14:paraId="59D0F05C" w14:textId="46AB82A8" w:rsidR="00662ED0" w:rsidRDefault="00662ED0" w:rsidP="00662ED0">
            <w:pPr>
              <w:jc w:val="center"/>
              <w:rPr>
                <w:lang w:bidi="ar-SA"/>
              </w:rPr>
            </w:pPr>
            <w:r>
              <w:rPr>
                <w:lang w:bidi="ar-SA"/>
              </w:rPr>
              <w:t>Precisão</w:t>
            </w:r>
          </w:p>
        </w:tc>
        <w:tc>
          <w:tcPr>
            <w:tcW w:w="1597" w:type="dxa"/>
            <w:tcBorders>
              <w:top w:val="nil"/>
              <w:bottom w:val="nil"/>
            </w:tcBorders>
            <w:vAlign w:val="bottom"/>
          </w:tcPr>
          <w:p w14:paraId="3FA1D2E3" w14:textId="494A28DB" w:rsidR="00662ED0" w:rsidRDefault="00662ED0" w:rsidP="00662ED0">
            <w:pPr>
              <w:jc w:val="center"/>
              <w:rPr>
                <w:lang w:bidi="ar-SA"/>
              </w:rPr>
            </w:pPr>
            <w:r>
              <w:rPr>
                <w:rFonts w:ascii="Calibri" w:hAnsi="Calibri" w:cs="Calibri"/>
                <w:color w:val="000000"/>
              </w:rPr>
              <w:t>0,9528</w:t>
            </w:r>
          </w:p>
        </w:tc>
        <w:tc>
          <w:tcPr>
            <w:tcW w:w="1518" w:type="dxa"/>
            <w:tcBorders>
              <w:top w:val="nil"/>
              <w:bottom w:val="nil"/>
            </w:tcBorders>
            <w:vAlign w:val="center"/>
          </w:tcPr>
          <w:p w14:paraId="3E2423A9" w14:textId="54A92BD0" w:rsidR="00662ED0" w:rsidRDefault="00662ED0" w:rsidP="00662ED0">
            <w:pPr>
              <w:jc w:val="center"/>
              <w:rPr>
                <w:lang w:bidi="ar-SA"/>
              </w:rPr>
            </w:pPr>
            <w:r w:rsidRPr="00000530">
              <w:rPr>
                <w:lang w:val="en-US" w:bidi="ar-SA"/>
              </w:rPr>
              <w:t>0</w:t>
            </w:r>
            <w:r>
              <w:rPr>
                <w:lang w:val="en-US" w:bidi="ar-SA"/>
              </w:rPr>
              <w:t>,</w:t>
            </w:r>
            <w:r w:rsidRPr="00000530">
              <w:rPr>
                <w:lang w:val="en-US" w:bidi="ar-SA"/>
              </w:rPr>
              <w:t>4785</w:t>
            </w:r>
          </w:p>
        </w:tc>
        <w:tc>
          <w:tcPr>
            <w:tcW w:w="2279" w:type="dxa"/>
            <w:tcBorders>
              <w:top w:val="nil"/>
              <w:bottom w:val="nil"/>
            </w:tcBorders>
            <w:vAlign w:val="center"/>
          </w:tcPr>
          <w:p w14:paraId="0B78D208" w14:textId="380981B7" w:rsidR="00662ED0" w:rsidRDefault="00662ED0" w:rsidP="00662ED0">
            <w:pPr>
              <w:jc w:val="center"/>
              <w:rPr>
                <w:lang w:bidi="ar-SA"/>
              </w:rPr>
            </w:pPr>
            <w:r w:rsidRPr="00B451F7">
              <w:rPr>
                <w:lang w:bidi="ar-SA"/>
              </w:rPr>
              <w:t>0</w:t>
            </w:r>
            <w:r>
              <w:rPr>
                <w:lang w:bidi="ar-SA"/>
              </w:rPr>
              <w:t>,</w:t>
            </w:r>
            <w:r w:rsidRPr="00B451F7">
              <w:rPr>
                <w:lang w:bidi="ar-SA"/>
              </w:rPr>
              <w:t>5029</w:t>
            </w:r>
          </w:p>
        </w:tc>
      </w:tr>
      <w:tr w:rsidR="00662ED0" w14:paraId="128BAC93" w14:textId="77777777" w:rsidTr="00524F5E">
        <w:trPr>
          <w:jc w:val="center"/>
        </w:trPr>
        <w:tc>
          <w:tcPr>
            <w:tcW w:w="1622" w:type="dxa"/>
            <w:tcBorders>
              <w:top w:val="nil"/>
              <w:bottom w:val="nil"/>
            </w:tcBorders>
            <w:vAlign w:val="center"/>
          </w:tcPr>
          <w:p w14:paraId="719D39C8" w14:textId="77777777" w:rsidR="00662ED0" w:rsidRDefault="00662ED0" w:rsidP="00662ED0">
            <w:pPr>
              <w:jc w:val="center"/>
              <w:rPr>
                <w:lang w:bidi="ar-SA"/>
              </w:rPr>
            </w:pPr>
          </w:p>
        </w:tc>
        <w:tc>
          <w:tcPr>
            <w:tcW w:w="1542" w:type="dxa"/>
            <w:tcBorders>
              <w:top w:val="nil"/>
              <w:bottom w:val="nil"/>
            </w:tcBorders>
            <w:vAlign w:val="center"/>
          </w:tcPr>
          <w:p w14:paraId="602D888D" w14:textId="33F8FA0B" w:rsidR="00662ED0" w:rsidRDefault="00662ED0" w:rsidP="00662ED0">
            <w:pPr>
              <w:jc w:val="center"/>
              <w:rPr>
                <w:lang w:bidi="ar-SA"/>
              </w:rPr>
            </w:pPr>
            <w:r>
              <w:rPr>
                <w:lang w:bidi="ar-SA"/>
              </w:rPr>
              <w:t>Escore KS</w:t>
            </w:r>
          </w:p>
        </w:tc>
        <w:tc>
          <w:tcPr>
            <w:tcW w:w="1597" w:type="dxa"/>
            <w:tcBorders>
              <w:top w:val="nil"/>
              <w:bottom w:val="nil"/>
            </w:tcBorders>
            <w:vAlign w:val="bottom"/>
          </w:tcPr>
          <w:p w14:paraId="4DDC6F80" w14:textId="3D0E448F" w:rsidR="00662ED0" w:rsidRDefault="00662ED0" w:rsidP="00662ED0">
            <w:pPr>
              <w:jc w:val="center"/>
              <w:rPr>
                <w:lang w:bidi="ar-SA"/>
              </w:rPr>
            </w:pPr>
            <w:r>
              <w:rPr>
                <w:rFonts w:ascii="Calibri" w:hAnsi="Calibri" w:cs="Calibri"/>
                <w:color w:val="000000"/>
              </w:rPr>
              <w:t>0,7080</w:t>
            </w:r>
          </w:p>
        </w:tc>
        <w:tc>
          <w:tcPr>
            <w:tcW w:w="1518" w:type="dxa"/>
            <w:tcBorders>
              <w:top w:val="nil"/>
              <w:bottom w:val="nil"/>
            </w:tcBorders>
            <w:vAlign w:val="center"/>
          </w:tcPr>
          <w:p w14:paraId="1CAE5905" w14:textId="7902B45C" w:rsidR="00662ED0" w:rsidRDefault="00662ED0" w:rsidP="00662ED0">
            <w:pPr>
              <w:jc w:val="center"/>
              <w:rPr>
                <w:lang w:bidi="ar-SA"/>
              </w:rPr>
            </w:pPr>
            <w:r>
              <w:rPr>
                <w:lang w:bidi="ar-SA"/>
              </w:rPr>
              <w:t>0,7790</w:t>
            </w:r>
          </w:p>
        </w:tc>
        <w:tc>
          <w:tcPr>
            <w:tcW w:w="2279" w:type="dxa"/>
            <w:tcBorders>
              <w:top w:val="nil"/>
              <w:bottom w:val="nil"/>
            </w:tcBorders>
            <w:vAlign w:val="center"/>
          </w:tcPr>
          <w:p w14:paraId="6799CE49" w14:textId="6D8CD2EB" w:rsidR="00662ED0" w:rsidRDefault="00662ED0" w:rsidP="00662ED0">
            <w:pPr>
              <w:jc w:val="center"/>
              <w:rPr>
                <w:lang w:bidi="ar-SA"/>
              </w:rPr>
            </w:pPr>
            <w:r w:rsidRPr="00057FFD">
              <w:rPr>
                <w:lang w:bidi="ar-SA"/>
              </w:rPr>
              <w:t>0</w:t>
            </w:r>
            <w:r>
              <w:rPr>
                <w:lang w:bidi="ar-SA"/>
              </w:rPr>
              <w:t>,</w:t>
            </w:r>
            <w:r w:rsidRPr="00057FFD">
              <w:rPr>
                <w:lang w:bidi="ar-SA"/>
              </w:rPr>
              <w:t>5333</w:t>
            </w:r>
          </w:p>
        </w:tc>
      </w:tr>
      <w:tr w:rsidR="00662ED0" w14:paraId="5E145F36" w14:textId="77777777" w:rsidTr="00524F5E">
        <w:trPr>
          <w:jc w:val="center"/>
        </w:trPr>
        <w:tc>
          <w:tcPr>
            <w:tcW w:w="1622" w:type="dxa"/>
            <w:tcBorders>
              <w:top w:val="nil"/>
              <w:bottom w:val="single" w:sz="4" w:space="0" w:color="auto"/>
            </w:tcBorders>
            <w:vAlign w:val="center"/>
          </w:tcPr>
          <w:p w14:paraId="26240512" w14:textId="77777777" w:rsidR="00662ED0" w:rsidRDefault="00662ED0" w:rsidP="00662ED0">
            <w:pPr>
              <w:jc w:val="center"/>
              <w:rPr>
                <w:lang w:bidi="ar-SA"/>
              </w:rPr>
            </w:pPr>
          </w:p>
        </w:tc>
        <w:tc>
          <w:tcPr>
            <w:tcW w:w="1542" w:type="dxa"/>
            <w:tcBorders>
              <w:top w:val="nil"/>
              <w:bottom w:val="single" w:sz="4" w:space="0" w:color="auto"/>
            </w:tcBorders>
            <w:vAlign w:val="center"/>
          </w:tcPr>
          <w:p w14:paraId="7509E5B0" w14:textId="37BE99EE" w:rsidR="00662ED0" w:rsidRDefault="00662ED0" w:rsidP="00662ED0">
            <w:pPr>
              <w:jc w:val="center"/>
              <w:rPr>
                <w:lang w:bidi="ar-SA"/>
              </w:rPr>
            </w:pPr>
            <w:r>
              <w:rPr>
                <w:lang w:bidi="ar-SA"/>
              </w:rPr>
              <w:t>AUC</w:t>
            </w:r>
          </w:p>
        </w:tc>
        <w:tc>
          <w:tcPr>
            <w:tcW w:w="1597" w:type="dxa"/>
            <w:tcBorders>
              <w:top w:val="nil"/>
              <w:bottom w:val="single" w:sz="4" w:space="0" w:color="auto"/>
            </w:tcBorders>
            <w:vAlign w:val="bottom"/>
          </w:tcPr>
          <w:p w14:paraId="17BD86CD" w14:textId="6768E41C" w:rsidR="00662ED0" w:rsidRDefault="00662ED0" w:rsidP="00662ED0">
            <w:pPr>
              <w:jc w:val="center"/>
              <w:rPr>
                <w:lang w:bidi="ar-SA"/>
              </w:rPr>
            </w:pPr>
            <w:r>
              <w:rPr>
                <w:rFonts w:ascii="Calibri" w:hAnsi="Calibri" w:cs="Calibri"/>
                <w:color w:val="000000"/>
              </w:rPr>
              <w:t>0,9574</w:t>
            </w:r>
          </w:p>
        </w:tc>
        <w:tc>
          <w:tcPr>
            <w:tcW w:w="1518" w:type="dxa"/>
            <w:tcBorders>
              <w:top w:val="nil"/>
              <w:bottom w:val="single" w:sz="4" w:space="0" w:color="auto"/>
            </w:tcBorders>
            <w:vAlign w:val="center"/>
          </w:tcPr>
          <w:p w14:paraId="5CE935AC" w14:textId="77CE198A" w:rsidR="00662ED0" w:rsidRDefault="00662ED0" w:rsidP="00662ED0">
            <w:pPr>
              <w:jc w:val="center"/>
              <w:rPr>
                <w:lang w:bidi="ar-SA"/>
              </w:rPr>
            </w:pPr>
            <w:r>
              <w:rPr>
                <w:lang w:bidi="ar-SA"/>
              </w:rPr>
              <w:t>0,5295</w:t>
            </w:r>
          </w:p>
        </w:tc>
        <w:tc>
          <w:tcPr>
            <w:tcW w:w="2279" w:type="dxa"/>
            <w:tcBorders>
              <w:top w:val="nil"/>
              <w:bottom w:val="single" w:sz="4" w:space="0" w:color="auto"/>
            </w:tcBorders>
            <w:vAlign w:val="center"/>
          </w:tcPr>
          <w:p w14:paraId="79BCE118" w14:textId="79C53CAA" w:rsidR="00662ED0" w:rsidRDefault="00662ED0" w:rsidP="00662ED0">
            <w:pPr>
              <w:jc w:val="center"/>
              <w:rPr>
                <w:lang w:bidi="ar-SA"/>
              </w:rPr>
            </w:pPr>
            <w:r w:rsidRPr="00B451F7">
              <w:rPr>
                <w:lang w:bidi="ar-SA"/>
              </w:rPr>
              <w:t>0</w:t>
            </w:r>
            <w:r>
              <w:rPr>
                <w:lang w:bidi="ar-SA"/>
              </w:rPr>
              <w:t>,</w:t>
            </w:r>
            <w:r w:rsidRPr="00B451F7">
              <w:rPr>
                <w:lang w:bidi="ar-SA"/>
              </w:rPr>
              <w:t>9292</w:t>
            </w:r>
          </w:p>
        </w:tc>
      </w:tr>
      <w:tr w:rsidR="00662ED0" w:rsidRPr="00B451F7" w14:paraId="6007DE70" w14:textId="77777777" w:rsidTr="0093480E">
        <w:trPr>
          <w:jc w:val="center"/>
        </w:trPr>
        <w:tc>
          <w:tcPr>
            <w:tcW w:w="1622" w:type="dxa"/>
            <w:tcBorders>
              <w:top w:val="single" w:sz="4" w:space="0" w:color="auto"/>
              <w:bottom w:val="nil"/>
            </w:tcBorders>
            <w:vAlign w:val="center"/>
          </w:tcPr>
          <w:p w14:paraId="6E78DF5B" w14:textId="6F5697C6" w:rsidR="00662ED0" w:rsidRDefault="00662ED0" w:rsidP="00662ED0">
            <w:pPr>
              <w:jc w:val="center"/>
              <w:rPr>
                <w:lang w:bidi="ar-SA"/>
              </w:rPr>
            </w:pPr>
            <w:r>
              <w:rPr>
                <w:lang w:bidi="ar-SA"/>
              </w:rPr>
              <w:t>Teste</w:t>
            </w:r>
          </w:p>
        </w:tc>
        <w:tc>
          <w:tcPr>
            <w:tcW w:w="1542" w:type="dxa"/>
            <w:tcBorders>
              <w:top w:val="single" w:sz="4" w:space="0" w:color="auto"/>
              <w:bottom w:val="nil"/>
            </w:tcBorders>
            <w:vAlign w:val="center"/>
          </w:tcPr>
          <w:p w14:paraId="2E1D9EEB" w14:textId="0C6366B9" w:rsidR="00662ED0" w:rsidRDefault="00662ED0" w:rsidP="00662ED0">
            <w:pPr>
              <w:jc w:val="center"/>
              <w:rPr>
                <w:lang w:bidi="ar-SA"/>
              </w:rPr>
            </w:pPr>
            <w:r>
              <w:rPr>
                <w:lang w:bidi="ar-SA"/>
              </w:rPr>
              <w:t>Acurácia</w:t>
            </w:r>
          </w:p>
        </w:tc>
        <w:tc>
          <w:tcPr>
            <w:tcW w:w="1597" w:type="dxa"/>
            <w:tcBorders>
              <w:top w:val="single" w:sz="4" w:space="0" w:color="auto"/>
              <w:bottom w:val="nil"/>
            </w:tcBorders>
            <w:vAlign w:val="bottom"/>
          </w:tcPr>
          <w:p w14:paraId="416676C3" w14:textId="15FA2B0A" w:rsidR="00662ED0" w:rsidRDefault="00662ED0" w:rsidP="00662ED0">
            <w:pPr>
              <w:jc w:val="center"/>
              <w:rPr>
                <w:lang w:bidi="ar-SA"/>
              </w:rPr>
            </w:pPr>
            <w:r>
              <w:rPr>
                <w:rFonts w:ascii="Calibri" w:hAnsi="Calibri" w:cs="Calibri"/>
                <w:color w:val="000000"/>
              </w:rPr>
              <w:t>0,9325</w:t>
            </w:r>
          </w:p>
        </w:tc>
        <w:tc>
          <w:tcPr>
            <w:tcW w:w="1518" w:type="dxa"/>
            <w:tcBorders>
              <w:top w:val="single" w:sz="4" w:space="0" w:color="auto"/>
              <w:bottom w:val="nil"/>
            </w:tcBorders>
            <w:vAlign w:val="center"/>
          </w:tcPr>
          <w:p w14:paraId="12E6E511" w14:textId="571184BF" w:rsidR="00662ED0" w:rsidRDefault="00662ED0" w:rsidP="00662ED0">
            <w:pPr>
              <w:jc w:val="center"/>
              <w:rPr>
                <w:lang w:bidi="ar-SA"/>
              </w:rPr>
            </w:pPr>
            <w:r w:rsidRPr="00000530">
              <w:rPr>
                <w:lang w:val="en-US" w:bidi="ar-SA"/>
              </w:rPr>
              <w:t>0</w:t>
            </w:r>
            <w:r>
              <w:rPr>
                <w:lang w:val="en-US" w:bidi="ar-SA"/>
              </w:rPr>
              <w:t>,</w:t>
            </w:r>
            <w:r w:rsidRPr="00000530">
              <w:rPr>
                <w:lang w:val="en-US" w:bidi="ar-SA"/>
              </w:rPr>
              <w:t>928</w:t>
            </w:r>
            <w:r>
              <w:rPr>
                <w:lang w:val="en-US" w:bidi="ar-SA"/>
              </w:rPr>
              <w:t>4</w:t>
            </w:r>
          </w:p>
        </w:tc>
        <w:tc>
          <w:tcPr>
            <w:tcW w:w="2279" w:type="dxa"/>
            <w:tcBorders>
              <w:top w:val="single" w:sz="4" w:space="0" w:color="auto"/>
              <w:bottom w:val="nil"/>
            </w:tcBorders>
            <w:vAlign w:val="center"/>
          </w:tcPr>
          <w:p w14:paraId="3EEE88EE" w14:textId="777EED6C" w:rsidR="00662ED0" w:rsidRPr="00B451F7" w:rsidRDefault="00662ED0" w:rsidP="00662ED0">
            <w:pPr>
              <w:jc w:val="center"/>
              <w:rPr>
                <w:lang w:val="en-US" w:bidi="ar-SA"/>
              </w:rPr>
            </w:pPr>
            <w:r w:rsidRPr="00B451F7">
              <w:rPr>
                <w:lang w:val="en-US" w:bidi="ar-SA"/>
              </w:rPr>
              <w:t>0</w:t>
            </w:r>
            <w:r>
              <w:rPr>
                <w:lang w:val="en-US" w:bidi="ar-SA"/>
              </w:rPr>
              <w:t>,</w:t>
            </w:r>
            <w:r w:rsidRPr="00B451F7">
              <w:rPr>
                <w:lang w:val="en-US" w:bidi="ar-SA"/>
              </w:rPr>
              <w:t>9106</w:t>
            </w:r>
          </w:p>
        </w:tc>
      </w:tr>
      <w:tr w:rsidR="00662ED0" w:rsidRPr="00B451F7" w14:paraId="2A99CF31" w14:textId="77777777" w:rsidTr="0093480E">
        <w:trPr>
          <w:jc w:val="center"/>
        </w:trPr>
        <w:tc>
          <w:tcPr>
            <w:tcW w:w="1622" w:type="dxa"/>
            <w:tcBorders>
              <w:top w:val="nil"/>
              <w:bottom w:val="nil"/>
            </w:tcBorders>
            <w:vAlign w:val="center"/>
          </w:tcPr>
          <w:p w14:paraId="28ED4F92" w14:textId="77777777" w:rsidR="00662ED0" w:rsidRPr="00B451F7" w:rsidRDefault="00662ED0" w:rsidP="00662ED0">
            <w:pPr>
              <w:jc w:val="center"/>
              <w:rPr>
                <w:lang w:val="en-US" w:bidi="ar-SA"/>
              </w:rPr>
            </w:pPr>
          </w:p>
        </w:tc>
        <w:tc>
          <w:tcPr>
            <w:tcW w:w="1542" w:type="dxa"/>
            <w:tcBorders>
              <w:top w:val="nil"/>
              <w:bottom w:val="nil"/>
            </w:tcBorders>
            <w:vAlign w:val="center"/>
          </w:tcPr>
          <w:p w14:paraId="3312688F" w14:textId="5C68841F" w:rsidR="00662ED0" w:rsidRDefault="00662ED0" w:rsidP="00662ED0">
            <w:pPr>
              <w:jc w:val="center"/>
              <w:rPr>
                <w:lang w:bidi="ar-SA"/>
              </w:rPr>
            </w:pPr>
            <w:r>
              <w:rPr>
                <w:lang w:bidi="ar-SA"/>
              </w:rPr>
              <w:t>Escore F1</w:t>
            </w:r>
          </w:p>
        </w:tc>
        <w:tc>
          <w:tcPr>
            <w:tcW w:w="1597" w:type="dxa"/>
            <w:tcBorders>
              <w:top w:val="nil"/>
              <w:bottom w:val="nil"/>
            </w:tcBorders>
            <w:vAlign w:val="bottom"/>
          </w:tcPr>
          <w:p w14:paraId="64420B97" w14:textId="3951E298" w:rsidR="00662ED0" w:rsidRDefault="00662ED0" w:rsidP="00662ED0">
            <w:pPr>
              <w:jc w:val="center"/>
              <w:rPr>
                <w:lang w:bidi="ar-SA"/>
              </w:rPr>
            </w:pPr>
            <w:r>
              <w:rPr>
                <w:rFonts w:ascii="Calibri" w:hAnsi="Calibri" w:cs="Calibri"/>
                <w:color w:val="000000"/>
              </w:rPr>
              <w:t>0,2455</w:t>
            </w:r>
          </w:p>
        </w:tc>
        <w:tc>
          <w:tcPr>
            <w:tcW w:w="1518" w:type="dxa"/>
            <w:tcBorders>
              <w:top w:val="nil"/>
              <w:bottom w:val="nil"/>
            </w:tcBorders>
            <w:vAlign w:val="center"/>
          </w:tcPr>
          <w:p w14:paraId="54C3914C" w14:textId="69343186" w:rsidR="00662ED0" w:rsidRDefault="00662ED0" w:rsidP="00662ED0">
            <w:pPr>
              <w:jc w:val="center"/>
              <w:rPr>
                <w:lang w:bidi="ar-SA"/>
              </w:rPr>
            </w:pPr>
            <w:r w:rsidRPr="00000530">
              <w:rPr>
                <w:lang w:val="en-US" w:bidi="ar-SA"/>
              </w:rPr>
              <w:t>0</w:t>
            </w:r>
            <w:r>
              <w:rPr>
                <w:lang w:val="en-US" w:bidi="ar-SA"/>
              </w:rPr>
              <w:t>,</w:t>
            </w:r>
            <w:r w:rsidRPr="00000530">
              <w:rPr>
                <w:lang w:val="en-US" w:bidi="ar-SA"/>
              </w:rPr>
              <w:t>109</w:t>
            </w:r>
            <w:r>
              <w:rPr>
                <w:lang w:val="en-US" w:bidi="ar-SA"/>
              </w:rPr>
              <w:t>8</w:t>
            </w:r>
          </w:p>
        </w:tc>
        <w:tc>
          <w:tcPr>
            <w:tcW w:w="2279" w:type="dxa"/>
            <w:tcBorders>
              <w:top w:val="nil"/>
              <w:bottom w:val="nil"/>
            </w:tcBorders>
            <w:vAlign w:val="center"/>
          </w:tcPr>
          <w:p w14:paraId="6DA9EA99" w14:textId="5B674224" w:rsidR="00662ED0" w:rsidRPr="00B451F7" w:rsidRDefault="00662ED0" w:rsidP="00662ED0">
            <w:pPr>
              <w:jc w:val="center"/>
              <w:rPr>
                <w:lang w:val="en-US" w:bidi="ar-SA"/>
              </w:rPr>
            </w:pPr>
            <w:r w:rsidRPr="00B451F7">
              <w:rPr>
                <w:lang w:val="en-US" w:bidi="ar-SA"/>
              </w:rPr>
              <w:t>0</w:t>
            </w:r>
            <w:r>
              <w:rPr>
                <w:lang w:val="en-US" w:bidi="ar-SA"/>
              </w:rPr>
              <w:t>,</w:t>
            </w:r>
            <w:r w:rsidRPr="00B451F7">
              <w:rPr>
                <w:lang w:val="en-US" w:bidi="ar-SA"/>
              </w:rPr>
              <w:t>3848</w:t>
            </w:r>
          </w:p>
        </w:tc>
      </w:tr>
      <w:tr w:rsidR="00662ED0" w14:paraId="02D93FB1" w14:textId="77777777" w:rsidTr="0093480E">
        <w:trPr>
          <w:jc w:val="center"/>
        </w:trPr>
        <w:tc>
          <w:tcPr>
            <w:tcW w:w="1622" w:type="dxa"/>
            <w:tcBorders>
              <w:top w:val="nil"/>
              <w:bottom w:val="nil"/>
            </w:tcBorders>
            <w:vAlign w:val="center"/>
          </w:tcPr>
          <w:p w14:paraId="69AE5BF2" w14:textId="77777777" w:rsidR="00662ED0" w:rsidRPr="00B451F7" w:rsidRDefault="00662ED0" w:rsidP="00662ED0">
            <w:pPr>
              <w:jc w:val="center"/>
              <w:rPr>
                <w:lang w:val="en-US" w:bidi="ar-SA"/>
              </w:rPr>
            </w:pPr>
          </w:p>
        </w:tc>
        <w:tc>
          <w:tcPr>
            <w:tcW w:w="1542" w:type="dxa"/>
            <w:tcBorders>
              <w:top w:val="nil"/>
              <w:bottom w:val="nil"/>
            </w:tcBorders>
            <w:vAlign w:val="center"/>
          </w:tcPr>
          <w:p w14:paraId="610A4840" w14:textId="30A18CF4" w:rsidR="00662ED0" w:rsidRDefault="00662ED0" w:rsidP="00662ED0">
            <w:pPr>
              <w:jc w:val="center"/>
              <w:rPr>
                <w:lang w:bidi="ar-SA"/>
              </w:rPr>
            </w:pPr>
            <w:r>
              <w:rPr>
                <w:lang w:bidi="ar-SA"/>
              </w:rPr>
              <w:t>Recall</w:t>
            </w:r>
          </w:p>
        </w:tc>
        <w:tc>
          <w:tcPr>
            <w:tcW w:w="1597" w:type="dxa"/>
            <w:tcBorders>
              <w:top w:val="nil"/>
              <w:bottom w:val="nil"/>
            </w:tcBorders>
            <w:vAlign w:val="bottom"/>
          </w:tcPr>
          <w:p w14:paraId="6282AA52" w14:textId="156EB165" w:rsidR="00662ED0" w:rsidRDefault="00662ED0" w:rsidP="00662ED0">
            <w:pPr>
              <w:jc w:val="center"/>
              <w:rPr>
                <w:lang w:bidi="ar-SA"/>
              </w:rPr>
            </w:pPr>
            <w:r>
              <w:rPr>
                <w:rFonts w:ascii="Calibri" w:hAnsi="Calibri" w:cs="Calibri"/>
                <w:color w:val="000000"/>
              </w:rPr>
              <w:t>0,1556</w:t>
            </w:r>
          </w:p>
        </w:tc>
        <w:tc>
          <w:tcPr>
            <w:tcW w:w="1518" w:type="dxa"/>
            <w:tcBorders>
              <w:top w:val="nil"/>
              <w:bottom w:val="nil"/>
            </w:tcBorders>
            <w:vAlign w:val="center"/>
          </w:tcPr>
          <w:p w14:paraId="49CCFB48" w14:textId="125CCEC7" w:rsidR="00662ED0" w:rsidRDefault="00662ED0" w:rsidP="00662ED0">
            <w:pPr>
              <w:jc w:val="center"/>
              <w:rPr>
                <w:lang w:bidi="ar-SA"/>
              </w:rPr>
            </w:pPr>
            <w:r w:rsidRPr="00000530">
              <w:rPr>
                <w:lang w:val="en-US" w:bidi="ar-SA"/>
              </w:rPr>
              <w:t>0</w:t>
            </w:r>
            <w:r>
              <w:rPr>
                <w:lang w:val="en-US" w:bidi="ar-SA"/>
              </w:rPr>
              <w:t>,</w:t>
            </w:r>
            <w:r w:rsidRPr="00000530">
              <w:rPr>
                <w:lang w:val="en-US" w:bidi="ar-SA"/>
              </w:rPr>
              <w:t>0628</w:t>
            </w:r>
          </w:p>
        </w:tc>
        <w:tc>
          <w:tcPr>
            <w:tcW w:w="2279" w:type="dxa"/>
            <w:tcBorders>
              <w:top w:val="nil"/>
              <w:bottom w:val="nil"/>
            </w:tcBorders>
            <w:vAlign w:val="center"/>
          </w:tcPr>
          <w:p w14:paraId="57D0DDC9" w14:textId="23614D4D" w:rsidR="00662ED0" w:rsidRDefault="00662ED0" w:rsidP="00662ED0">
            <w:pPr>
              <w:jc w:val="center"/>
              <w:rPr>
                <w:lang w:bidi="ar-SA"/>
              </w:rPr>
            </w:pPr>
            <w:r w:rsidRPr="00B451F7">
              <w:rPr>
                <w:lang w:val="en-US" w:bidi="ar-SA"/>
              </w:rPr>
              <w:t>0</w:t>
            </w:r>
            <w:r>
              <w:rPr>
                <w:lang w:val="en-US" w:bidi="ar-SA"/>
              </w:rPr>
              <w:t>,</w:t>
            </w:r>
            <w:r w:rsidRPr="00B451F7">
              <w:rPr>
                <w:lang w:val="en-US" w:bidi="ar-SA"/>
              </w:rPr>
              <w:t>3979</w:t>
            </w:r>
          </w:p>
        </w:tc>
      </w:tr>
      <w:tr w:rsidR="00662ED0" w14:paraId="0303A081" w14:textId="77777777" w:rsidTr="0093480E">
        <w:trPr>
          <w:jc w:val="center"/>
        </w:trPr>
        <w:tc>
          <w:tcPr>
            <w:tcW w:w="1622" w:type="dxa"/>
            <w:tcBorders>
              <w:top w:val="nil"/>
              <w:bottom w:val="nil"/>
            </w:tcBorders>
            <w:vAlign w:val="center"/>
          </w:tcPr>
          <w:p w14:paraId="636D0A58" w14:textId="77777777" w:rsidR="00662ED0" w:rsidRDefault="00662ED0" w:rsidP="00662ED0">
            <w:pPr>
              <w:jc w:val="center"/>
              <w:rPr>
                <w:lang w:bidi="ar-SA"/>
              </w:rPr>
            </w:pPr>
          </w:p>
        </w:tc>
        <w:tc>
          <w:tcPr>
            <w:tcW w:w="1542" w:type="dxa"/>
            <w:tcBorders>
              <w:top w:val="nil"/>
              <w:bottom w:val="nil"/>
            </w:tcBorders>
            <w:vAlign w:val="center"/>
          </w:tcPr>
          <w:p w14:paraId="6932AFC7" w14:textId="40A93180" w:rsidR="00662ED0" w:rsidRDefault="00662ED0" w:rsidP="00662ED0">
            <w:pPr>
              <w:jc w:val="center"/>
              <w:rPr>
                <w:lang w:bidi="ar-SA"/>
              </w:rPr>
            </w:pPr>
            <w:r>
              <w:rPr>
                <w:lang w:bidi="ar-SA"/>
              </w:rPr>
              <w:t>Precisão</w:t>
            </w:r>
          </w:p>
        </w:tc>
        <w:tc>
          <w:tcPr>
            <w:tcW w:w="1597" w:type="dxa"/>
            <w:tcBorders>
              <w:top w:val="nil"/>
              <w:bottom w:val="nil"/>
            </w:tcBorders>
            <w:vAlign w:val="bottom"/>
          </w:tcPr>
          <w:p w14:paraId="588E6605" w14:textId="529830CE" w:rsidR="00662ED0" w:rsidRDefault="00662ED0" w:rsidP="00662ED0">
            <w:pPr>
              <w:jc w:val="center"/>
              <w:rPr>
                <w:lang w:bidi="ar-SA"/>
              </w:rPr>
            </w:pPr>
            <w:r>
              <w:rPr>
                <w:rFonts w:ascii="Calibri" w:hAnsi="Calibri" w:cs="Calibri"/>
                <w:color w:val="000000"/>
              </w:rPr>
              <w:t>0,5817</w:t>
            </w:r>
          </w:p>
        </w:tc>
        <w:tc>
          <w:tcPr>
            <w:tcW w:w="1518" w:type="dxa"/>
            <w:tcBorders>
              <w:top w:val="nil"/>
              <w:bottom w:val="nil"/>
            </w:tcBorders>
            <w:vAlign w:val="center"/>
          </w:tcPr>
          <w:p w14:paraId="69ECA9E7" w14:textId="0D756DC1" w:rsidR="00662ED0" w:rsidRDefault="00662ED0" w:rsidP="00662ED0">
            <w:pPr>
              <w:jc w:val="center"/>
              <w:rPr>
                <w:lang w:bidi="ar-SA"/>
              </w:rPr>
            </w:pPr>
            <w:r w:rsidRPr="00000530">
              <w:rPr>
                <w:lang w:val="en-US" w:bidi="ar-SA"/>
              </w:rPr>
              <w:t>0</w:t>
            </w:r>
            <w:r>
              <w:rPr>
                <w:lang w:val="en-US" w:bidi="ar-SA"/>
              </w:rPr>
              <w:t>,</w:t>
            </w:r>
            <w:r w:rsidRPr="00000530">
              <w:rPr>
                <w:lang w:val="en-US" w:bidi="ar-SA"/>
              </w:rPr>
              <w:t>4332</w:t>
            </w:r>
          </w:p>
        </w:tc>
        <w:tc>
          <w:tcPr>
            <w:tcW w:w="2279" w:type="dxa"/>
            <w:tcBorders>
              <w:top w:val="nil"/>
              <w:bottom w:val="nil"/>
            </w:tcBorders>
            <w:vAlign w:val="center"/>
          </w:tcPr>
          <w:p w14:paraId="373EE5D3" w14:textId="36E555F7" w:rsidR="00662ED0" w:rsidRDefault="00662ED0" w:rsidP="00662ED0">
            <w:pPr>
              <w:jc w:val="center"/>
              <w:rPr>
                <w:lang w:bidi="ar-SA"/>
              </w:rPr>
            </w:pPr>
            <w:r w:rsidRPr="00B451F7">
              <w:rPr>
                <w:lang w:val="en-US" w:bidi="ar-SA"/>
              </w:rPr>
              <w:t>0</w:t>
            </w:r>
            <w:r>
              <w:rPr>
                <w:lang w:val="en-US" w:bidi="ar-SA"/>
              </w:rPr>
              <w:t>,</w:t>
            </w:r>
            <w:r w:rsidRPr="00B451F7">
              <w:rPr>
                <w:lang w:val="en-US" w:bidi="ar-SA"/>
              </w:rPr>
              <w:t>372</w:t>
            </w:r>
            <w:r>
              <w:rPr>
                <w:lang w:val="en-US" w:bidi="ar-SA"/>
              </w:rPr>
              <w:t>6</w:t>
            </w:r>
          </w:p>
        </w:tc>
      </w:tr>
      <w:tr w:rsidR="00662ED0" w14:paraId="2A251144" w14:textId="77777777" w:rsidTr="0093480E">
        <w:trPr>
          <w:jc w:val="center"/>
        </w:trPr>
        <w:tc>
          <w:tcPr>
            <w:tcW w:w="1622" w:type="dxa"/>
            <w:tcBorders>
              <w:top w:val="nil"/>
              <w:bottom w:val="nil"/>
            </w:tcBorders>
            <w:vAlign w:val="center"/>
          </w:tcPr>
          <w:p w14:paraId="3D3127F7" w14:textId="77777777" w:rsidR="00662ED0" w:rsidRDefault="00662ED0" w:rsidP="00662ED0">
            <w:pPr>
              <w:jc w:val="center"/>
              <w:rPr>
                <w:lang w:bidi="ar-SA"/>
              </w:rPr>
            </w:pPr>
          </w:p>
        </w:tc>
        <w:tc>
          <w:tcPr>
            <w:tcW w:w="1542" w:type="dxa"/>
            <w:tcBorders>
              <w:top w:val="nil"/>
              <w:bottom w:val="nil"/>
            </w:tcBorders>
            <w:vAlign w:val="center"/>
          </w:tcPr>
          <w:p w14:paraId="21D703EE" w14:textId="35DCD291" w:rsidR="00662ED0" w:rsidRDefault="00662ED0" w:rsidP="00662ED0">
            <w:pPr>
              <w:jc w:val="center"/>
              <w:rPr>
                <w:lang w:bidi="ar-SA"/>
              </w:rPr>
            </w:pPr>
            <w:r>
              <w:rPr>
                <w:lang w:bidi="ar-SA"/>
              </w:rPr>
              <w:t>Escore KS</w:t>
            </w:r>
          </w:p>
        </w:tc>
        <w:tc>
          <w:tcPr>
            <w:tcW w:w="1597" w:type="dxa"/>
            <w:tcBorders>
              <w:top w:val="nil"/>
              <w:bottom w:val="nil"/>
            </w:tcBorders>
            <w:vAlign w:val="bottom"/>
          </w:tcPr>
          <w:p w14:paraId="50BE79BB" w14:textId="339522C2" w:rsidR="00662ED0" w:rsidRDefault="00662ED0" w:rsidP="00662ED0">
            <w:pPr>
              <w:jc w:val="center"/>
              <w:rPr>
                <w:lang w:bidi="ar-SA"/>
              </w:rPr>
            </w:pPr>
            <w:r>
              <w:rPr>
                <w:rFonts w:ascii="Calibri" w:hAnsi="Calibri" w:cs="Calibri"/>
                <w:color w:val="000000"/>
              </w:rPr>
              <w:t>0,5736</w:t>
            </w:r>
          </w:p>
        </w:tc>
        <w:tc>
          <w:tcPr>
            <w:tcW w:w="1518" w:type="dxa"/>
            <w:tcBorders>
              <w:top w:val="nil"/>
              <w:bottom w:val="nil"/>
            </w:tcBorders>
            <w:vAlign w:val="center"/>
          </w:tcPr>
          <w:p w14:paraId="3650E495" w14:textId="6D004733" w:rsidR="00662ED0" w:rsidRDefault="00662ED0" w:rsidP="00662ED0">
            <w:pPr>
              <w:jc w:val="center"/>
              <w:rPr>
                <w:lang w:bidi="ar-SA"/>
              </w:rPr>
            </w:pPr>
            <w:r>
              <w:rPr>
                <w:lang w:bidi="ar-SA"/>
              </w:rPr>
              <w:t>0,</w:t>
            </w:r>
            <w:r w:rsidRPr="00000530">
              <w:rPr>
                <w:lang w:bidi="ar-SA"/>
              </w:rPr>
              <w:t>7795</w:t>
            </w:r>
          </w:p>
        </w:tc>
        <w:tc>
          <w:tcPr>
            <w:tcW w:w="2279" w:type="dxa"/>
            <w:tcBorders>
              <w:top w:val="nil"/>
              <w:bottom w:val="nil"/>
            </w:tcBorders>
            <w:vAlign w:val="center"/>
          </w:tcPr>
          <w:p w14:paraId="585E0650" w14:textId="5509AE57" w:rsidR="00662ED0" w:rsidRDefault="00662ED0" w:rsidP="00662ED0">
            <w:pPr>
              <w:jc w:val="center"/>
              <w:rPr>
                <w:lang w:bidi="ar-SA"/>
              </w:rPr>
            </w:pPr>
            <w:r>
              <w:rPr>
                <w:lang w:bidi="ar-SA"/>
              </w:rPr>
              <w:t>0,</w:t>
            </w:r>
            <w:r w:rsidRPr="00057FFD">
              <w:rPr>
                <w:lang w:bidi="ar-SA"/>
              </w:rPr>
              <w:t>5400</w:t>
            </w:r>
          </w:p>
        </w:tc>
      </w:tr>
      <w:tr w:rsidR="00662ED0" w14:paraId="5A8EDBEA" w14:textId="77777777" w:rsidTr="0093480E">
        <w:trPr>
          <w:jc w:val="center"/>
        </w:trPr>
        <w:tc>
          <w:tcPr>
            <w:tcW w:w="1622" w:type="dxa"/>
            <w:tcBorders>
              <w:top w:val="nil"/>
              <w:bottom w:val="single" w:sz="4" w:space="0" w:color="auto"/>
            </w:tcBorders>
            <w:vAlign w:val="center"/>
          </w:tcPr>
          <w:p w14:paraId="6B142E40" w14:textId="77777777" w:rsidR="00662ED0" w:rsidRDefault="00662ED0" w:rsidP="00662ED0">
            <w:pPr>
              <w:jc w:val="center"/>
              <w:rPr>
                <w:lang w:bidi="ar-SA"/>
              </w:rPr>
            </w:pPr>
          </w:p>
        </w:tc>
        <w:tc>
          <w:tcPr>
            <w:tcW w:w="1542" w:type="dxa"/>
            <w:tcBorders>
              <w:top w:val="nil"/>
              <w:bottom w:val="single" w:sz="4" w:space="0" w:color="auto"/>
            </w:tcBorders>
            <w:vAlign w:val="center"/>
          </w:tcPr>
          <w:p w14:paraId="003F3135" w14:textId="7386E10F" w:rsidR="00662ED0" w:rsidRDefault="00662ED0" w:rsidP="00662ED0">
            <w:pPr>
              <w:jc w:val="center"/>
              <w:rPr>
                <w:lang w:bidi="ar-SA"/>
              </w:rPr>
            </w:pPr>
            <w:r>
              <w:rPr>
                <w:lang w:bidi="ar-SA"/>
              </w:rPr>
              <w:t>AUC</w:t>
            </w:r>
          </w:p>
        </w:tc>
        <w:tc>
          <w:tcPr>
            <w:tcW w:w="1597" w:type="dxa"/>
            <w:tcBorders>
              <w:top w:val="nil"/>
              <w:bottom w:val="single" w:sz="4" w:space="0" w:color="auto"/>
            </w:tcBorders>
            <w:vAlign w:val="bottom"/>
          </w:tcPr>
          <w:p w14:paraId="134F7DB9" w14:textId="7B6330BC" w:rsidR="00662ED0" w:rsidRDefault="00662ED0" w:rsidP="00662ED0">
            <w:pPr>
              <w:jc w:val="center"/>
              <w:rPr>
                <w:lang w:bidi="ar-SA"/>
              </w:rPr>
            </w:pPr>
            <w:r>
              <w:rPr>
                <w:rFonts w:ascii="Calibri" w:hAnsi="Calibri" w:cs="Calibri"/>
                <w:color w:val="000000"/>
              </w:rPr>
              <w:t>0,9325</w:t>
            </w:r>
          </w:p>
        </w:tc>
        <w:tc>
          <w:tcPr>
            <w:tcW w:w="1518" w:type="dxa"/>
            <w:tcBorders>
              <w:top w:val="nil"/>
              <w:bottom w:val="single" w:sz="4" w:space="0" w:color="auto"/>
            </w:tcBorders>
            <w:vAlign w:val="center"/>
          </w:tcPr>
          <w:p w14:paraId="6B96CFEA" w14:textId="3EB8514F" w:rsidR="00662ED0" w:rsidRDefault="00662ED0" w:rsidP="00662ED0">
            <w:pPr>
              <w:jc w:val="center"/>
              <w:rPr>
                <w:lang w:bidi="ar-SA"/>
              </w:rPr>
            </w:pPr>
            <w:r>
              <w:rPr>
                <w:lang w:bidi="ar-SA"/>
              </w:rPr>
              <w:t>0,</w:t>
            </w:r>
            <w:r w:rsidRPr="00000530">
              <w:rPr>
                <w:lang w:bidi="ar-SA"/>
              </w:rPr>
              <w:t>5283</w:t>
            </w:r>
          </w:p>
        </w:tc>
        <w:tc>
          <w:tcPr>
            <w:tcW w:w="2279" w:type="dxa"/>
            <w:tcBorders>
              <w:top w:val="nil"/>
              <w:bottom w:val="single" w:sz="4" w:space="0" w:color="auto"/>
            </w:tcBorders>
            <w:vAlign w:val="center"/>
          </w:tcPr>
          <w:p w14:paraId="13B32493" w14:textId="0A7DE61C" w:rsidR="00662ED0" w:rsidRDefault="00662ED0" w:rsidP="00662ED0">
            <w:pPr>
              <w:jc w:val="center"/>
              <w:rPr>
                <w:lang w:bidi="ar-SA"/>
              </w:rPr>
            </w:pPr>
            <w:r w:rsidRPr="00B451F7">
              <w:rPr>
                <w:lang w:val="en-US" w:bidi="ar-SA"/>
              </w:rPr>
              <w:t>0</w:t>
            </w:r>
            <w:r>
              <w:rPr>
                <w:lang w:val="en-US" w:bidi="ar-SA"/>
              </w:rPr>
              <w:t>,</w:t>
            </w:r>
            <w:r w:rsidRPr="00B451F7">
              <w:rPr>
                <w:lang w:val="en-US" w:bidi="ar-SA"/>
              </w:rPr>
              <w:t>8819</w:t>
            </w:r>
          </w:p>
        </w:tc>
      </w:tr>
      <w:tr w:rsidR="00662ED0" w:rsidRPr="00B451F7" w14:paraId="66E1753D" w14:textId="77777777" w:rsidTr="00E85AB6">
        <w:trPr>
          <w:jc w:val="center"/>
        </w:trPr>
        <w:tc>
          <w:tcPr>
            <w:tcW w:w="1622" w:type="dxa"/>
            <w:tcBorders>
              <w:top w:val="single" w:sz="4" w:space="0" w:color="auto"/>
            </w:tcBorders>
            <w:vAlign w:val="center"/>
          </w:tcPr>
          <w:p w14:paraId="2C226843" w14:textId="06E802B0" w:rsidR="00662ED0" w:rsidRDefault="00662ED0" w:rsidP="00662ED0">
            <w:pPr>
              <w:jc w:val="center"/>
              <w:rPr>
                <w:lang w:bidi="ar-SA"/>
              </w:rPr>
            </w:pPr>
            <w:r>
              <w:rPr>
                <w:lang w:bidi="ar-SA"/>
              </w:rPr>
              <w:t>Out-of-sample</w:t>
            </w:r>
          </w:p>
        </w:tc>
        <w:tc>
          <w:tcPr>
            <w:tcW w:w="1542" w:type="dxa"/>
            <w:tcBorders>
              <w:top w:val="single" w:sz="4" w:space="0" w:color="auto"/>
            </w:tcBorders>
            <w:vAlign w:val="center"/>
          </w:tcPr>
          <w:p w14:paraId="3F068B83" w14:textId="1D0A13E7" w:rsidR="00662ED0" w:rsidRDefault="00662ED0" w:rsidP="00662ED0">
            <w:pPr>
              <w:jc w:val="center"/>
              <w:rPr>
                <w:lang w:bidi="ar-SA"/>
              </w:rPr>
            </w:pPr>
            <w:r>
              <w:rPr>
                <w:lang w:bidi="ar-SA"/>
              </w:rPr>
              <w:t>Acurácia</w:t>
            </w:r>
          </w:p>
        </w:tc>
        <w:tc>
          <w:tcPr>
            <w:tcW w:w="1597" w:type="dxa"/>
            <w:tcBorders>
              <w:top w:val="single" w:sz="4" w:space="0" w:color="auto"/>
            </w:tcBorders>
            <w:vAlign w:val="bottom"/>
          </w:tcPr>
          <w:p w14:paraId="7922EAC4" w14:textId="5274D37C" w:rsidR="00662ED0" w:rsidRDefault="00662ED0" w:rsidP="00662ED0">
            <w:pPr>
              <w:jc w:val="center"/>
              <w:rPr>
                <w:lang w:bidi="ar-SA"/>
              </w:rPr>
            </w:pPr>
            <w:r>
              <w:rPr>
                <w:rFonts w:ascii="Calibri" w:hAnsi="Calibri" w:cs="Calibri"/>
                <w:color w:val="000000"/>
              </w:rPr>
              <w:t>0,9313</w:t>
            </w:r>
          </w:p>
        </w:tc>
        <w:tc>
          <w:tcPr>
            <w:tcW w:w="1518" w:type="dxa"/>
            <w:tcBorders>
              <w:top w:val="single" w:sz="4" w:space="0" w:color="auto"/>
            </w:tcBorders>
            <w:vAlign w:val="center"/>
          </w:tcPr>
          <w:p w14:paraId="4B955AA9" w14:textId="484B53FB" w:rsidR="00662ED0" w:rsidRDefault="00662ED0" w:rsidP="00662ED0">
            <w:pPr>
              <w:jc w:val="center"/>
              <w:rPr>
                <w:lang w:bidi="ar-SA"/>
              </w:rPr>
            </w:pPr>
            <w:r w:rsidRPr="00000530">
              <w:rPr>
                <w:lang w:val="en-US" w:bidi="ar-SA"/>
              </w:rPr>
              <w:t>0</w:t>
            </w:r>
            <w:r>
              <w:rPr>
                <w:lang w:val="en-US" w:bidi="ar-SA"/>
              </w:rPr>
              <w:t>,</w:t>
            </w:r>
            <w:r w:rsidRPr="00000530">
              <w:rPr>
                <w:lang w:val="en-US" w:bidi="ar-SA"/>
              </w:rPr>
              <w:t>9286</w:t>
            </w:r>
          </w:p>
        </w:tc>
        <w:tc>
          <w:tcPr>
            <w:tcW w:w="2279" w:type="dxa"/>
            <w:tcBorders>
              <w:top w:val="single" w:sz="4" w:space="0" w:color="auto"/>
            </w:tcBorders>
            <w:vAlign w:val="center"/>
          </w:tcPr>
          <w:p w14:paraId="3BC3F02B" w14:textId="38D46EA4" w:rsidR="00662ED0" w:rsidRPr="00B451F7" w:rsidRDefault="00662ED0" w:rsidP="00662ED0">
            <w:pPr>
              <w:jc w:val="center"/>
              <w:rPr>
                <w:lang w:val="en-US" w:bidi="ar-SA"/>
              </w:rPr>
            </w:pPr>
            <w:r w:rsidRPr="00B451F7">
              <w:rPr>
                <w:lang w:val="en-US" w:bidi="ar-SA"/>
              </w:rPr>
              <w:t>0</w:t>
            </w:r>
            <w:r>
              <w:rPr>
                <w:lang w:val="en-US" w:bidi="ar-SA"/>
              </w:rPr>
              <w:t>,</w:t>
            </w:r>
            <w:r w:rsidRPr="00B451F7">
              <w:rPr>
                <w:lang w:val="en-US" w:bidi="ar-SA"/>
              </w:rPr>
              <w:t>911</w:t>
            </w:r>
            <w:r>
              <w:rPr>
                <w:lang w:val="en-US" w:bidi="ar-SA"/>
              </w:rPr>
              <w:t>3</w:t>
            </w:r>
          </w:p>
        </w:tc>
      </w:tr>
      <w:tr w:rsidR="00662ED0" w14:paraId="37544A5B" w14:textId="77777777" w:rsidTr="00E85AB6">
        <w:trPr>
          <w:jc w:val="center"/>
        </w:trPr>
        <w:tc>
          <w:tcPr>
            <w:tcW w:w="1622" w:type="dxa"/>
            <w:vAlign w:val="center"/>
          </w:tcPr>
          <w:p w14:paraId="725B9A45" w14:textId="77777777" w:rsidR="00662ED0" w:rsidRPr="00B451F7" w:rsidRDefault="00662ED0" w:rsidP="00662ED0">
            <w:pPr>
              <w:jc w:val="center"/>
              <w:rPr>
                <w:lang w:val="en-US" w:bidi="ar-SA"/>
              </w:rPr>
            </w:pPr>
          </w:p>
        </w:tc>
        <w:tc>
          <w:tcPr>
            <w:tcW w:w="1542" w:type="dxa"/>
            <w:vAlign w:val="center"/>
          </w:tcPr>
          <w:p w14:paraId="3F3A4599" w14:textId="26AA3C71" w:rsidR="00662ED0" w:rsidRPr="00B451F7" w:rsidRDefault="00662ED0" w:rsidP="00662ED0">
            <w:pPr>
              <w:jc w:val="center"/>
              <w:rPr>
                <w:lang w:val="en-US" w:bidi="ar-SA"/>
              </w:rPr>
            </w:pPr>
            <w:r>
              <w:rPr>
                <w:lang w:bidi="ar-SA"/>
              </w:rPr>
              <w:t>Escore F1</w:t>
            </w:r>
          </w:p>
        </w:tc>
        <w:tc>
          <w:tcPr>
            <w:tcW w:w="1597" w:type="dxa"/>
            <w:vAlign w:val="bottom"/>
          </w:tcPr>
          <w:p w14:paraId="398CD43A" w14:textId="66E21642" w:rsidR="00662ED0" w:rsidRPr="00B451F7" w:rsidRDefault="00662ED0" w:rsidP="00662ED0">
            <w:pPr>
              <w:jc w:val="center"/>
              <w:rPr>
                <w:lang w:val="en-US" w:bidi="ar-SA"/>
              </w:rPr>
            </w:pPr>
            <w:r>
              <w:rPr>
                <w:rFonts w:ascii="Calibri" w:hAnsi="Calibri" w:cs="Calibri"/>
                <w:color w:val="000000"/>
              </w:rPr>
              <w:t>0,2292</w:t>
            </w:r>
          </w:p>
        </w:tc>
        <w:tc>
          <w:tcPr>
            <w:tcW w:w="1518" w:type="dxa"/>
            <w:vAlign w:val="center"/>
          </w:tcPr>
          <w:p w14:paraId="6AB68025" w14:textId="43E2FB99" w:rsidR="00662ED0" w:rsidRDefault="00662ED0" w:rsidP="00662ED0">
            <w:pPr>
              <w:jc w:val="center"/>
              <w:rPr>
                <w:lang w:bidi="ar-SA"/>
              </w:rPr>
            </w:pPr>
            <w:r w:rsidRPr="00000530">
              <w:rPr>
                <w:lang w:val="en-US" w:bidi="ar-SA"/>
              </w:rPr>
              <w:t>0</w:t>
            </w:r>
            <w:r>
              <w:rPr>
                <w:lang w:val="en-US" w:bidi="ar-SA"/>
              </w:rPr>
              <w:t>,</w:t>
            </w:r>
            <w:r w:rsidRPr="00000530">
              <w:rPr>
                <w:lang w:val="en-US" w:bidi="ar-SA"/>
              </w:rPr>
              <w:t>113</w:t>
            </w:r>
            <w:r>
              <w:rPr>
                <w:lang w:val="en-US" w:bidi="ar-SA"/>
              </w:rPr>
              <w:t>8</w:t>
            </w:r>
          </w:p>
        </w:tc>
        <w:tc>
          <w:tcPr>
            <w:tcW w:w="2279" w:type="dxa"/>
            <w:vAlign w:val="center"/>
          </w:tcPr>
          <w:p w14:paraId="765F0BCA" w14:textId="3C96A16F" w:rsidR="00662ED0" w:rsidRPr="00B451F7" w:rsidRDefault="00662ED0" w:rsidP="00662ED0">
            <w:pPr>
              <w:jc w:val="center"/>
              <w:rPr>
                <w:lang w:val="en-US" w:bidi="ar-SA"/>
              </w:rPr>
            </w:pPr>
            <w:r w:rsidRPr="00B451F7">
              <w:rPr>
                <w:lang w:val="en-US" w:bidi="ar-SA"/>
              </w:rPr>
              <w:t>0</w:t>
            </w:r>
            <w:r>
              <w:rPr>
                <w:lang w:val="en-US" w:bidi="ar-SA"/>
              </w:rPr>
              <w:t>,</w:t>
            </w:r>
            <w:r w:rsidRPr="00B451F7">
              <w:rPr>
                <w:lang w:val="en-US" w:bidi="ar-SA"/>
              </w:rPr>
              <w:t>388</w:t>
            </w:r>
            <w:r>
              <w:rPr>
                <w:lang w:val="en-US" w:bidi="ar-SA"/>
              </w:rPr>
              <w:t>5</w:t>
            </w:r>
          </w:p>
        </w:tc>
      </w:tr>
      <w:tr w:rsidR="00662ED0" w14:paraId="39F366CA" w14:textId="77777777" w:rsidTr="00E85AB6">
        <w:trPr>
          <w:jc w:val="center"/>
        </w:trPr>
        <w:tc>
          <w:tcPr>
            <w:tcW w:w="1622" w:type="dxa"/>
            <w:vAlign w:val="center"/>
          </w:tcPr>
          <w:p w14:paraId="37B55635" w14:textId="77777777" w:rsidR="00662ED0" w:rsidRDefault="00662ED0" w:rsidP="00662ED0">
            <w:pPr>
              <w:jc w:val="center"/>
              <w:rPr>
                <w:lang w:bidi="ar-SA"/>
              </w:rPr>
            </w:pPr>
          </w:p>
        </w:tc>
        <w:tc>
          <w:tcPr>
            <w:tcW w:w="1542" w:type="dxa"/>
            <w:vAlign w:val="center"/>
          </w:tcPr>
          <w:p w14:paraId="42B8FE3A" w14:textId="6BDD8561" w:rsidR="00662ED0" w:rsidRDefault="00662ED0" w:rsidP="00662ED0">
            <w:pPr>
              <w:jc w:val="center"/>
              <w:rPr>
                <w:lang w:bidi="ar-SA"/>
              </w:rPr>
            </w:pPr>
            <w:r>
              <w:rPr>
                <w:lang w:bidi="ar-SA"/>
              </w:rPr>
              <w:t>Recall</w:t>
            </w:r>
          </w:p>
        </w:tc>
        <w:tc>
          <w:tcPr>
            <w:tcW w:w="1597" w:type="dxa"/>
            <w:vAlign w:val="bottom"/>
          </w:tcPr>
          <w:p w14:paraId="4DFDE224" w14:textId="0A7CD67E" w:rsidR="00662ED0" w:rsidRDefault="00662ED0" w:rsidP="00662ED0">
            <w:pPr>
              <w:jc w:val="center"/>
              <w:rPr>
                <w:lang w:bidi="ar-SA"/>
              </w:rPr>
            </w:pPr>
            <w:r>
              <w:rPr>
                <w:rFonts w:ascii="Calibri" w:hAnsi="Calibri" w:cs="Calibri"/>
                <w:color w:val="000000"/>
              </w:rPr>
              <w:t>0,1446</w:t>
            </w:r>
          </w:p>
        </w:tc>
        <w:tc>
          <w:tcPr>
            <w:tcW w:w="1518" w:type="dxa"/>
            <w:vAlign w:val="center"/>
          </w:tcPr>
          <w:p w14:paraId="1FD96E93" w14:textId="75DAEABB" w:rsidR="00662ED0" w:rsidRDefault="00662ED0" w:rsidP="00662ED0">
            <w:pPr>
              <w:jc w:val="center"/>
              <w:rPr>
                <w:lang w:bidi="ar-SA"/>
              </w:rPr>
            </w:pPr>
            <w:r w:rsidRPr="00000530">
              <w:rPr>
                <w:lang w:val="en-US" w:bidi="ar-SA"/>
              </w:rPr>
              <w:t>0</w:t>
            </w:r>
            <w:r>
              <w:rPr>
                <w:lang w:val="en-US" w:bidi="ar-SA"/>
              </w:rPr>
              <w:t>,</w:t>
            </w:r>
            <w:r w:rsidRPr="00000530">
              <w:rPr>
                <w:lang w:val="en-US" w:bidi="ar-SA"/>
              </w:rPr>
              <w:t>0662</w:t>
            </w:r>
          </w:p>
        </w:tc>
        <w:tc>
          <w:tcPr>
            <w:tcW w:w="2279" w:type="dxa"/>
            <w:vAlign w:val="center"/>
          </w:tcPr>
          <w:p w14:paraId="7373BBAA" w14:textId="0FEDF3A9" w:rsidR="00662ED0" w:rsidRDefault="00662ED0" w:rsidP="00662ED0">
            <w:pPr>
              <w:jc w:val="center"/>
              <w:rPr>
                <w:lang w:bidi="ar-SA"/>
              </w:rPr>
            </w:pPr>
            <w:r w:rsidRPr="00B451F7">
              <w:rPr>
                <w:lang w:val="en-US" w:bidi="ar-SA"/>
              </w:rPr>
              <w:t>0</w:t>
            </w:r>
            <w:r>
              <w:rPr>
                <w:lang w:val="en-US" w:bidi="ar-SA"/>
              </w:rPr>
              <w:t>,</w:t>
            </w:r>
            <w:r w:rsidRPr="00B451F7">
              <w:rPr>
                <w:lang w:val="en-US" w:bidi="ar-SA"/>
              </w:rPr>
              <w:t>407</w:t>
            </w:r>
            <w:r>
              <w:rPr>
                <w:lang w:val="en-US" w:bidi="ar-SA"/>
              </w:rPr>
              <w:t>5</w:t>
            </w:r>
          </w:p>
        </w:tc>
      </w:tr>
      <w:tr w:rsidR="00662ED0" w14:paraId="4920E99A" w14:textId="77777777" w:rsidTr="00E85AB6">
        <w:trPr>
          <w:jc w:val="center"/>
        </w:trPr>
        <w:tc>
          <w:tcPr>
            <w:tcW w:w="1622" w:type="dxa"/>
            <w:vAlign w:val="center"/>
          </w:tcPr>
          <w:p w14:paraId="49BB1AF0" w14:textId="77777777" w:rsidR="00662ED0" w:rsidRDefault="00662ED0" w:rsidP="00662ED0">
            <w:pPr>
              <w:jc w:val="center"/>
              <w:rPr>
                <w:lang w:bidi="ar-SA"/>
              </w:rPr>
            </w:pPr>
          </w:p>
        </w:tc>
        <w:tc>
          <w:tcPr>
            <w:tcW w:w="1542" w:type="dxa"/>
            <w:vAlign w:val="center"/>
          </w:tcPr>
          <w:p w14:paraId="2A0554F0" w14:textId="2C52BB46" w:rsidR="00662ED0" w:rsidRDefault="00662ED0" w:rsidP="00662ED0">
            <w:pPr>
              <w:jc w:val="center"/>
              <w:rPr>
                <w:lang w:bidi="ar-SA"/>
              </w:rPr>
            </w:pPr>
            <w:r>
              <w:rPr>
                <w:lang w:bidi="ar-SA"/>
              </w:rPr>
              <w:t>Precisão</w:t>
            </w:r>
          </w:p>
        </w:tc>
        <w:tc>
          <w:tcPr>
            <w:tcW w:w="1597" w:type="dxa"/>
            <w:vAlign w:val="bottom"/>
          </w:tcPr>
          <w:p w14:paraId="2998364F" w14:textId="723D648E" w:rsidR="00662ED0" w:rsidRDefault="00662ED0" w:rsidP="00662ED0">
            <w:pPr>
              <w:jc w:val="center"/>
              <w:rPr>
                <w:lang w:bidi="ar-SA"/>
              </w:rPr>
            </w:pPr>
            <w:r>
              <w:rPr>
                <w:rFonts w:ascii="Calibri" w:hAnsi="Calibri" w:cs="Calibri"/>
                <w:color w:val="000000"/>
              </w:rPr>
              <w:t>0,5526</w:t>
            </w:r>
          </w:p>
        </w:tc>
        <w:tc>
          <w:tcPr>
            <w:tcW w:w="1518" w:type="dxa"/>
            <w:vAlign w:val="center"/>
          </w:tcPr>
          <w:p w14:paraId="4F68343D" w14:textId="6A6BF314" w:rsidR="00662ED0" w:rsidRDefault="00662ED0" w:rsidP="00662ED0">
            <w:pPr>
              <w:jc w:val="center"/>
              <w:rPr>
                <w:lang w:bidi="ar-SA"/>
              </w:rPr>
            </w:pPr>
            <w:r w:rsidRPr="00000530">
              <w:rPr>
                <w:lang w:val="en-US" w:bidi="ar-SA"/>
              </w:rPr>
              <w:t>0</w:t>
            </w:r>
            <w:r>
              <w:rPr>
                <w:lang w:val="en-US" w:bidi="ar-SA"/>
              </w:rPr>
              <w:t>,</w:t>
            </w:r>
            <w:r w:rsidRPr="003B6A41">
              <w:rPr>
                <w:lang w:val="en-US" w:bidi="ar-SA"/>
              </w:rPr>
              <w:t>4035</w:t>
            </w:r>
          </w:p>
        </w:tc>
        <w:tc>
          <w:tcPr>
            <w:tcW w:w="2279" w:type="dxa"/>
            <w:vAlign w:val="center"/>
          </w:tcPr>
          <w:p w14:paraId="6BA8E332" w14:textId="2DC9E479" w:rsidR="00662ED0" w:rsidRDefault="00662ED0" w:rsidP="00662ED0">
            <w:pPr>
              <w:jc w:val="center"/>
              <w:rPr>
                <w:lang w:bidi="ar-SA"/>
              </w:rPr>
            </w:pPr>
            <w:r w:rsidRPr="00B451F7">
              <w:rPr>
                <w:lang w:val="en-US" w:bidi="ar-SA"/>
              </w:rPr>
              <w:t>0</w:t>
            </w:r>
            <w:r>
              <w:rPr>
                <w:lang w:val="en-US" w:bidi="ar-SA"/>
              </w:rPr>
              <w:t>,</w:t>
            </w:r>
            <w:r w:rsidRPr="00B451F7">
              <w:rPr>
                <w:lang w:val="en-US" w:bidi="ar-SA"/>
              </w:rPr>
              <w:t>371</w:t>
            </w:r>
            <w:r>
              <w:rPr>
                <w:lang w:val="en-US" w:bidi="ar-SA"/>
              </w:rPr>
              <w:t>2</w:t>
            </w:r>
          </w:p>
        </w:tc>
      </w:tr>
      <w:tr w:rsidR="00662ED0" w14:paraId="0E500BFE" w14:textId="77777777" w:rsidTr="00E85AB6">
        <w:trPr>
          <w:jc w:val="center"/>
        </w:trPr>
        <w:tc>
          <w:tcPr>
            <w:tcW w:w="1622" w:type="dxa"/>
            <w:vAlign w:val="center"/>
          </w:tcPr>
          <w:p w14:paraId="0EAE9D47" w14:textId="77777777" w:rsidR="00662ED0" w:rsidRDefault="00662ED0" w:rsidP="00662ED0">
            <w:pPr>
              <w:jc w:val="center"/>
              <w:rPr>
                <w:lang w:bidi="ar-SA"/>
              </w:rPr>
            </w:pPr>
          </w:p>
        </w:tc>
        <w:tc>
          <w:tcPr>
            <w:tcW w:w="1542" w:type="dxa"/>
            <w:vAlign w:val="center"/>
          </w:tcPr>
          <w:p w14:paraId="5BD46896" w14:textId="7CE72898" w:rsidR="00662ED0" w:rsidRDefault="00662ED0" w:rsidP="00662ED0">
            <w:pPr>
              <w:jc w:val="center"/>
              <w:rPr>
                <w:lang w:bidi="ar-SA"/>
              </w:rPr>
            </w:pPr>
            <w:r>
              <w:rPr>
                <w:lang w:bidi="ar-SA"/>
              </w:rPr>
              <w:t>Escore KS</w:t>
            </w:r>
          </w:p>
        </w:tc>
        <w:tc>
          <w:tcPr>
            <w:tcW w:w="1597" w:type="dxa"/>
            <w:vAlign w:val="bottom"/>
          </w:tcPr>
          <w:p w14:paraId="7EBD1A61" w14:textId="3847920C" w:rsidR="00662ED0" w:rsidRDefault="00662ED0" w:rsidP="00662ED0">
            <w:pPr>
              <w:jc w:val="center"/>
              <w:rPr>
                <w:lang w:bidi="ar-SA"/>
              </w:rPr>
            </w:pPr>
            <w:r>
              <w:rPr>
                <w:rFonts w:ascii="Calibri" w:hAnsi="Calibri" w:cs="Calibri"/>
                <w:color w:val="000000"/>
              </w:rPr>
              <w:t>0,5678</w:t>
            </w:r>
          </w:p>
        </w:tc>
        <w:tc>
          <w:tcPr>
            <w:tcW w:w="1518" w:type="dxa"/>
            <w:vAlign w:val="center"/>
          </w:tcPr>
          <w:p w14:paraId="37A9FDEA" w14:textId="4A593CE0" w:rsidR="00662ED0" w:rsidRDefault="00662ED0" w:rsidP="00662ED0">
            <w:pPr>
              <w:jc w:val="center"/>
              <w:rPr>
                <w:lang w:bidi="ar-SA"/>
              </w:rPr>
            </w:pPr>
            <w:r>
              <w:rPr>
                <w:lang w:bidi="ar-SA"/>
              </w:rPr>
              <w:t>0,</w:t>
            </w:r>
            <w:r w:rsidRPr="003B6A41">
              <w:rPr>
                <w:lang w:bidi="ar-SA"/>
              </w:rPr>
              <w:t>7712</w:t>
            </w:r>
          </w:p>
        </w:tc>
        <w:tc>
          <w:tcPr>
            <w:tcW w:w="2279" w:type="dxa"/>
            <w:vAlign w:val="center"/>
          </w:tcPr>
          <w:p w14:paraId="0F7ECB75" w14:textId="1E4A1859" w:rsidR="00662ED0" w:rsidRDefault="00662ED0" w:rsidP="00662ED0">
            <w:pPr>
              <w:jc w:val="center"/>
              <w:rPr>
                <w:lang w:bidi="ar-SA"/>
              </w:rPr>
            </w:pPr>
            <w:r w:rsidRPr="00057FFD">
              <w:rPr>
                <w:lang w:bidi="ar-SA"/>
              </w:rPr>
              <w:t>0</w:t>
            </w:r>
            <w:r>
              <w:rPr>
                <w:lang w:bidi="ar-SA"/>
              </w:rPr>
              <w:t>,</w:t>
            </w:r>
            <w:r w:rsidRPr="00057FFD">
              <w:rPr>
                <w:lang w:bidi="ar-SA"/>
              </w:rPr>
              <w:t>6803</w:t>
            </w:r>
          </w:p>
        </w:tc>
      </w:tr>
      <w:tr w:rsidR="00662ED0" w14:paraId="195BDDD2" w14:textId="77777777" w:rsidTr="00E85AB6">
        <w:trPr>
          <w:jc w:val="center"/>
        </w:trPr>
        <w:tc>
          <w:tcPr>
            <w:tcW w:w="1622" w:type="dxa"/>
            <w:vAlign w:val="center"/>
          </w:tcPr>
          <w:p w14:paraId="2FE8C380" w14:textId="77777777" w:rsidR="00662ED0" w:rsidRDefault="00662ED0" w:rsidP="00662ED0">
            <w:pPr>
              <w:jc w:val="center"/>
              <w:rPr>
                <w:lang w:bidi="ar-SA"/>
              </w:rPr>
            </w:pPr>
          </w:p>
        </w:tc>
        <w:tc>
          <w:tcPr>
            <w:tcW w:w="1542" w:type="dxa"/>
            <w:vAlign w:val="center"/>
          </w:tcPr>
          <w:p w14:paraId="0FA0D022" w14:textId="4B0D49F3" w:rsidR="00662ED0" w:rsidRDefault="00662ED0" w:rsidP="00662ED0">
            <w:pPr>
              <w:jc w:val="center"/>
              <w:rPr>
                <w:lang w:bidi="ar-SA"/>
              </w:rPr>
            </w:pPr>
            <w:r>
              <w:rPr>
                <w:lang w:bidi="ar-SA"/>
              </w:rPr>
              <w:t>AUC</w:t>
            </w:r>
          </w:p>
        </w:tc>
        <w:tc>
          <w:tcPr>
            <w:tcW w:w="1597" w:type="dxa"/>
            <w:vAlign w:val="bottom"/>
          </w:tcPr>
          <w:p w14:paraId="275D5888" w14:textId="2CBAB6F2" w:rsidR="00662ED0" w:rsidRDefault="00662ED0" w:rsidP="00662ED0">
            <w:pPr>
              <w:jc w:val="center"/>
              <w:rPr>
                <w:lang w:bidi="ar-SA"/>
              </w:rPr>
            </w:pPr>
            <w:r>
              <w:rPr>
                <w:rFonts w:ascii="Calibri" w:hAnsi="Calibri" w:cs="Calibri"/>
                <w:color w:val="000000"/>
              </w:rPr>
              <w:t>0,9313</w:t>
            </w:r>
          </w:p>
        </w:tc>
        <w:tc>
          <w:tcPr>
            <w:tcW w:w="1518" w:type="dxa"/>
            <w:vAlign w:val="center"/>
          </w:tcPr>
          <w:p w14:paraId="431A2B61" w14:textId="67468716" w:rsidR="00662ED0" w:rsidRDefault="00662ED0" w:rsidP="00662ED0">
            <w:pPr>
              <w:jc w:val="center"/>
              <w:rPr>
                <w:lang w:bidi="ar-SA"/>
              </w:rPr>
            </w:pPr>
            <w:r>
              <w:rPr>
                <w:lang w:bidi="ar-SA"/>
              </w:rPr>
              <w:t>0,</w:t>
            </w:r>
            <w:r w:rsidRPr="003B6A41">
              <w:rPr>
                <w:lang w:bidi="ar-SA"/>
              </w:rPr>
              <w:t>918</w:t>
            </w:r>
            <w:r>
              <w:rPr>
                <w:lang w:bidi="ar-SA"/>
              </w:rPr>
              <w:t>4</w:t>
            </w:r>
          </w:p>
        </w:tc>
        <w:tc>
          <w:tcPr>
            <w:tcW w:w="2279" w:type="dxa"/>
            <w:vAlign w:val="center"/>
          </w:tcPr>
          <w:p w14:paraId="5DFEF723" w14:textId="2460AD0A" w:rsidR="00662ED0" w:rsidRDefault="00662ED0" w:rsidP="00662ED0">
            <w:pPr>
              <w:jc w:val="center"/>
              <w:rPr>
                <w:lang w:bidi="ar-SA"/>
              </w:rPr>
            </w:pPr>
            <w:r>
              <w:rPr>
                <w:lang w:val="en-US" w:bidi="ar-SA"/>
              </w:rPr>
              <w:t>0,</w:t>
            </w:r>
            <w:r w:rsidRPr="00B451F7">
              <w:rPr>
                <w:lang w:val="en-US" w:bidi="ar-SA"/>
              </w:rPr>
              <w:t>881</w:t>
            </w:r>
            <w:r>
              <w:rPr>
                <w:lang w:val="en-US" w:bidi="ar-SA"/>
              </w:rPr>
              <w:t>1</w:t>
            </w:r>
          </w:p>
        </w:tc>
      </w:tr>
    </w:tbl>
    <w:p w14:paraId="3071BC9A" w14:textId="77777777" w:rsidR="00000530" w:rsidRPr="00000530" w:rsidRDefault="00000530" w:rsidP="00000530">
      <w:pPr>
        <w:rPr>
          <w:lang w:bidi="ar-SA"/>
        </w:rPr>
      </w:pPr>
    </w:p>
    <w:p w14:paraId="61630C67" w14:textId="77777777" w:rsidR="00B3707D" w:rsidRDefault="00B3707D" w:rsidP="00B3707D">
      <w:pPr>
        <w:pStyle w:val="Legenda"/>
        <w:rPr>
          <w:color w:val="auto"/>
          <w:sz w:val="22"/>
          <w:szCs w:val="22"/>
        </w:rPr>
      </w:pPr>
    </w:p>
    <w:p w14:paraId="05A725A1" w14:textId="77777777" w:rsidR="003B6A41" w:rsidRDefault="003B6A41" w:rsidP="003B6A41">
      <w:pPr>
        <w:rPr>
          <w:lang w:bidi="ar-SA"/>
        </w:rPr>
      </w:pPr>
    </w:p>
    <w:p w14:paraId="100D4C99" w14:textId="308EC3B3" w:rsidR="003B6A41" w:rsidRDefault="003B6A41" w:rsidP="003B6A41">
      <w:pPr>
        <w:pStyle w:val="Legenda"/>
        <w:spacing w:after="120"/>
        <w:rPr>
          <w:color w:val="auto"/>
          <w:sz w:val="22"/>
          <w:szCs w:val="22"/>
        </w:rPr>
      </w:pPr>
      <w:r w:rsidRPr="003A5166">
        <w:rPr>
          <w:color w:val="auto"/>
          <w:sz w:val="22"/>
          <w:szCs w:val="22"/>
        </w:rPr>
        <w:t xml:space="preserve">Tabela </w:t>
      </w:r>
      <w:r w:rsidRPr="003A5166">
        <w:rPr>
          <w:color w:val="auto"/>
          <w:sz w:val="22"/>
          <w:szCs w:val="22"/>
        </w:rPr>
        <w:fldChar w:fldCharType="begin"/>
      </w:r>
      <w:r w:rsidRPr="003A5166">
        <w:rPr>
          <w:color w:val="auto"/>
          <w:sz w:val="22"/>
          <w:szCs w:val="22"/>
        </w:rPr>
        <w:instrText xml:space="preserve"> SEQ Tabela \* ARABIC </w:instrText>
      </w:r>
      <w:r w:rsidRPr="003A5166">
        <w:rPr>
          <w:color w:val="auto"/>
          <w:sz w:val="22"/>
          <w:szCs w:val="22"/>
        </w:rPr>
        <w:fldChar w:fldCharType="separate"/>
      </w:r>
      <w:r>
        <w:rPr>
          <w:noProof/>
          <w:color w:val="auto"/>
          <w:sz w:val="22"/>
          <w:szCs w:val="22"/>
        </w:rPr>
        <w:t>4</w:t>
      </w:r>
      <w:r w:rsidRPr="003A5166">
        <w:rPr>
          <w:color w:val="auto"/>
          <w:sz w:val="22"/>
          <w:szCs w:val="22"/>
        </w:rPr>
        <w:fldChar w:fldCharType="end"/>
      </w:r>
      <w:r w:rsidRPr="003A5166">
        <w:rPr>
          <w:color w:val="auto"/>
          <w:sz w:val="22"/>
          <w:szCs w:val="22"/>
        </w:rPr>
        <w:t xml:space="preserve"> –</w:t>
      </w:r>
      <w:r>
        <w:rPr>
          <w:color w:val="auto"/>
          <w:sz w:val="22"/>
          <w:szCs w:val="22"/>
        </w:rPr>
        <w:t xml:space="preserve"> Distribuição das Probabilidade de Inadimplência </w:t>
      </w:r>
    </w:p>
    <w:tbl>
      <w:tblPr>
        <w:tblStyle w:val="Tabelacomgrade"/>
        <w:tblW w:w="8504" w:type="dxa"/>
        <w:jc w:val="center"/>
        <w:tblBorders>
          <w:left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065"/>
        <w:gridCol w:w="986"/>
        <w:gridCol w:w="1133"/>
        <w:gridCol w:w="1051"/>
        <w:gridCol w:w="881"/>
        <w:gridCol w:w="1164"/>
        <w:gridCol w:w="1163"/>
        <w:gridCol w:w="1061"/>
      </w:tblGrid>
      <w:tr w:rsidR="00B451F7" w14:paraId="7AE6B08B" w14:textId="77777777" w:rsidTr="00662ED0">
        <w:trPr>
          <w:jc w:val="center"/>
        </w:trPr>
        <w:tc>
          <w:tcPr>
            <w:tcW w:w="1065" w:type="dxa"/>
            <w:tcBorders>
              <w:top w:val="single" w:sz="4" w:space="0" w:color="auto"/>
              <w:bottom w:val="single" w:sz="4" w:space="0" w:color="auto"/>
              <w:right w:val="nil"/>
            </w:tcBorders>
            <w:vAlign w:val="center"/>
          </w:tcPr>
          <w:p w14:paraId="694053C2" w14:textId="77777777" w:rsidR="003B6A41" w:rsidRDefault="003B6A41" w:rsidP="00057FFD">
            <w:pPr>
              <w:jc w:val="center"/>
              <w:rPr>
                <w:lang w:bidi="ar-SA"/>
              </w:rPr>
            </w:pPr>
          </w:p>
        </w:tc>
        <w:tc>
          <w:tcPr>
            <w:tcW w:w="986" w:type="dxa"/>
            <w:tcBorders>
              <w:top w:val="single" w:sz="4" w:space="0" w:color="auto"/>
              <w:left w:val="nil"/>
              <w:bottom w:val="single" w:sz="4" w:space="0" w:color="auto"/>
              <w:right w:val="nil"/>
            </w:tcBorders>
            <w:vAlign w:val="center"/>
          </w:tcPr>
          <w:p w14:paraId="63DA32EF" w14:textId="30A9780B" w:rsidR="003B6A41" w:rsidRDefault="003B6A41" w:rsidP="00057FFD">
            <w:pPr>
              <w:jc w:val="center"/>
              <w:rPr>
                <w:lang w:bidi="ar-SA"/>
              </w:rPr>
            </w:pPr>
            <w:r>
              <w:rPr>
                <w:lang w:bidi="ar-SA"/>
              </w:rPr>
              <w:t>Target</w:t>
            </w:r>
          </w:p>
        </w:tc>
        <w:tc>
          <w:tcPr>
            <w:tcW w:w="1133" w:type="dxa"/>
            <w:tcBorders>
              <w:top w:val="single" w:sz="4" w:space="0" w:color="auto"/>
              <w:left w:val="nil"/>
              <w:bottom w:val="single" w:sz="4" w:space="0" w:color="auto"/>
              <w:right w:val="nil"/>
            </w:tcBorders>
            <w:vAlign w:val="center"/>
          </w:tcPr>
          <w:p w14:paraId="664C603A" w14:textId="44713F7E" w:rsidR="003B6A41" w:rsidRDefault="003B6A41" w:rsidP="00057FFD">
            <w:pPr>
              <w:jc w:val="center"/>
              <w:rPr>
                <w:lang w:bidi="ar-SA"/>
              </w:rPr>
            </w:pPr>
            <w:r>
              <w:rPr>
                <w:lang w:bidi="ar-SA"/>
              </w:rPr>
              <w:t>Contagem</w:t>
            </w:r>
          </w:p>
        </w:tc>
        <w:tc>
          <w:tcPr>
            <w:tcW w:w="1051" w:type="dxa"/>
            <w:tcBorders>
              <w:top w:val="single" w:sz="4" w:space="0" w:color="auto"/>
              <w:left w:val="nil"/>
              <w:bottom w:val="single" w:sz="4" w:space="0" w:color="auto"/>
              <w:right w:val="nil"/>
            </w:tcBorders>
            <w:vAlign w:val="center"/>
          </w:tcPr>
          <w:p w14:paraId="1B147CE5" w14:textId="31F07A7C" w:rsidR="003B6A41" w:rsidRDefault="003B6A41" w:rsidP="00057FFD">
            <w:pPr>
              <w:jc w:val="center"/>
              <w:rPr>
                <w:lang w:bidi="ar-SA"/>
              </w:rPr>
            </w:pPr>
            <w:r>
              <w:rPr>
                <w:lang w:bidi="ar-SA"/>
              </w:rPr>
              <w:t>Média</w:t>
            </w:r>
          </w:p>
        </w:tc>
        <w:tc>
          <w:tcPr>
            <w:tcW w:w="881" w:type="dxa"/>
            <w:tcBorders>
              <w:top w:val="single" w:sz="4" w:space="0" w:color="auto"/>
              <w:left w:val="nil"/>
              <w:bottom w:val="single" w:sz="4" w:space="0" w:color="auto"/>
              <w:right w:val="nil"/>
            </w:tcBorders>
            <w:vAlign w:val="center"/>
          </w:tcPr>
          <w:p w14:paraId="7C082ABD" w14:textId="057DDB6A" w:rsidR="003B6A41" w:rsidRDefault="003B6A41" w:rsidP="00057FFD">
            <w:pPr>
              <w:jc w:val="center"/>
              <w:rPr>
                <w:lang w:bidi="ar-SA"/>
              </w:rPr>
            </w:pPr>
            <w:r>
              <w:rPr>
                <w:lang w:bidi="ar-SA"/>
              </w:rPr>
              <w:t>Desvio-Padrão</w:t>
            </w:r>
          </w:p>
        </w:tc>
        <w:tc>
          <w:tcPr>
            <w:tcW w:w="1164" w:type="dxa"/>
            <w:tcBorders>
              <w:top w:val="single" w:sz="4" w:space="0" w:color="auto"/>
              <w:left w:val="nil"/>
              <w:bottom w:val="single" w:sz="4" w:space="0" w:color="auto"/>
              <w:right w:val="nil"/>
            </w:tcBorders>
            <w:vAlign w:val="center"/>
          </w:tcPr>
          <w:p w14:paraId="44E0E586" w14:textId="5F76E388" w:rsidR="003B6A41" w:rsidRDefault="003B6A41" w:rsidP="00057FFD">
            <w:pPr>
              <w:jc w:val="center"/>
              <w:rPr>
                <w:lang w:bidi="ar-SA"/>
              </w:rPr>
            </w:pPr>
            <w:r>
              <w:rPr>
                <w:lang w:bidi="ar-SA"/>
              </w:rPr>
              <w:t>Percentil 25%</w:t>
            </w:r>
          </w:p>
        </w:tc>
        <w:tc>
          <w:tcPr>
            <w:tcW w:w="1163" w:type="dxa"/>
            <w:tcBorders>
              <w:top w:val="single" w:sz="4" w:space="0" w:color="auto"/>
              <w:left w:val="nil"/>
              <w:bottom w:val="single" w:sz="4" w:space="0" w:color="auto"/>
              <w:right w:val="nil"/>
            </w:tcBorders>
            <w:vAlign w:val="center"/>
          </w:tcPr>
          <w:p w14:paraId="02D21256" w14:textId="750739FC" w:rsidR="003B6A41" w:rsidRDefault="003B6A41" w:rsidP="00057FFD">
            <w:pPr>
              <w:jc w:val="center"/>
              <w:rPr>
                <w:lang w:bidi="ar-SA"/>
              </w:rPr>
            </w:pPr>
            <w:r>
              <w:rPr>
                <w:lang w:bidi="ar-SA"/>
              </w:rPr>
              <w:t>Percentil 50%</w:t>
            </w:r>
          </w:p>
        </w:tc>
        <w:tc>
          <w:tcPr>
            <w:tcW w:w="1061" w:type="dxa"/>
            <w:tcBorders>
              <w:top w:val="single" w:sz="4" w:space="0" w:color="auto"/>
              <w:left w:val="nil"/>
              <w:bottom w:val="single" w:sz="4" w:space="0" w:color="auto"/>
            </w:tcBorders>
            <w:vAlign w:val="center"/>
          </w:tcPr>
          <w:p w14:paraId="501619C0" w14:textId="62201989" w:rsidR="003B6A41" w:rsidRDefault="003B6A41" w:rsidP="00057FFD">
            <w:pPr>
              <w:jc w:val="center"/>
              <w:rPr>
                <w:lang w:bidi="ar-SA"/>
              </w:rPr>
            </w:pPr>
            <w:r>
              <w:rPr>
                <w:lang w:bidi="ar-SA"/>
              </w:rPr>
              <w:t>Percentil 75%</w:t>
            </w:r>
          </w:p>
        </w:tc>
      </w:tr>
      <w:tr w:rsidR="00662ED0" w14:paraId="2BBCF63E" w14:textId="77777777" w:rsidTr="00662ED0">
        <w:trPr>
          <w:jc w:val="center"/>
        </w:trPr>
        <w:tc>
          <w:tcPr>
            <w:tcW w:w="1065" w:type="dxa"/>
            <w:tcBorders>
              <w:top w:val="single" w:sz="4" w:space="0" w:color="auto"/>
              <w:bottom w:val="dotted" w:sz="4" w:space="0" w:color="auto"/>
              <w:right w:val="nil"/>
            </w:tcBorders>
            <w:vAlign w:val="center"/>
          </w:tcPr>
          <w:p w14:paraId="7F0FB483" w14:textId="4876A7F1" w:rsidR="00662ED0" w:rsidRDefault="00662ED0" w:rsidP="00662ED0">
            <w:pPr>
              <w:jc w:val="center"/>
              <w:rPr>
                <w:lang w:bidi="ar-SA"/>
              </w:rPr>
            </w:pPr>
            <w:r>
              <w:rPr>
                <w:lang w:bidi="ar-SA"/>
              </w:rPr>
              <w:t>Catboost</w:t>
            </w:r>
          </w:p>
        </w:tc>
        <w:tc>
          <w:tcPr>
            <w:tcW w:w="986" w:type="dxa"/>
            <w:tcBorders>
              <w:top w:val="single" w:sz="4" w:space="0" w:color="auto"/>
              <w:left w:val="nil"/>
              <w:bottom w:val="dotted" w:sz="4" w:space="0" w:color="auto"/>
              <w:right w:val="nil"/>
            </w:tcBorders>
            <w:vAlign w:val="center"/>
          </w:tcPr>
          <w:p w14:paraId="188CF4B6" w14:textId="2C09875B" w:rsidR="00662ED0" w:rsidRDefault="00662ED0" w:rsidP="00662ED0">
            <w:pPr>
              <w:jc w:val="center"/>
              <w:rPr>
                <w:lang w:bidi="ar-SA"/>
              </w:rPr>
            </w:pPr>
            <w:r>
              <w:rPr>
                <w:lang w:bidi="ar-SA"/>
              </w:rPr>
              <w:t>0</w:t>
            </w:r>
          </w:p>
        </w:tc>
        <w:tc>
          <w:tcPr>
            <w:tcW w:w="1133" w:type="dxa"/>
            <w:tcBorders>
              <w:top w:val="single" w:sz="4" w:space="0" w:color="auto"/>
              <w:left w:val="nil"/>
              <w:bottom w:val="dotted" w:sz="4" w:space="0" w:color="auto"/>
              <w:right w:val="nil"/>
            </w:tcBorders>
          </w:tcPr>
          <w:p w14:paraId="5AC4D43C" w14:textId="27608876" w:rsidR="00662ED0" w:rsidRPr="00000530" w:rsidRDefault="00662ED0" w:rsidP="00662ED0">
            <w:pPr>
              <w:jc w:val="center"/>
              <w:rPr>
                <w:lang w:val="en-US" w:bidi="ar-SA"/>
              </w:rPr>
            </w:pPr>
            <w:r w:rsidRPr="003B6A41">
              <w:rPr>
                <w:lang w:val="en-US" w:bidi="ar-SA"/>
              </w:rPr>
              <w:t>116</w:t>
            </w:r>
            <w:r>
              <w:rPr>
                <w:lang w:val="en-US" w:bidi="ar-SA"/>
              </w:rPr>
              <w:t>.</w:t>
            </w:r>
            <w:r w:rsidRPr="003B6A41">
              <w:rPr>
                <w:lang w:val="en-US" w:bidi="ar-SA"/>
              </w:rPr>
              <w:t>654</w:t>
            </w:r>
          </w:p>
        </w:tc>
        <w:tc>
          <w:tcPr>
            <w:tcW w:w="1051" w:type="dxa"/>
            <w:tcBorders>
              <w:top w:val="single" w:sz="4" w:space="0" w:color="auto"/>
              <w:left w:val="nil"/>
              <w:bottom w:val="dotted" w:sz="4" w:space="0" w:color="auto"/>
              <w:right w:val="nil"/>
            </w:tcBorders>
          </w:tcPr>
          <w:p w14:paraId="4C0EED3E" w14:textId="4FAF7943" w:rsidR="00662ED0" w:rsidRPr="00000530" w:rsidRDefault="00662ED0" w:rsidP="00662ED0">
            <w:pPr>
              <w:jc w:val="center"/>
              <w:rPr>
                <w:lang w:val="en-US" w:bidi="ar-SA"/>
              </w:rPr>
            </w:pPr>
            <w:r w:rsidRPr="003B6A41">
              <w:rPr>
                <w:lang w:val="en-US" w:bidi="ar-SA"/>
              </w:rPr>
              <w:t>0</w:t>
            </w:r>
            <w:r>
              <w:rPr>
                <w:lang w:val="en-US" w:bidi="ar-SA"/>
              </w:rPr>
              <w:t>,</w:t>
            </w:r>
            <w:r>
              <w:rPr>
                <w:lang w:val="en-US" w:bidi="ar-SA"/>
              </w:rPr>
              <w:t>036</w:t>
            </w:r>
          </w:p>
        </w:tc>
        <w:tc>
          <w:tcPr>
            <w:tcW w:w="881" w:type="dxa"/>
            <w:tcBorders>
              <w:top w:val="single" w:sz="4" w:space="0" w:color="auto"/>
              <w:left w:val="nil"/>
              <w:bottom w:val="dotted" w:sz="4" w:space="0" w:color="auto"/>
              <w:right w:val="nil"/>
            </w:tcBorders>
            <w:vAlign w:val="center"/>
          </w:tcPr>
          <w:p w14:paraId="73B04F7E" w14:textId="5E76DF34" w:rsidR="00662ED0" w:rsidRPr="00000530" w:rsidRDefault="00662ED0" w:rsidP="00662ED0">
            <w:pPr>
              <w:jc w:val="center"/>
              <w:rPr>
                <w:lang w:val="en-US" w:bidi="ar-SA"/>
              </w:rPr>
            </w:pPr>
            <w:r>
              <w:rPr>
                <w:lang w:val="en-US" w:bidi="ar-SA"/>
              </w:rPr>
              <w:t>0,093</w:t>
            </w:r>
          </w:p>
        </w:tc>
        <w:tc>
          <w:tcPr>
            <w:tcW w:w="1164" w:type="dxa"/>
            <w:tcBorders>
              <w:top w:val="single" w:sz="4" w:space="0" w:color="auto"/>
              <w:left w:val="nil"/>
              <w:bottom w:val="dotted" w:sz="4" w:space="0" w:color="auto"/>
              <w:right w:val="nil"/>
            </w:tcBorders>
            <w:vAlign w:val="center"/>
          </w:tcPr>
          <w:p w14:paraId="7294ABFA" w14:textId="22186E64" w:rsidR="00662ED0" w:rsidRPr="00000530" w:rsidRDefault="00662ED0" w:rsidP="00662ED0">
            <w:pPr>
              <w:jc w:val="center"/>
              <w:rPr>
                <w:lang w:val="en-US" w:bidi="ar-SA"/>
              </w:rPr>
            </w:pPr>
            <w:r>
              <w:rPr>
                <w:lang w:val="en-US" w:bidi="ar-SA"/>
              </w:rPr>
              <w:t>0,0001</w:t>
            </w:r>
          </w:p>
        </w:tc>
        <w:tc>
          <w:tcPr>
            <w:tcW w:w="1163" w:type="dxa"/>
            <w:tcBorders>
              <w:top w:val="single" w:sz="4" w:space="0" w:color="auto"/>
              <w:left w:val="nil"/>
              <w:bottom w:val="dotted" w:sz="4" w:space="0" w:color="auto"/>
              <w:right w:val="nil"/>
            </w:tcBorders>
            <w:vAlign w:val="center"/>
          </w:tcPr>
          <w:p w14:paraId="4C96890F" w14:textId="3B3602DB" w:rsidR="00662ED0" w:rsidRDefault="00662ED0" w:rsidP="00662ED0">
            <w:pPr>
              <w:jc w:val="center"/>
              <w:rPr>
                <w:lang w:bidi="ar-SA"/>
              </w:rPr>
            </w:pPr>
            <w:r>
              <w:rPr>
                <w:lang w:val="en-US" w:bidi="ar-SA"/>
              </w:rPr>
              <w:t>0,001</w:t>
            </w:r>
          </w:p>
        </w:tc>
        <w:tc>
          <w:tcPr>
            <w:tcW w:w="1061" w:type="dxa"/>
            <w:tcBorders>
              <w:top w:val="single" w:sz="4" w:space="0" w:color="auto"/>
              <w:left w:val="nil"/>
              <w:bottom w:val="dotted" w:sz="4" w:space="0" w:color="auto"/>
            </w:tcBorders>
            <w:vAlign w:val="center"/>
          </w:tcPr>
          <w:p w14:paraId="4614EC60" w14:textId="19AC1949" w:rsidR="00662ED0" w:rsidRDefault="00662ED0" w:rsidP="00662ED0">
            <w:pPr>
              <w:jc w:val="center"/>
              <w:rPr>
                <w:lang w:bidi="ar-SA"/>
              </w:rPr>
            </w:pPr>
            <w:r>
              <w:rPr>
                <w:lang w:bidi="ar-SA"/>
              </w:rPr>
              <w:t>0,005</w:t>
            </w:r>
          </w:p>
        </w:tc>
      </w:tr>
      <w:tr w:rsidR="00662ED0" w14:paraId="28C7FCC3" w14:textId="77777777" w:rsidTr="00662ED0">
        <w:trPr>
          <w:jc w:val="center"/>
        </w:trPr>
        <w:tc>
          <w:tcPr>
            <w:tcW w:w="1065" w:type="dxa"/>
            <w:tcBorders>
              <w:top w:val="dotted" w:sz="4" w:space="0" w:color="auto"/>
              <w:bottom w:val="single" w:sz="4" w:space="0" w:color="auto"/>
              <w:right w:val="nil"/>
            </w:tcBorders>
            <w:vAlign w:val="center"/>
          </w:tcPr>
          <w:p w14:paraId="0B3F7A6C" w14:textId="77777777" w:rsidR="00662ED0" w:rsidRDefault="00662ED0" w:rsidP="00662ED0">
            <w:pPr>
              <w:jc w:val="center"/>
              <w:rPr>
                <w:lang w:bidi="ar-SA"/>
              </w:rPr>
            </w:pPr>
          </w:p>
        </w:tc>
        <w:tc>
          <w:tcPr>
            <w:tcW w:w="986" w:type="dxa"/>
            <w:tcBorders>
              <w:top w:val="dotted" w:sz="4" w:space="0" w:color="auto"/>
              <w:left w:val="nil"/>
              <w:bottom w:val="single" w:sz="4" w:space="0" w:color="auto"/>
              <w:right w:val="nil"/>
            </w:tcBorders>
            <w:vAlign w:val="center"/>
          </w:tcPr>
          <w:p w14:paraId="1D48492B" w14:textId="06C9EE57" w:rsidR="00662ED0" w:rsidRDefault="00662ED0" w:rsidP="00662ED0">
            <w:pPr>
              <w:jc w:val="center"/>
              <w:rPr>
                <w:lang w:bidi="ar-SA"/>
              </w:rPr>
            </w:pPr>
            <w:r>
              <w:rPr>
                <w:lang w:bidi="ar-SA"/>
              </w:rPr>
              <w:t>1</w:t>
            </w:r>
          </w:p>
        </w:tc>
        <w:tc>
          <w:tcPr>
            <w:tcW w:w="1133" w:type="dxa"/>
            <w:tcBorders>
              <w:top w:val="dotted" w:sz="4" w:space="0" w:color="auto"/>
              <w:left w:val="nil"/>
              <w:bottom w:val="single" w:sz="4" w:space="0" w:color="auto"/>
              <w:right w:val="nil"/>
            </w:tcBorders>
          </w:tcPr>
          <w:p w14:paraId="20757D70" w14:textId="3D5FE8B0" w:rsidR="00662ED0" w:rsidRPr="00000530" w:rsidRDefault="00662ED0" w:rsidP="00662ED0">
            <w:pPr>
              <w:jc w:val="center"/>
              <w:rPr>
                <w:lang w:val="en-US" w:bidi="ar-SA"/>
              </w:rPr>
            </w:pPr>
            <w:r w:rsidRPr="003B6A41">
              <w:rPr>
                <w:lang w:val="en-US" w:bidi="ar-SA"/>
              </w:rPr>
              <w:t>8</w:t>
            </w:r>
            <w:r>
              <w:rPr>
                <w:lang w:val="en-US" w:bidi="ar-SA"/>
              </w:rPr>
              <w:t>.</w:t>
            </w:r>
            <w:r w:rsidRPr="003B6A41">
              <w:rPr>
                <w:lang w:val="en-US" w:bidi="ar-SA"/>
              </w:rPr>
              <w:t>862</w:t>
            </w:r>
          </w:p>
        </w:tc>
        <w:tc>
          <w:tcPr>
            <w:tcW w:w="1051" w:type="dxa"/>
            <w:tcBorders>
              <w:top w:val="dotted" w:sz="4" w:space="0" w:color="auto"/>
              <w:left w:val="nil"/>
              <w:bottom w:val="single" w:sz="4" w:space="0" w:color="auto"/>
              <w:right w:val="nil"/>
            </w:tcBorders>
          </w:tcPr>
          <w:p w14:paraId="5659E77C" w14:textId="557AA12B" w:rsidR="00662ED0" w:rsidRPr="00000530" w:rsidRDefault="00662ED0" w:rsidP="00662ED0">
            <w:pPr>
              <w:jc w:val="center"/>
              <w:rPr>
                <w:lang w:val="en-US" w:bidi="ar-SA"/>
              </w:rPr>
            </w:pPr>
            <w:r w:rsidRPr="003B6A41">
              <w:rPr>
                <w:lang w:val="en-US" w:bidi="ar-SA"/>
              </w:rPr>
              <w:t>0</w:t>
            </w:r>
            <w:r>
              <w:rPr>
                <w:lang w:val="en-US" w:bidi="ar-SA"/>
              </w:rPr>
              <w:t>,</w:t>
            </w:r>
            <w:r>
              <w:rPr>
                <w:lang w:val="en-US" w:bidi="ar-SA"/>
              </w:rPr>
              <w:t>415</w:t>
            </w:r>
          </w:p>
        </w:tc>
        <w:tc>
          <w:tcPr>
            <w:tcW w:w="881" w:type="dxa"/>
            <w:tcBorders>
              <w:top w:val="dotted" w:sz="4" w:space="0" w:color="auto"/>
              <w:left w:val="nil"/>
              <w:bottom w:val="single" w:sz="4" w:space="0" w:color="auto"/>
              <w:right w:val="nil"/>
            </w:tcBorders>
            <w:vAlign w:val="center"/>
          </w:tcPr>
          <w:p w14:paraId="521269EB" w14:textId="697DB9EA" w:rsidR="00662ED0" w:rsidRPr="00000530" w:rsidRDefault="00662ED0" w:rsidP="00662ED0">
            <w:pPr>
              <w:jc w:val="center"/>
              <w:rPr>
                <w:lang w:val="en-US" w:bidi="ar-SA"/>
              </w:rPr>
            </w:pPr>
            <w:r>
              <w:rPr>
                <w:lang w:val="en-US" w:bidi="ar-SA"/>
              </w:rPr>
              <w:t>0,197</w:t>
            </w:r>
          </w:p>
        </w:tc>
        <w:tc>
          <w:tcPr>
            <w:tcW w:w="1164" w:type="dxa"/>
            <w:tcBorders>
              <w:top w:val="dotted" w:sz="4" w:space="0" w:color="auto"/>
              <w:left w:val="nil"/>
              <w:bottom w:val="single" w:sz="4" w:space="0" w:color="auto"/>
              <w:right w:val="nil"/>
            </w:tcBorders>
            <w:vAlign w:val="center"/>
          </w:tcPr>
          <w:p w14:paraId="792BB87B" w14:textId="615ADB85" w:rsidR="00662ED0" w:rsidRDefault="00662ED0" w:rsidP="00662ED0">
            <w:pPr>
              <w:jc w:val="center"/>
              <w:rPr>
                <w:lang w:bidi="ar-SA"/>
              </w:rPr>
            </w:pPr>
            <w:r>
              <w:rPr>
                <w:lang w:bidi="ar-SA"/>
              </w:rPr>
              <w:t>0,2828</w:t>
            </w:r>
          </w:p>
        </w:tc>
        <w:tc>
          <w:tcPr>
            <w:tcW w:w="1163" w:type="dxa"/>
            <w:tcBorders>
              <w:top w:val="dotted" w:sz="4" w:space="0" w:color="auto"/>
              <w:left w:val="nil"/>
              <w:bottom w:val="single" w:sz="4" w:space="0" w:color="auto"/>
              <w:right w:val="nil"/>
            </w:tcBorders>
            <w:vAlign w:val="center"/>
          </w:tcPr>
          <w:p w14:paraId="1D5139ED" w14:textId="2C344765" w:rsidR="00662ED0" w:rsidRDefault="00662ED0" w:rsidP="00662ED0">
            <w:pPr>
              <w:jc w:val="center"/>
              <w:rPr>
                <w:lang w:bidi="ar-SA"/>
              </w:rPr>
            </w:pPr>
            <w:r>
              <w:rPr>
                <w:lang w:bidi="ar-SA"/>
              </w:rPr>
              <w:t>0,404</w:t>
            </w:r>
          </w:p>
        </w:tc>
        <w:tc>
          <w:tcPr>
            <w:tcW w:w="1061" w:type="dxa"/>
            <w:tcBorders>
              <w:top w:val="dotted" w:sz="4" w:space="0" w:color="auto"/>
              <w:left w:val="nil"/>
              <w:bottom w:val="single" w:sz="4" w:space="0" w:color="auto"/>
            </w:tcBorders>
            <w:vAlign w:val="center"/>
          </w:tcPr>
          <w:p w14:paraId="5027FAA9" w14:textId="1245E855" w:rsidR="00662ED0" w:rsidRDefault="00662ED0" w:rsidP="00662ED0">
            <w:pPr>
              <w:jc w:val="center"/>
              <w:rPr>
                <w:lang w:bidi="ar-SA"/>
              </w:rPr>
            </w:pPr>
            <w:r>
              <w:rPr>
                <w:lang w:bidi="ar-SA"/>
              </w:rPr>
              <w:t>0,540</w:t>
            </w:r>
          </w:p>
        </w:tc>
      </w:tr>
      <w:tr w:rsidR="00662ED0" w14:paraId="364AEFF2" w14:textId="77777777" w:rsidTr="00662ED0">
        <w:trPr>
          <w:jc w:val="center"/>
        </w:trPr>
        <w:tc>
          <w:tcPr>
            <w:tcW w:w="1065" w:type="dxa"/>
            <w:tcBorders>
              <w:right w:val="nil"/>
            </w:tcBorders>
            <w:vAlign w:val="center"/>
          </w:tcPr>
          <w:p w14:paraId="2CF675AC" w14:textId="3EE94052" w:rsidR="00662ED0" w:rsidRDefault="00662ED0" w:rsidP="00662ED0">
            <w:pPr>
              <w:jc w:val="center"/>
              <w:rPr>
                <w:lang w:bidi="ar-SA"/>
              </w:rPr>
            </w:pPr>
            <w:r>
              <w:rPr>
                <w:lang w:bidi="ar-SA"/>
              </w:rPr>
              <w:t>ELM</w:t>
            </w:r>
          </w:p>
        </w:tc>
        <w:tc>
          <w:tcPr>
            <w:tcW w:w="986" w:type="dxa"/>
            <w:tcBorders>
              <w:left w:val="nil"/>
              <w:right w:val="nil"/>
            </w:tcBorders>
            <w:vAlign w:val="center"/>
          </w:tcPr>
          <w:p w14:paraId="060D150A" w14:textId="66D2185B" w:rsidR="00662ED0" w:rsidRDefault="00662ED0" w:rsidP="00662ED0">
            <w:pPr>
              <w:jc w:val="center"/>
              <w:rPr>
                <w:lang w:bidi="ar-SA"/>
              </w:rPr>
            </w:pPr>
            <w:r>
              <w:rPr>
                <w:lang w:bidi="ar-SA"/>
              </w:rPr>
              <w:t>0</w:t>
            </w:r>
          </w:p>
        </w:tc>
        <w:tc>
          <w:tcPr>
            <w:tcW w:w="1133" w:type="dxa"/>
            <w:tcBorders>
              <w:left w:val="nil"/>
              <w:right w:val="nil"/>
            </w:tcBorders>
          </w:tcPr>
          <w:p w14:paraId="67E83239" w14:textId="236E8F44" w:rsidR="00662ED0" w:rsidRDefault="00662ED0" w:rsidP="00662ED0">
            <w:pPr>
              <w:jc w:val="center"/>
              <w:rPr>
                <w:lang w:bidi="ar-SA"/>
              </w:rPr>
            </w:pPr>
            <w:r w:rsidRPr="003B6A41">
              <w:rPr>
                <w:lang w:val="en-US" w:bidi="ar-SA"/>
              </w:rPr>
              <w:t>116</w:t>
            </w:r>
            <w:r>
              <w:rPr>
                <w:lang w:val="en-US" w:bidi="ar-SA"/>
              </w:rPr>
              <w:t>.</w:t>
            </w:r>
            <w:r w:rsidRPr="003B6A41">
              <w:rPr>
                <w:lang w:val="en-US" w:bidi="ar-SA"/>
              </w:rPr>
              <w:t>654</w:t>
            </w:r>
          </w:p>
        </w:tc>
        <w:tc>
          <w:tcPr>
            <w:tcW w:w="1051" w:type="dxa"/>
            <w:tcBorders>
              <w:left w:val="nil"/>
              <w:right w:val="nil"/>
            </w:tcBorders>
          </w:tcPr>
          <w:p w14:paraId="51DBAA6B" w14:textId="63F3E94E" w:rsidR="00662ED0" w:rsidRDefault="00662ED0" w:rsidP="00662ED0">
            <w:pPr>
              <w:jc w:val="center"/>
              <w:rPr>
                <w:lang w:bidi="ar-SA"/>
              </w:rPr>
            </w:pPr>
            <w:r w:rsidRPr="003B6A41">
              <w:rPr>
                <w:lang w:val="en-US" w:bidi="ar-SA"/>
              </w:rPr>
              <w:t>0</w:t>
            </w:r>
            <w:r>
              <w:rPr>
                <w:lang w:val="en-US" w:bidi="ar-SA"/>
              </w:rPr>
              <w:t>,</w:t>
            </w:r>
            <w:r w:rsidRPr="003B6A41">
              <w:rPr>
                <w:lang w:val="en-US" w:bidi="ar-SA"/>
              </w:rPr>
              <w:t>1</w:t>
            </w:r>
            <w:r>
              <w:rPr>
                <w:lang w:val="en-US" w:bidi="ar-SA"/>
              </w:rPr>
              <w:t>30</w:t>
            </w:r>
          </w:p>
        </w:tc>
        <w:tc>
          <w:tcPr>
            <w:tcW w:w="881" w:type="dxa"/>
            <w:tcBorders>
              <w:left w:val="nil"/>
              <w:right w:val="nil"/>
            </w:tcBorders>
            <w:vAlign w:val="center"/>
          </w:tcPr>
          <w:p w14:paraId="7325B26B" w14:textId="529491B4" w:rsidR="00662ED0" w:rsidRDefault="00662ED0" w:rsidP="00662ED0">
            <w:pPr>
              <w:jc w:val="center"/>
              <w:rPr>
                <w:lang w:bidi="ar-SA"/>
              </w:rPr>
            </w:pPr>
            <w:r w:rsidRPr="003B6A41">
              <w:rPr>
                <w:lang w:bidi="ar-SA"/>
              </w:rPr>
              <w:t>0</w:t>
            </w:r>
            <w:r>
              <w:rPr>
                <w:lang w:bidi="ar-SA"/>
              </w:rPr>
              <w:t>,</w:t>
            </w:r>
            <w:r w:rsidRPr="003B6A41">
              <w:rPr>
                <w:lang w:bidi="ar-SA"/>
              </w:rPr>
              <w:t>081</w:t>
            </w:r>
          </w:p>
        </w:tc>
        <w:tc>
          <w:tcPr>
            <w:tcW w:w="1164" w:type="dxa"/>
            <w:tcBorders>
              <w:left w:val="nil"/>
              <w:right w:val="nil"/>
            </w:tcBorders>
            <w:vAlign w:val="center"/>
          </w:tcPr>
          <w:p w14:paraId="3EECD409" w14:textId="79309F23" w:rsidR="00662ED0" w:rsidRDefault="00662ED0" w:rsidP="00662ED0">
            <w:pPr>
              <w:jc w:val="center"/>
              <w:rPr>
                <w:lang w:bidi="ar-SA"/>
              </w:rPr>
            </w:pPr>
            <w:r w:rsidRPr="00000530">
              <w:rPr>
                <w:lang w:val="en-US" w:bidi="ar-SA"/>
              </w:rPr>
              <w:t>0</w:t>
            </w:r>
            <w:r>
              <w:rPr>
                <w:lang w:val="en-US" w:bidi="ar-SA"/>
              </w:rPr>
              <w:t>,098</w:t>
            </w:r>
          </w:p>
        </w:tc>
        <w:tc>
          <w:tcPr>
            <w:tcW w:w="1163" w:type="dxa"/>
            <w:tcBorders>
              <w:left w:val="nil"/>
              <w:right w:val="nil"/>
            </w:tcBorders>
            <w:vAlign w:val="center"/>
          </w:tcPr>
          <w:p w14:paraId="1E8F27FA" w14:textId="1A8AEF34" w:rsidR="00662ED0" w:rsidRDefault="00662ED0" w:rsidP="00662ED0">
            <w:pPr>
              <w:jc w:val="center"/>
              <w:rPr>
                <w:lang w:bidi="ar-SA"/>
              </w:rPr>
            </w:pPr>
            <w:r w:rsidRPr="00000530">
              <w:rPr>
                <w:lang w:val="en-US" w:bidi="ar-SA"/>
              </w:rPr>
              <w:t>0</w:t>
            </w:r>
            <w:r>
              <w:rPr>
                <w:lang w:val="en-US" w:bidi="ar-SA"/>
              </w:rPr>
              <w:t>,101</w:t>
            </w:r>
          </w:p>
        </w:tc>
        <w:tc>
          <w:tcPr>
            <w:tcW w:w="1061" w:type="dxa"/>
            <w:tcBorders>
              <w:left w:val="nil"/>
            </w:tcBorders>
            <w:vAlign w:val="center"/>
          </w:tcPr>
          <w:p w14:paraId="74FD58F7" w14:textId="29A82CF2" w:rsidR="00662ED0" w:rsidRDefault="00662ED0" w:rsidP="00662ED0">
            <w:pPr>
              <w:jc w:val="center"/>
              <w:rPr>
                <w:lang w:bidi="ar-SA"/>
              </w:rPr>
            </w:pPr>
            <w:r>
              <w:rPr>
                <w:lang w:bidi="ar-SA"/>
              </w:rPr>
              <w:t>0,126</w:t>
            </w:r>
          </w:p>
        </w:tc>
      </w:tr>
      <w:tr w:rsidR="00662ED0" w14:paraId="1F099D30" w14:textId="77777777" w:rsidTr="00662ED0">
        <w:trPr>
          <w:jc w:val="center"/>
        </w:trPr>
        <w:tc>
          <w:tcPr>
            <w:tcW w:w="1065" w:type="dxa"/>
            <w:tcBorders>
              <w:bottom w:val="single" w:sz="4" w:space="0" w:color="auto"/>
              <w:right w:val="nil"/>
            </w:tcBorders>
            <w:vAlign w:val="center"/>
          </w:tcPr>
          <w:p w14:paraId="73E3E643" w14:textId="5706B88A" w:rsidR="00662ED0" w:rsidRDefault="00662ED0" w:rsidP="00662ED0">
            <w:pPr>
              <w:jc w:val="center"/>
              <w:rPr>
                <w:lang w:bidi="ar-SA"/>
              </w:rPr>
            </w:pPr>
          </w:p>
        </w:tc>
        <w:tc>
          <w:tcPr>
            <w:tcW w:w="986" w:type="dxa"/>
            <w:tcBorders>
              <w:left w:val="nil"/>
              <w:bottom w:val="single" w:sz="4" w:space="0" w:color="auto"/>
              <w:right w:val="nil"/>
            </w:tcBorders>
            <w:vAlign w:val="center"/>
          </w:tcPr>
          <w:p w14:paraId="09057FE5" w14:textId="26A8AAC1" w:rsidR="00662ED0" w:rsidRDefault="00662ED0" w:rsidP="00662ED0">
            <w:pPr>
              <w:jc w:val="center"/>
              <w:rPr>
                <w:lang w:bidi="ar-SA"/>
              </w:rPr>
            </w:pPr>
            <w:r>
              <w:rPr>
                <w:lang w:bidi="ar-SA"/>
              </w:rPr>
              <w:t>1</w:t>
            </w:r>
          </w:p>
        </w:tc>
        <w:tc>
          <w:tcPr>
            <w:tcW w:w="1133" w:type="dxa"/>
            <w:tcBorders>
              <w:left w:val="nil"/>
              <w:bottom w:val="single" w:sz="4" w:space="0" w:color="auto"/>
              <w:right w:val="nil"/>
            </w:tcBorders>
          </w:tcPr>
          <w:p w14:paraId="4F1CEFD7" w14:textId="637AE9AF" w:rsidR="00662ED0" w:rsidRDefault="00662ED0" w:rsidP="00662ED0">
            <w:pPr>
              <w:jc w:val="center"/>
              <w:rPr>
                <w:lang w:bidi="ar-SA"/>
              </w:rPr>
            </w:pPr>
            <w:r w:rsidRPr="003B6A41">
              <w:rPr>
                <w:lang w:val="en-US" w:bidi="ar-SA"/>
              </w:rPr>
              <w:t>8</w:t>
            </w:r>
            <w:r>
              <w:rPr>
                <w:lang w:val="en-US" w:bidi="ar-SA"/>
              </w:rPr>
              <w:t>.</w:t>
            </w:r>
            <w:r w:rsidRPr="003B6A41">
              <w:rPr>
                <w:lang w:val="en-US" w:bidi="ar-SA"/>
              </w:rPr>
              <w:t>862</w:t>
            </w:r>
          </w:p>
        </w:tc>
        <w:tc>
          <w:tcPr>
            <w:tcW w:w="1051" w:type="dxa"/>
            <w:tcBorders>
              <w:left w:val="nil"/>
              <w:bottom w:val="single" w:sz="4" w:space="0" w:color="auto"/>
              <w:right w:val="nil"/>
            </w:tcBorders>
          </w:tcPr>
          <w:p w14:paraId="2429D822" w14:textId="005910F9" w:rsidR="00662ED0" w:rsidRDefault="00662ED0" w:rsidP="00662ED0">
            <w:pPr>
              <w:jc w:val="center"/>
              <w:rPr>
                <w:lang w:bidi="ar-SA"/>
              </w:rPr>
            </w:pPr>
            <w:r w:rsidRPr="003B6A41">
              <w:rPr>
                <w:lang w:val="en-US" w:bidi="ar-SA"/>
              </w:rPr>
              <w:t>0</w:t>
            </w:r>
            <w:r>
              <w:rPr>
                <w:lang w:val="en-US" w:bidi="ar-SA"/>
              </w:rPr>
              <w:t>,</w:t>
            </w:r>
            <w:r w:rsidRPr="003B6A41">
              <w:rPr>
                <w:lang w:val="en-US" w:bidi="ar-SA"/>
              </w:rPr>
              <w:t>29</w:t>
            </w:r>
            <w:r>
              <w:rPr>
                <w:lang w:val="en-US" w:bidi="ar-SA"/>
              </w:rPr>
              <w:t>2</w:t>
            </w:r>
          </w:p>
        </w:tc>
        <w:tc>
          <w:tcPr>
            <w:tcW w:w="881" w:type="dxa"/>
            <w:tcBorders>
              <w:left w:val="nil"/>
              <w:bottom w:val="single" w:sz="4" w:space="0" w:color="auto"/>
              <w:right w:val="nil"/>
            </w:tcBorders>
            <w:vAlign w:val="center"/>
          </w:tcPr>
          <w:p w14:paraId="74555FB3" w14:textId="1DDF2D1F" w:rsidR="00662ED0" w:rsidRDefault="00662ED0" w:rsidP="00662ED0">
            <w:pPr>
              <w:jc w:val="center"/>
              <w:rPr>
                <w:lang w:bidi="ar-SA"/>
              </w:rPr>
            </w:pPr>
            <w:r w:rsidRPr="003B6A41">
              <w:rPr>
                <w:lang w:bidi="ar-SA"/>
              </w:rPr>
              <w:t>0</w:t>
            </w:r>
            <w:r>
              <w:rPr>
                <w:lang w:bidi="ar-SA"/>
              </w:rPr>
              <w:t>,</w:t>
            </w:r>
            <w:r w:rsidRPr="003B6A41">
              <w:rPr>
                <w:lang w:bidi="ar-SA"/>
              </w:rPr>
              <w:t>24</w:t>
            </w:r>
            <w:r>
              <w:rPr>
                <w:lang w:bidi="ar-SA"/>
              </w:rPr>
              <w:t>8</w:t>
            </w:r>
          </w:p>
        </w:tc>
        <w:tc>
          <w:tcPr>
            <w:tcW w:w="1164" w:type="dxa"/>
            <w:tcBorders>
              <w:left w:val="nil"/>
              <w:bottom w:val="single" w:sz="4" w:space="0" w:color="auto"/>
              <w:right w:val="nil"/>
            </w:tcBorders>
            <w:vAlign w:val="center"/>
          </w:tcPr>
          <w:p w14:paraId="330828DE" w14:textId="5955FB3F" w:rsidR="00662ED0" w:rsidRDefault="00662ED0" w:rsidP="00662ED0">
            <w:pPr>
              <w:jc w:val="center"/>
              <w:rPr>
                <w:lang w:bidi="ar-SA"/>
              </w:rPr>
            </w:pPr>
            <w:r w:rsidRPr="00000530">
              <w:rPr>
                <w:lang w:val="en-US" w:bidi="ar-SA"/>
              </w:rPr>
              <w:t>0</w:t>
            </w:r>
            <w:r>
              <w:rPr>
                <w:lang w:val="en-US" w:bidi="ar-SA"/>
              </w:rPr>
              <w:t>,203</w:t>
            </w:r>
          </w:p>
        </w:tc>
        <w:tc>
          <w:tcPr>
            <w:tcW w:w="1163" w:type="dxa"/>
            <w:tcBorders>
              <w:left w:val="nil"/>
              <w:bottom w:val="single" w:sz="4" w:space="0" w:color="auto"/>
              <w:right w:val="nil"/>
            </w:tcBorders>
            <w:vAlign w:val="center"/>
          </w:tcPr>
          <w:p w14:paraId="5B149AB9" w14:textId="5F07533D" w:rsidR="00662ED0" w:rsidRDefault="00662ED0" w:rsidP="00662ED0">
            <w:pPr>
              <w:jc w:val="center"/>
              <w:rPr>
                <w:lang w:bidi="ar-SA"/>
              </w:rPr>
            </w:pPr>
            <w:r w:rsidRPr="00000530">
              <w:rPr>
                <w:lang w:val="en-US" w:bidi="ar-SA"/>
              </w:rPr>
              <w:t>0</w:t>
            </w:r>
            <w:r>
              <w:rPr>
                <w:lang w:val="en-US" w:bidi="ar-SA"/>
              </w:rPr>
              <w:t>,248</w:t>
            </w:r>
          </w:p>
        </w:tc>
        <w:tc>
          <w:tcPr>
            <w:tcW w:w="1061" w:type="dxa"/>
            <w:tcBorders>
              <w:left w:val="nil"/>
              <w:bottom w:val="single" w:sz="4" w:space="0" w:color="auto"/>
            </w:tcBorders>
            <w:vAlign w:val="center"/>
          </w:tcPr>
          <w:p w14:paraId="40808F63" w14:textId="33D11782" w:rsidR="00662ED0" w:rsidRDefault="00662ED0" w:rsidP="00662ED0">
            <w:pPr>
              <w:jc w:val="center"/>
              <w:rPr>
                <w:lang w:bidi="ar-SA"/>
              </w:rPr>
            </w:pPr>
            <w:r>
              <w:rPr>
                <w:lang w:bidi="ar-SA"/>
              </w:rPr>
              <w:t>0,318</w:t>
            </w:r>
          </w:p>
        </w:tc>
      </w:tr>
      <w:tr w:rsidR="00662ED0" w14:paraId="036DD03B" w14:textId="77777777" w:rsidTr="00662ED0">
        <w:trPr>
          <w:jc w:val="center"/>
        </w:trPr>
        <w:tc>
          <w:tcPr>
            <w:tcW w:w="1065" w:type="dxa"/>
            <w:tcBorders>
              <w:top w:val="single" w:sz="4" w:space="0" w:color="auto"/>
              <w:bottom w:val="dotted" w:sz="4" w:space="0" w:color="auto"/>
              <w:right w:val="nil"/>
            </w:tcBorders>
            <w:vAlign w:val="center"/>
          </w:tcPr>
          <w:p w14:paraId="76449704" w14:textId="613DFC50" w:rsidR="00662ED0" w:rsidRDefault="00662ED0" w:rsidP="00662ED0">
            <w:pPr>
              <w:jc w:val="center"/>
              <w:rPr>
                <w:lang w:bidi="ar-SA"/>
              </w:rPr>
            </w:pPr>
            <w:r>
              <w:rPr>
                <w:lang w:bidi="ar-SA"/>
              </w:rPr>
              <w:t>XGboost</w:t>
            </w:r>
          </w:p>
        </w:tc>
        <w:tc>
          <w:tcPr>
            <w:tcW w:w="986" w:type="dxa"/>
            <w:tcBorders>
              <w:top w:val="single" w:sz="4" w:space="0" w:color="auto"/>
              <w:left w:val="nil"/>
              <w:bottom w:val="dotted" w:sz="4" w:space="0" w:color="auto"/>
              <w:right w:val="nil"/>
            </w:tcBorders>
            <w:vAlign w:val="center"/>
          </w:tcPr>
          <w:p w14:paraId="40627063" w14:textId="40ECA820" w:rsidR="00662ED0" w:rsidRDefault="00662ED0" w:rsidP="00662ED0">
            <w:pPr>
              <w:jc w:val="center"/>
              <w:rPr>
                <w:lang w:bidi="ar-SA"/>
              </w:rPr>
            </w:pPr>
            <w:r>
              <w:rPr>
                <w:lang w:bidi="ar-SA"/>
              </w:rPr>
              <w:t>0</w:t>
            </w:r>
          </w:p>
        </w:tc>
        <w:tc>
          <w:tcPr>
            <w:tcW w:w="1133" w:type="dxa"/>
            <w:tcBorders>
              <w:top w:val="single" w:sz="4" w:space="0" w:color="auto"/>
              <w:left w:val="nil"/>
              <w:bottom w:val="dotted" w:sz="4" w:space="0" w:color="auto"/>
              <w:right w:val="nil"/>
            </w:tcBorders>
          </w:tcPr>
          <w:p w14:paraId="38D071A1" w14:textId="7D63D170" w:rsidR="00662ED0" w:rsidRDefault="00662ED0" w:rsidP="00662ED0">
            <w:pPr>
              <w:jc w:val="center"/>
              <w:rPr>
                <w:lang w:bidi="ar-SA"/>
              </w:rPr>
            </w:pPr>
            <w:r w:rsidRPr="003B6A41">
              <w:rPr>
                <w:lang w:val="en-US" w:bidi="ar-SA"/>
              </w:rPr>
              <w:t>116</w:t>
            </w:r>
            <w:r>
              <w:rPr>
                <w:lang w:val="en-US" w:bidi="ar-SA"/>
              </w:rPr>
              <w:t>.</w:t>
            </w:r>
            <w:r w:rsidRPr="003B6A41">
              <w:rPr>
                <w:lang w:val="en-US" w:bidi="ar-SA"/>
              </w:rPr>
              <w:t>654</w:t>
            </w:r>
          </w:p>
        </w:tc>
        <w:tc>
          <w:tcPr>
            <w:tcW w:w="1051" w:type="dxa"/>
            <w:tcBorders>
              <w:top w:val="single" w:sz="4" w:space="0" w:color="auto"/>
              <w:left w:val="nil"/>
              <w:bottom w:val="dotted" w:sz="4" w:space="0" w:color="auto"/>
              <w:right w:val="nil"/>
            </w:tcBorders>
          </w:tcPr>
          <w:p w14:paraId="2FA40F0C" w14:textId="73ECE3E4" w:rsidR="00662ED0" w:rsidRDefault="00662ED0" w:rsidP="00662ED0">
            <w:pPr>
              <w:jc w:val="center"/>
              <w:rPr>
                <w:lang w:bidi="ar-SA"/>
              </w:rPr>
            </w:pPr>
            <w:r w:rsidRPr="00B451F7">
              <w:rPr>
                <w:lang w:bidi="ar-SA"/>
              </w:rPr>
              <w:t>0</w:t>
            </w:r>
            <w:r>
              <w:rPr>
                <w:lang w:bidi="ar-SA"/>
              </w:rPr>
              <w:t>,</w:t>
            </w:r>
            <w:r w:rsidRPr="00B451F7">
              <w:rPr>
                <w:lang w:bidi="ar-SA"/>
              </w:rPr>
              <w:t>045</w:t>
            </w:r>
          </w:p>
        </w:tc>
        <w:tc>
          <w:tcPr>
            <w:tcW w:w="881" w:type="dxa"/>
            <w:tcBorders>
              <w:top w:val="single" w:sz="4" w:space="0" w:color="auto"/>
              <w:left w:val="nil"/>
              <w:bottom w:val="dotted" w:sz="4" w:space="0" w:color="auto"/>
              <w:right w:val="nil"/>
            </w:tcBorders>
            <w:vAlign w:val="center"/>
          </w:tcPr>
          <w:p w14:paraId="43E205DE" w14:textId="2ECC3CD6" w:rsidR="00662ED0" w:rsidRDefault="00662ED0" w:rsidP="00662ED0">
            <w:pPr>
              <w:jc w:val="center"/>
              <w:rPr>
                <w:lang w:bidi="ar-SA"/>
              </w:rPr>
            </w:pPr>
            <w:r w:rsidRPr="00B451F7">
              <w:rPr>
                <w:lang w:bidi="ar-SA"/>
              </w:rPr>
              <w:t>0</w:t>
            </w:r>
            <w:r>
              <w:rPr>
                <w:lang w:bidi="ar-SA"/>
              </w:rPr>
              <w:t>,</w:t>
            </w:r>
            <w:r w:rsidRPr="00B451F7">
              <w:rPr>
                <w:lang w:bidi="ar-SA"/>
              </w:rPr>
              <w:t>19</w:t>
            </w:r>
            <w:r>
              <w:rPr>
                <w:lang w:bidi="ar-SA"/>
              </w:rPr>
              <w:t>7</w:t>
            </w:r>
          </w:p>
        </w:tc>
        <w:tc>
          <w:tcPr>
            <w:tcW w:w="1164" w:type="dxa"/>
            <w:tcBorders>
              <w:top w:val="single" w:sz="4" w:space="0" w:color="auto"/>
              <w:left w:val="nil"/>
              <w:bottom w:val="dotted" w:sz="4" w:space="0" w:color="auto"/>
              <w:right w:val="nil"/>
            </w:tcBorders>
            <w:vAlign w:val="center"/>
          </w:tcPr>
          <w:p w14:paraId="1B7E4A3A" w14:textId="7621E59C" w:rsidR="00662ED0" w:rsidRDefault="00662ED0" w:rsidP="00662ED0">
            <w:pPr>
              <w:jc w:val="center"/>
              <w:rPr>
                <w:lang w:bidi="ar-SA"/>
              </w:rPr>
            </w:pPr>
            <w:r>
              <w:rPr>
                <w:lang w:bidi="ar-SA"/>
              </w:rPr>
              <w:t>0,0000</w:t>
            </w:r>
          </w:p>
        </w:tc>
        <w:tc>
          <w:tcPr>
            <w:tcW w:w="1163" w:type="dxa"/>
            <w:tcBorders>
              <w:top w:val="single" w:sz="4" w:space="0" w:color="auto"/>
              <w:left w:val="nil"/>
              <w:bottom w:val="dotted" w:sz="4" w:space="0" w:color="auto"/>
              <w:right w:val="nil"/>
            </w:tcBorders>
            <w:vAlign w:val="center"/>
          </w:tcPr>
          <w:p w14:paraId="56F258C1" w14:textId="2BB78B29" w:rsidR="00662ED0" w:rsidRDefault="00662ED0" w:rsidP="00662ED0">
            <w:pPr>
              <w:jc w:val="center"/>
              <w:rPr>
                <w:lang w:bidi="ar-SA"/>
              </w:rPr>
            </w:pPr>
            <w:r w:rsidRPr="00B451F7">
              <w:rPr>
                <w:lang w:val="en-US" w:bidi="ar-SA"/>
              </w:rPr>
              <w:t>0,0000001</w:t>
            </w:r>
          </w:p>
        </w:tc>
        <w:tc>
          <w:tcPr>
            <w:tcW w:w="1061" w:type="dxa"/>
            <w:tcBorders>
              <w:top w:val="single" w:sz="4" w:space="0" w:color="auto"/>
              <w:left w:val="nil"/>
              <w:bottom w:val="dotted" w:sz="4" w:space="0" w:color="auto"/>
            </w:tcBorders>
            <w:vAlign w:val="center"/>
          </w:tcPr>
          <w:p w14:paraId="2A43BB1B" w14:textId="52E7495A" w:rsidR="00662ED0" w:rsidRDefault="00662ED0" w:rsidP="00662ED0">
            <w:pPr>
              <w:jc w:val="center"/>
              <w:rPr>
                <w:lang w:bidi="ar-SA"/>
              </w:rPr>
            </w:pPr>
            <w:r w:rsidRPr="00000530">
              <w:rPr>
                <w:lang w:val="en-US" w:bidi="ar-SA"/>
              </w:rPr>
              <w:t>0</w:t>
            </w:r>
            <w:r>
              <w:rPr>
                <w:lang w:val="en-US" w:bidi="ar-SA"/>
              </w:rPr>
              <w:t>,0001</w:t>
            </w:r>
          </w:p>
        </w:tc>
      </w:tr>
      <w:tr w:rsidR="00662ED0" w14:paraId="22C96358" w14:textId="77777777" w:rsidTr="00662ED0">
        <w:trPr>
          <w:jc w:val="center"/>
        </w:trPr>
        <w:tc>
          <w:tcPr>
            <w:tcW w:w="1065" w:type="dxa"/>
            <w:tcBorders>
              <w:top w:val="dotted" w:sz="4" w:space="0" w:color="auto"/>
              <w:bottom w:val="single" w:sz="4" w:space="0" w:color="auto"/>
              <w:right w:val="nil"/>
            </w:tcBorders>
            <w:vAlign w:val="center"/>
          </w:tcPr>
          <w:p w14:paraId="26DA1D9C" w14:textId="77777777" w:rsidR="00662ED0" w:rsidRDefault="00662ED0" w:rsidP="00662ED0">
            <w:pPr>
              <w:jc w:val="center"/>
              <w:rPr>
                <w:lang w:bidi="ar-SA"/>
              </w:rPr>
            </w:pPr>
          </w:p>
        </w:tc>
        <w:tc>
          <w:tcPr>
            <w:tcW w:w="986" w:type="dxa"/>
            <w:tcBorders>
              <w:top w:val="dotted" w:sz="4" w:space="0" w:color="auto"/>
              <w:left w:val="nil"/>
              <w:bottom w:val="single" w:sz="4" w:space="0" w:color="auto"/>
              <w:right w:val="nil"/>
            </w:tcBorders>
            <w:vAlign w:val="center"/>
          </w:tcPr>
          <w:p w14:paraId="18AEA9AA" w14:textId="51FAAA51" w:rsidR="00662ED0" w:rsidRDefault="00662ED0" w:rsidP="00662ED0">
            <w:pPr>
              <w:jc w:val="center"/>
              <w:rPr>
                <w:lang w:bidi="ar-SA"/>
              </w:rPr>
            </w:pPr>
            <w:r>
              <w:rPr>
                <w:lang w:bidi="ar-SA"/>
              </w:rPr>
              <w:t>1</w:t>
            </w:r>
          </w:p>
        </w:tc>
        <w:tc>
          <w:tcPr>
            <w:tcW w:w="1133" w:type="dxa"/>
            <w:tcBorders>
              <w:top w:val="dotted" w:sz="4" w:space="0" w:color="auto"/>
              <w:left w:val="nil"/>
              <w:bottom w:val="single" w:sz="4" w:space="0" w:color="auto"/>
              <w:right w:val="nil"/>
            </w:tcBorders>
          </w:tcPr>
          <w:p w14:paraId="380B4520" w14:textId="56E84309" w:rsidR="00662ED0" w:rsidRDefault="00662ED0" w:rsidP="00662ED0">
            <w:pPr>
              <w:jc w:val="center"/>
              <w:rPr>
                <w:lang w:bidi="ar-SA"/>
              </w:rPr>
            </w:pPr>
            <w:r w:rsidRPr="003B6A41">
              <w:rPr>
                <w:lang w:val="en-US" w:bidi="ar-SA"/>
              </w:rPr>
              <w:t>8862</w:t>
            </w:r>
          </w:p>
        </w:tc>
        <w:tc>
          <w:tcPr>
            <w:tcW w:w="1051" w:type="dxa"/>
            <w:tcBorders>
              <w:top w:val="dotted" w:sz="4" w:space="0" w:color="auto"/>
              <w:left w:val="nil"/>
              <w:bottom w:val="single" w:sz="4" w:space="0" w:color="auto"/>
              <w:right w:val="nil"/>
            </w:tcBorders>
          </w:tcPr>
          <w:p w14:paraId="2367BD49" w14:textId="61EF8DF3" w:rsidR="00662ED0" w:rsidRDefault="00662ED0" w:rsidP="00662ED0">
            <w:pPr>
              <w:jc w:val="center"/>
              <w:rPr>
                <w:lang w:bidi="ar-SA"/>
              </w:rPr>
            </w:pPr>
            <w:r w:rsidRPr="00B451F7">
              <w:rPr>
                <w:lang w:bidi="ar-SA"/>
              </w:rPr>
              <w:t>0</w:t>
            </w:r>
            <w:r>
              <w:rPr>
                <w:lang w:bidi="ar-SA"/>
              </w:rPr>
              <w:t>,</w:t>
            </w:r>
            <w:r w:rsidRPr="00B451F7">
              <w:rPr>
                <w:lang w:bidi="ar-SA"/>
              </w:rPr>
              <w:t>47</w:t>
            </w:r>
            <w:r>
              <w:rPr>
                <w:lang w:bidi="ar-SA"/>
              </w:rPr>
              <w:t>9</w:t>
            </w:r>
          </w:p>
        </w:tc>
        <w:tc>
          <w:tcPr>
            <w:tcW w:w="881" w:type="dxa"/>
            <w:tcBorders>
              <w:top w:val="dotted" w:sz="4" w:space="0" w:color="auto"/>
              <w:left w:val="nil"/>
              <w:bottom w:val="single" w:sz="4" w:space="0" w:color="auto"/>
              <w:right w:val="nil"/>
            </w:tcBorders>
            <w:vAlign w:val="center"/>
          </w:tcPr>
          <w:p w14:paraId="5DD55922" w14:textId="6EF08898" w:rsidR="00662ED0" w:rsidRDefault="00662ED0" w:rsidP="00662ED0">
            <w:pPr>
              <w:jc w:val="center"/>
              <w:rPr>
                <w:lang w:bidi="ar-SA"/>
              </w:rPr>
            </w:pPr>
            <w:r w:rsidRPr="00B451F7">
              <w:rPr>
                <w:lang w:bidi="ar-SA"/>
              </w:rPr>
              <w:t>0</w:t>
            </w:r>
            <w:r>
              <w:rPr>
                <w:lang w:bidi="ar-SA"/>
              </w:rPr>
              <w:t>,</w:t>
            </w:r>
            <w:r w:rsidRPr="00B451F7">
              <w:rPr>
                <w:lang w:bidi="ar-SA"/>
              </w:rPr>
              <w:t>4</w:t>
            </w:r>
            <w:r>
              <w:rPr>
                <w:lang w:bidi="ar-SA"/>
              </w:rPr>
              <w:t>70</w:t>
            </w:r>
          </w:p>
        </w:tc>
        <w:tc>
          <w:tcPr>
            <w:tcW w:w="1164" w:type="dxa"/>
            <w:tcBorders>
              <w:top w:val="dotted" w:sz="4" w:space="0" w:color="auto"/>
              <w:left w:val="nil"/>
              <w:bottom w:val="single" w:sz="4" w:space="0" w:color="auto"/>
              <w:right w:val="nil"/>
            </w:tcBorders>
            <w:vAlign w:val="center"/>
          </w:tcPr>
          <w:p w14:paraId="7FAF96E0" w14:textId="0DF5D9F7" w:rsidR="00662ED0" w:rsidRDefault="00662ED0" w:rsidP="00662ED0">
            <w:pPr>
              <w:jc w:val="center"/>
              <w:rPr>
                <w:lang w:bidi="ar-SA"/>
              </w:rPr>
            </w:pPr>
            <w:r w:rsidRPr="005804C4">
              <w:rPr>
                <w:lang w:val="en-US" w:bidi="ar-SA"/>
              </w:rPr>
              <w:t>0,0003</w:t>
            </w:r>
          </w:p>
        </w:tc>
        <w:tc>
          <w:tcPr>
            <w:tcW w:w="1163" w:type="dxa"/>
            <w:tcBorders>
              <w:top w:val="dotted" w:sz="4" w:space="0" w:color="auto"/>
              <w:left w:val="nil"/>
              <w:bottom w:val="single" w:sz="4" w:space="0" w:color="auto"/>
              <w:right w:val="nil"/>
            </w:tcBorders>
            <w:vAlign w:val="center"/>
          </w:tcPr>
          <w:p w14:paraId="0E3C1174" w14:textId="37113197" w:rsidR="00662ED0" w:rsidRDefault="00662ED0" w:rsidP="00662ED0">
            <w:pPr>
              <w:jc w:val="center"/>
              <w:rPr>
                <w:lang w:bidi="ar-SA"/>
              </w:rPr>
            </w:pPr>
            <w:r w:rsidRPr="00000530">
              <w:rPr>
                <w:lang w:val="en-US" w:bidi="ar-SA"/>
              </w:rPr>
              <w:t>0</w:t>
            </w:r>
            <w:r>
              <w:rPr>
                <w:lang w:val="en-US" w:bidi="ar-SA"/>
              </w:rPr>
              <w:t>,335</w:t>
            </w:r>
          </w:p>
        </w:tc>
        <w:tc>
          <w:tcPr>
            <w:tcW w:w="1061" w:type="dxa"/>
            <w:tcBorders>
              <w:top w:val="dotted" w:sz="4" w:space="0" w:color="auto"/>
              <w:left w:val="nil"/>
              <w:bottom w:val="single" w:sz="4" w:space="0" w:color="auto"/>
            </w:tcBorders>
            <w:vAlign w:val="center"/>
          </w:tcPr>
          <w:p w14:paraId="31764F35" w14:textId="777F96A9" w:rsidR="00662ED0" w:rsidRDefault="00662ED0" w:rsidP="00662ED0">
            <w:pPr>
              <w:jc w:val="center"/>
              <w:rPr>
                <w:lang w:bidi="ar-SA"/>
              </w:rPr>
            </w:pPr>
            <w:r>
              <w:rPr>
                <w:lang w:bidi="ar-SA"/>
              </w:rPr>
              <w:t>0,999</w:t>
            </w:r>
          </w:p>
        </w:tc>
      </w:tr>
    </w:tbl>
    <w:p w14:paraId="629F3050" w14:textId="77777777" w:rsidR="003B6A41" w:rsidRPr="003B6A41" w:rsidRDefault="003B6A41" w:rsidP="003B6A41">
      <w:pPr>
        <w:rPr>
          <w:lang w:bidi="ar-SA"/>
        </w:rPr>
      </w:pPr>
    </w:p>
    <w:p w14:paraId="7FA4F3C6" w14:textId="77777777" w:rsidR="00B3707D" w:rsidRDefault="00B3707D" w:rsidP="00360636"/>
    <w:p w14:paraId="1DC49CED" w14:textId="77777777" w:rsidR="00B3707D" w:rsidRDefault="00B3707D" w:rsidP="00360636"/>
    <w:p w14:paraId="3D392314" w14:textId="77777777" w:rsidR="00846B7A" w:rsidRDefault="00846B7A" w:rsidP="00360636"/>
    <w:p w14:paraId="25C2443E" w14:textId="77777777" w:rsidR="00846B7A" w:rsidRPr="00D82F60" w:rsidRDefault="00846B7A" w:rsidP="00360636"/>
    <w:p w14:paraId="659D2982" w14:textId="77777777" w:rsidR="000612A8" w:rsidRPr="00804562" w:rsidRDefault="000612A8" w:rsidP="000612A8">
      <w:pPr>
        <w:jc w:val="both"/>
        <w:rPr>
          <w:sz w:val="24"/>
          <w:szCs w:val="24"/>
          <w:lang w:val="en-US"/>
        </w:rPr>
      </w:pPr>
      <w:r w:rsidRPr="00804562">
        <w:rPr>
          <w:b/>
          <w:bCs/>
          <w:sz w:val="24"/>
          <w:szCs w:val="24"/>
          <w:lang w:val="en-US"/>
        </w:rPr>
        <w:t>Referências</w:t>
      </w:r>
      <w:r w:rsidRPr="00804562">
        <w:rPr>
          <w:sz w:val="24"/>
          <w:szCs w:val="24"/>
          <w:lang w:val="en-US"/>
        </w:rPr>
        <w:t>:</w:t>
      </w:r>
    </w:p>
    <w:p w14:paraId="34F00D5C" w14:textId="77777777" w:rsidR="008A6993" w:rsidRDefault="008A6993" w:rsidP="00804562">
      <w:pPr>
        <w:spacing w:before="200" w:after="200" w:line="240" w:lineRule="auto"/>
        <w:jc w:val="both"/>
        <w:rPr>
          <w:rFonts w:cstheme="minorHAnsi"/>
          <w:sz w:val="24"/>
          <w:szCs w:val="24"/>
          <w:lang w:val="en-US"/>
        </w:rPr>
      </w:pPr>
    </w:p>
    <w:p w14:paraId="783D5810" w14:textId="77777777" w:rsidR="008A6993" w:rsidRPr="00F53EBD" w:rsidRDefault="008A6993" w:rsidP="008A6993">
      <w:pPr>
        <w:spacing w:before="200" w:after="200" w:line="240" w:lineRule="auto"/>
        <w:jc w:val="both"/>
        <w:rPr>
          <w:rFonts w:cstheme="minorHAnsi"/>
          <w:sz w:val="24"/>
          <w:szCs w:val="24"/>
          <w:lang w:val="en-US"/>
        </w:rPr>
      </w:pPr>
      <w:r w:rsidRPr="00F53EBD">
        <w:rPr>
          <w:rFonts w:cstheme="minorHAnsi"/>
          <w:sz w:val="24"/>
          <w:szCs w:val="24"/>
          <w:lang w:val="en-US"/>
        </w:rPr>
        <w:t>Aaron,</w:t>
      </w:r>
      <w:r>
        <w:rPr>
          <w:rFonts w:cstheme="minorHAnsi"/>
          <w:sz w:val="24"/>
          <w:szCs w:val="24"/>
          <w:lang w:val="en-US"/>
        </w:rPr>
        <w:t xml:space="preserve"> F.,</w:t>
      </w:r>
      <w:r w:rsidRPr="00F53EBD">
        <w:rPr>
          <w:rFonts w:cstheme="minorHAnsi"/>
          <w:sz w:val="24"/>
          <w:szCs w:val="24"/>
          <w:lang w:val="en-US"/>
        </w:rPr>
        <w:t xml:space="preserve"> Cynthia</w:t>
      </w:r>
      <w:r>
        <w:rPr>
          <w:rFonts w:cstheme="minorHAnsi"/>
          <w:sz w:val="24"/>
          <w:szCs w:val="24"/>
          <w:lang w:val="en-US"/>
        </w:rPr>
        <w:t>,</w:t>
      </w:r>
      <w:r w:rsidRPr="00F53EBD">
        <w:rPr>
          <w:rFonts w:cstheme="minorHAnsi"/>
          <w:sz w:val="24"/>
          <w:szCs w:val="24"/>
          <w:lang w:val="en-US"/>
        </w:rPr>
        <w:t xml:space="preserve"> R</w:t>
      </w:r>
      <w:r>
        <w:rPr>
          <w:rFonts w:cstheme="minorHAnsi"/>
          <w:sz w:val="24"/>
          <w:szCs w:val="24"/>
          <w:lang w:val="en-US"/>
        </w:rPr>
        <w:t>.</w:t>
      </w:r>
      <w:r w:rsidRPr="00F53EBD">
        <w:rPr>
          <w:rFonts w:cstheme="minorHAnsi"/>
          <w:sz w:val="24"/>
          <w:szCs w:val="24"/>
          <w:lang w:val="en-US"/>
        </w:rPr>
        <w:t>, Dominici</w:t>
      </w:r>
      <w:r>
        <w:rPr>
          <w:rFonts w:cstheme="minorHAnsi"/>
          <w:sz w:val="24"/>
          <w:szCs w:val="24"/>
          <w:lang w:val="en-US"/>
        </w:rPr>
        <w:t>, F</w:t>
      </w:r>
      <w:r w:rsidRPr="00F53EBD">
        <w:rPr>
          <w:rFonts w:cstheme="minorHAnsi"/>
          <w:sz w:val="24"/>
          <w:szCs w:val="24"/>
          <w:lang w:val="en-US"/>
        </w:rPr>
        <w:t>. All models are wrong, but many are useful: Learning a variable’s importance by studying an entire class of prediction models simultaneously. http://arxiv.org/abs/1801.01489 (2018).</w:t>
      </w:r>
    </w:p>
    <w:p w14:paraId="2CA886B9" w14:textId="714310FF"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Altman, E., Saunders, A. Credit Risk Measurement: Developments over the last 20 years. Journal of Banking &amp; Finance, v. 21, p. 1721-1742, 1998.</w:t>
      </w:r>
    </w:p>
    <w:p w14:paraId="6C9E859F" w14:textId="77777777" w:rsid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Apley, D., Zhu, J. Visualizing the Effects of Predictor Variables in Black Box Supervised Learning Models. Journal of the Royal Statistical Society: Series B, v. 82, p. 1059-1086, 2020. </w:t>
      </w:r>
    </w:p>
    <w:p w14:paraId="76F8A106" w14:textId="77777777" w:rsidR="008A6993" w:rsidRPr="00662ED0" w:rsidRDefault="008A6993" w:rsidP="00804562">
      <w:pPr>
        <w:spacing w:before="200" w:after="200" w:line="240" w:lineRule="auto"/>
        <w:jc w:val="both"/>
        <w:rPr>
          <w:rFonts w:cstheme="minorHAnsi"/>
          <w:sz w:val="24"/>
          <w:szCs w:val="24"/>
          <w:lang w:val="en-US"/>
        </w:rPr>
      </w:pPr>
    </w:p>
    <w:p w14:paraId="72E04669" w14:textId="16D90568" w:rsidR="000612A8" w:rsidRPr="00662ED0" w:rsidRDefault="000612A8" w:rsidP="00804562">
      <w:pPr>
        <w:spacing w:before="200" w:after="200" w:line="240" w:lineRule="auto"/>
        <w:jc w:val="both"/>
        <w:rPr>
          <w:rStyle w:val="Hyperlink"/>
          <w:rFonts w:cstheme="minorHAnsi"/>
          <w:sz w:val="24"/>
          <w:szCs w:val="24"/>
          <w:lang w:val="en-US"/>
        </w:rPr>
      </w:pPr>
      <w:r w:rsidRPr="00804562">
        <w:rPr>
          <w:rFonts w:cstheme="minorHAnsi"/>
          <w:sz w:val="24"/>
          <w:szCs w:val="24"/>
          <w:lang w:val="en-US"/>
        </w:rPr>
        <w:t xml:space="preserve">Black, F., Scholes, M. The pricing of options and corporate liabilities. Journal of Political Economy. v. 8, p. 637-659, 1973. </w:t>
      </w:r>
      <w:r w:rsidRPr="008A6993">
        <w:rPr>
          <w:rFonts w:cstheme="minorHAnsi"/>
          <w:sz w:val="24"/>
          <w:szCs w:val="24"/>
          <w:lang w:val="en-US"/>
        </w:rPr>
        <w:t xml:space="preserve">Disponível em: </w:t>
      </w:r>
      <w:hyperlink r:id="rId8" w:history="1">
        <w:r w:rsidR="00F53EBD" w:rsidRPr="008A6993">
          <w:rPr>
            <w:rStyle w:val="Hyperlink"/>
            <w:rFonts w:cstheme="minorHAnsi"/>
            <w:sz w:val="24"/>
            <w:szCs w:val="24"/>
            <w:lang w:val="en-US"/>
          </w:rPr>
          <w:t>http://dx.doi.org/10.1086/260062</w:t>
        </w:r>
      </w:hyperlink>
    </w:p>
    <w:p w14:paraId="24372247" w14:textId="53B10D1E" w:rsidR="00F53EBD" w:rsidRDefault="00F53EBD" w:rsidP="00F53EBD">
      <w:pPr>
        <w:spacing w:before="200" w:after="200" w:line="240" w:lineRule="auto"/>
        <w:jc w:val="both"/>
        <w:rPr>
          <w:rFonts w:cstheme="minorHAnsi"/>
          <w:sz w:val="24"/>
          <w:szCs w:val="24"/>
          <w:lang w:val="en-US"/>
        </w:rPr>
      </w:pPr>
      <w:r w:rsidRPr="00F53EBD">
        <w:rPr>
          <w:rFonts w:cstheme="minorHAnsi"/>
          <w:sz w:val="24"/>
          <w:szCs w:val="24"/>
          <w:lang w:val="en-US"/>
        </w:rPr>
        <w:t>Breiman, L. Random Forests. Machine Learning, V. 45 (1).</w:t>
      </w:r>
      <w:r>
        <w:rPr>
          <w:rFonts w:cstheme="minorHAnsi"/>
          <w:sz w:val="24"/>
          <w:szCs w:val="24"/>
          <w:lang w:val="en-US"/>
        </w:rPr>
        <w:t xml:space="preserve"> </w:t>
      </w:r>
      <w:r w:rsidRPr="00F53EBD">
        <w:rPr>
          <w:rFonts w:cstheme="minorHAnsi"/>
          <w:sz w:val="24"/>
          <w:szCs w:val="24"/>
          <w:lang w:val="en-US"/>
        </w:rPr>
        <w:t>p, 5-32, Springer, 2001.</w:t>
      </w:r>
    </w:p>
    <w:p w14:paraId="2FFDD1BB" w14:textId="77777777" w:rsidR="008A6993" w:rsidRPr="008A6993" w:rsidRDefault="008A6993" w:rsidP="008A6993">
      <w:pPr>
        <w:spacing w:before="200" w:after="200" w:line="240" w:lineRule="auto"/>
        <w:jc w:val="both"/>
        <w:rPr>
          <w:rFonts w:cstheme="minorHAnsi"/>
          <w:sz w:val="24"/>
          <w:szCs w:val="24"/>
          <w:lang w:val="en-US"/>
        </w:rPr>
      </w:pPr>
      <w:r w:rsidRPr="008A6993">
        <w:rPr>
          <w:rFonts w:cstheme="minorHAnsi"/>
          <w:sz w:val="24"/>
          <w:szCs w:val="24"/>
          <w:lang w:val="en-US"/>
        </w:rPr>
        <w:t>Brochu, E., Vlad, C. and Freitas. N. A Tutorial on Bayesian Optimization of Expensive Cost Functions, with Application to Active User Modeling and Hierarchical Reinforcement Learning, CoRR, 2010.</w:t>
      </w:r>
    </w:p>
    <w:p w14:paraId="3F14EBA6" w14:textId="3265ACE5" w:rsidR="008A6993" w:rsidRPr="008A6993" w:rsidRDefault="008A6993" w:rsidP="008A6993">
      <w:pPr>
        <w:spacing w:before="200" w:after="200" w:line="240" w:lineRule="auto"/>
        <w:jc w:val="both"/>
        <w:rPr>
          <w:rFonts w:cstheme="minorHAnsi"/>
          <w:sz w:val="24"/>
          <w:szCs w:val="24"/>
        </w:rPr>
      </w:pPr>
      <w:r w:rsidRPr="008A6993">
        <w:rPr>
          <w:rFonts w:cstheme="minorHAnsi"/>
          <w:sz w:val="24"/>
          <w:szCs w:val="24"/>
        </w:rPr>
        <w:t>BNDES. BNDES promove nova redução de spreads e de custo dos financiamentos, 2018. Fonte:</w:t>
      </w:r>
      <w:r>
        <w:rPr>
          <w:rFonts w:cstheme="minorHAnsi"/>
          <w:sz w:val="24"/>
          <w:szCs w:val="24"/>
        </w:rPr>
        <w:t xml:space="preserve"> </w:t>
      </w:r>
      <w:r w:rsidRPr="008A6993">
        <w:rPr>
          <w:rFonts w:cstheme="minorHAnsi"/>
          <w:sz w:val="24"/>
          <w:szCs w:val="24"/>
        </w:rPr>
        <w:t>www.bndes.gov.br/wps/portal/site/home/imprensa/noticias/conteudo/bndes-promove-nova-reducao-de-spreads-e-de-custo-dos-financiamentos</w:t>
      </w:r>
    </w:p>
    <w:p w14:paraId="20FA14EB" w14:textId="497BAD58" w:rsidR="000612A8" w:rsidRDefault="000612A8" w:rsidP="00804562">
      <w:pPr>
        <w:spacing w:before="200" w:after="200" w:line="240" w:lineRule="auto"/>
        <w:jc w:val="both"/>
        <w:rPr>
          <w:rStyle w:val="Hyperlink"/>
          <w:rFonts w:cstheme="minorHAnsi"/>
          <w:sz w:val="24"/>
          <w:szCs w:val="24"/>
        </w:rPr>
      </w:pPr>
      <w:r w:rsidRPr="00804562">
        <w:rPr>
          <w:rFonts w:cstheme="minorHAnsi"/>
          <w:sz w:val="24"/>
          <w:szCs w:val="24"/>
          <w:lang w:val="en-US"/>
        </w:rPr>
        <w:t xml:space="preserve">Coats, P., Fant, L. Recognizing Financial Distress Patterns Using a Neural Network Tool. </w:t>
      </w:r>
      <w:r w:rsidRPr="00804562">
        <w:rPr>
          <w:rFonts w:cstheme="minorHAnsi"/>
          <w:sz w:val="24"/>
          <w:szCs w:val="24"/>
        </w:rPr>
        <w:t xml:space="preserve">Financial Management Association, v. 22, n. 3, p. 142-155, 1993. Disponível em: </w:t>
      </w:r>
      <w:hyperlink r:id="rId9" w:history="1">
        <w:r w:rsidRPr="00804562">
          <w:rPr>
            <w:rStyle w:val="Hyperlink"/>
            <w:rFonts w:cstheme="minorHAnsi"/>
            <w:sz w:val="24"/>
            <w:szCs w:val="24"/>
          </w:rPr>
          <w:t>https://ideas.repec.org/a/fma/fmanag/coats93.html</w:t>
        </w:r>
      </w:hyperlink>
    </w:p>
    <w:p w14:paraId="42A592DE" w14:textId="77777777" w:rsidR="008A6993" w:rsidRPr="00662ED0" w:rsidRDefault="008A6993" w:rsidP="008A6993">
      <w:pPr>
        <w:spacing w:before="200" w:after="200" w:line="240" w:lineRule="auto"/>
        <w:jc w:val="both"/>
        <w:rPr>
          <w:rFonts w:cstheme="minorHAnsi"/>
          <w:sz w:val="24"/>
          <w:szCs w:val="24"/>
        </w:rPr>
      </w:pPr>
      <w:r w:rsidRPr="00662ED0">
        <w:rPr>
          <w:rFonts w:cstheme="minorHAnsi"/>
          <w:sz w:val="24"/>
          <w:szCs w:val="24"/>
        </w:rPr>
        <w:t>Dantas, J., Alves, J., Medeiros, O., Capelletto, L. Determinantes do Spread Bancário Ex-Post no Mercado Brasileiro. Banco Central do Brasil, Texto para Discussão 242, 2011.</w:t>
      </w:r>
    </w:p>
    <w:p w14:paraId="65001E98" w14:textId="77777777" w:rsidR="008A6993" w:rsidRPr="008A6993" w:rsidRDefault="008A6993" w:rsidP="008A6993">
      <w:pPr>
        <w:spacing w:before="200" w:after="200" w:line="240" w:lineRule="auto"/>
        <w:jc w:val="both"/>
        <w:rPr>
          <w:rFonts w:cstheme="minorHAnsi"/>
          <w:sz w:val="24"/>
          <w:szCs w:val="24"/>
          <w:lang w:val="en-US"/>
        </w:rPr>
      </w:pPr>
      <w:r w:rsidRPr="00662ED0">
        <w:rPr>
          <w:rFonts w:cstheme="minorHAnsi"/>
          <w:sz w:val="24"/>
          <w:szCs w:val="24"/>
        </w:rPr>
        <w:t xml:space="preserve">Dias, V. Ichikava, E. Uma análise empírica da relação entre spread e risco. </w:t>
      </w:r>
      <w:r w:rsidRPr="008A6993">
        <w:rPr>
          <w:rFonts w:cstheme="minorHAnsi"/>
          <w:sz w:val="24"/>
          <w:szCs w:val="24"/>
          <w:lang w:val="en-US"/>
        </w:rPr>
        <w:t>Revista do BNDES, n. 36, 2011.</w:t>
      </w:r>
    </w:p>
    <w:p w14:paraId="0DFC01B5" w14:textId="17DA436A"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Dirick, L. Claeskens, C. &amp; Baesens, B. Time to Default in Credit Scoring Using Survival Analysis: A benchmark study. Journal of The Operational Research Society, v. 68, p. 652-665. </w:t>
      </w:r>
    </w:p>
    <w:p w14:paraId="42AE558A" w14:textId="23B45CC1" w:rsidR="000612A8" w:rsidRDefault="00846B7A" w:rsidP="00804562">
      <w:pPr>
        <w:spacing w:before="200" w:after="200" w:line="240" w:lineRule="auto"/>
        <w:jc w:val="both"/>
        <w:rPr>
          <w:rFonts w:cstheme="minorHAnsi"/>
          <w:sz w:val="24"/>
          <w:szCs w:val="24"/>
          <w:lang w:val="en-US"/>
        </w:rPr>
      </w:pPr>
      <w:r w:rsidRPr="00804562">
        <w:rPr>
          <w:rFonts w:cstheme="minorHAnsi"/>
          <w:sz w:val="24"/>
          <w:szCs w:val="24"/>
          <w:lang w:val="en-US"/>
        </w:rPr>
        <w:t>European Union. European Parliament resolution of 20 October 2020 on a framework of ethical aspects of artificial intelligence, robotics and related technologies, 2020/2012(INL).</w:t>
      </w:r>
    </w:p>
    <w:p w14:paraId="35014F11" w14:textId="77777777"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González-Fernández, M., González-Velasco, C. An alternative approach to predicting bank credit risk in Europe with Google data. Finance Research Letters. V. 35, 101281, 2020. Disponível em: https://doi.org/10.1016/j.frl.2019.08.029</w:t>
      </w:r>
    </w:p>
    <w:p w14:paraId="1ED66508" w14:textId="4A4CBB46" w:rsidR="000612A8" w:rsidRPr="00662ED0"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Giudici, P. Hadji-Misheva, B. Spelta, A. Network based credit risk models. </w:t>
      </w:r>
      <w:r w:rsidRPr="00662ED0">
        <w:rPr>
          <w:rFonts w:cstheme="minorHAnsi"/>
          <w:sz w:val="24"/>
          <w:szCs w:val="24"/>
          <w:lang w:val="en-US"/>
        </w:rPr>
        <w:t xml:space="preserve">V. 32, n. 2, p. 199-211, 2020.  Disponível em: </w:t>
      </w:r>
      <w:hyperlink r:id="rId10" w:history="1">
        <w:r w:rsidRPr="00662ED0">
          <w:rPr>
            <w:rStyle w:val="Hyperlink"/>
            <w:rFonts w:cstheme="minorHAnsi"/>
            <w:sz w:val="24"/>
            <w:szCs w:val="24"/>
            <w:lang w:val="en-US"/>
          </w:rPr>
          <w:t>https://doi.org/10.1080/08982112.2019.1655159</w:t>
        </w:r>
      </w:hyperlink>
      <w:r w:rsidRPr="00662ED0">
        <w:rPr>
          <w:rFonts w:cstheme="minorHAnsi"/>
          <w:sz w:val="24"/>
          <w:szCs w:val="24"/>
          <w:lang w:val="en-US"/>
        </w:rPr>
        <w:t xml:space="preserve"> </w:t>
      </w:r>
    </w:p>
    <w:p w14:paraId="18A03E16" w14:textId="77777777" w:rsidR="008A6993" w:rsidRDefault="008A6993" w:rsidP="008A6993">
      <w:pPr>
        <w:spacing w:before="200" w:after="200" w:line="240" w:lineRule="auto"/>
        <w:jc w:val="both"/>
        <w:rPr>
          <w:rFonts w:cstheme="minorHAnsi"/>
          <w:sz w:val="24"/>
          <w:szCs w:val="24"/>
          <w:lang w:val="en-US"/>
        </w:rPr>
      </w:pPr>
      <w:r w:rsidRPr="008A6993">
        <w:rPr>
          <w:rFonts w:cstheme="minorHAnsi"/>
          <w:sz w:val="24"/>
          <w:szCs w:val="24"/>
          <w:lang w:val="en-US"/>
        </w:rPr>
        <w:lastRenderedPageBreak/>
        <w:t>Hastie, T. Tibshirani, R. Friedman, J. The Elements of Statistical Learning. Data Mining, Inference and Prediction. Springer Series in Statistics. 2Ed., 2001.</w:t>
      </w:r>
    </w:p>
    <w:p w14:paraId="41717026" w14:textId="77777777" w:rsidR="008A6993" w:rsidRPr="008A6993" w:rsidRDefault="008A6993" w:rsidP="008A6993">
      <w:pPr>
        <w:spacing w:before="200" w:after="200" w:line="240" w:lineRule="auto"/>
        <w:jc w:val="both"/>
        <w:rPr>
          <w:rFonts w:cstheme="minorHAnsi"/>
          <w:sz w:val="24"/>
          <w:szCs w:val="24"/>
          <w:lang w:val="en-US"/>
        </w:rPr>
      </w:pPr>
      <w:r w:rsidRPr="008A6993">
        <w:rPr>
          <w:rFonts w:cstheme="minorHAnsi"/>
          <w:sz w:val="24"/>
          <w:szCs w:val="24"/>
          <w:lang w:val="en-US"/>
        </w:rPr>
        <w:t xml:space="preserve">Hawtrey, K., Liang, H. Bank interest margins in OECD countries. The North American Journal of Economics and Finance. V. 19 (3), p. 249-260, 2008. </w:t>
      </w:r>
    </w:p>
    <w:p w14:paraId="15299C11" w14:textId="6B8E0699" w:rsidR="000612A8" w:rsidRPr="00804562" w:rsidRDefault="000612A8" w:rsidP="00804562">
      <w:pPr>
        <w:spacing w:before="200" w:after="200" w:line="240" w:lineRule="auto"/>
        <w:jc w:val="both"/>
        <w:rPr>
          <w:rFonts w:cstheme="minorHAnsi"/>
          <w:sz w:val="24"/>
          <w:szCs w:val="24"/>
          <w:lang w:val="en-US"/>
        </w:rPr>
      </w:pPr>
      <w:r w:rsidRPr="00662ED0">
        <w:rPr>
          <w:rFonts w:cstheme="minorHAnsi"/>
          <w:sz w:val="24"/>
          <w:szCs w:val="24"/>
          <w:lang w:val="en-US"/>
        </w:rPr>
        <w:t xml:space="preserve">Iben, T., Litterman, R., 1989. </w:t>
      </w:r>
      <w:r w:rsidRPr="00804562">
        <w:rPr>
          <w:rFonts w:cstheme="minorHAnsi"/>
          <w:sz w:val="24"/>
          <w:szCs w:val="24"/>
          <w:lang w:val="en-US"/>
        </w:rPr>
        <w:t>Corporate bond valuation and the term structure of credit spreads. Journal of Portfolio Management 52±64.</w:t>
      </w:r>
    </w:p>
    <w:p w14:paraId="7854E2CF" w14:textId="570ED1FD"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Jonkhart, M., 1979. On the term structure of interest rates and the risk of default. Journal of Banking and Finance</w:t>
      </w:r>
      <w:r w:rsidR="00846B7A" w:rsidRPr="00804562">
        <w:rPr>
          <w:rFonts w:cstheme="minorHAnsi"/>
          <w:sz w:val="24"/>
          <w:szCs w:val="24"/>
          <w:lang w:val="en-US"/>
        </w:rPr>
        <w:t xml:space="preserve">, p. </w:t>
      </w:r>
      <w:r w:rsidRPr="00804562">
        <w:rPr>
          <w:rFonts w:cstheme="minorHAnsi"/>
          <w:sz w:val="24"/>
          <w:szCs w:val="24"/>
          <w:lang w:val="en-US"/>
        </w:rPr>
        <w:t>253</w:t>
      </w:r>
      <w:r w:rsidR="00846B7A" w:rsidRPr="00804562">
        <w:rPr>
          <w:rFonts w:cstheme="minorHAnsi"/>
          <w:sz w:val="24"/>
          <w:szCs w:val="24"/>
          <w:lang w:val="en-US"/>
        </w:rPr>
        <w:t>-</w:t>
      </w:r>
      <w:r w:rsidRPr="00804562">
        <w:rPr>
          <w:rFonts w:cstheme="minorHAnsi"/>
          <w:sz w:val="24"/>
          <w:szCs w:val="24"/>
          <w:lang w:val="en-US"/>
        </w:rPr>
        <w:t>262.</w:t>
      </w:r>
    </w:p>
    <w:p w14:paraId="380F7D87" w14:textId="77777777" w:rsidR="00846B7A" w:rsidRPr="00804562" w:rsidRDefault="00846B7A" w:rsidP="00804562">
      <w:pPr>
        <w:spacing w:before="200" w:after="200" w:line="240" w:lineRule="auto"/>
        <w:jc w:val="both"/>
        <w:rPr>
          <w:sz w:val="24"/>
          <w:szCs w:val="24"/>
        </w:rPr>
      </w:pPr>
      <w:r w:rsidRPr="00804562">
        <w:rPr>
          <w:sz w:val="24"/>
          <w:szCs w:val="24"/>
          <w:lang w:val="en-US"/>
        </w:rPr>
        <w:t xml:space="preserve">Joseph, A. Shapley Regressions: A Framework for Statistical Inference on Machine Learning Models, 2019. </w:t>
      </w:r>
      <w:r w:rsidRPr="00804562">
        <w:rPr>
          <w:sz w:val="24"/>
          <w:szCs w:val="24"/>
        </w:rPr>
        <w:t>Disponível em: https://www.kcl.ac.uk/business/assets/pdf/dafm-working-papers/2019-papers/shapley-regressions-a-framework-for-statistical-inference-on-machine-learning-models.pdf.</w:t>
      </w:r>
    </w:p>
    <w:p w14:paraId="4957DBD9" w14:textId="77777777" w:rsidR="00846B7A" w:rsidRPr="00804562" w:rsidRDefault="00846B7A" w:rsidP="00804562">
      <w:pPr>
        <w:spacing w:before="200" w:after="200" w:line="240" w:lineRule="auto"/>
        <w:jc w:val="both"/>
        <w:rPr>
          <w:sz w:val="24"/>
          <w:szCs w:val="24"/>
          <w:lang w:val="en-US"/>
        </w:rPr>
      </w:pPr>
      <w:r w:rsidRPr="00804562">
        <w:rPr>
          <w:sz w:val="24"/>
          <w:szCs w:val="24"/>
          <w:lang w:val="en-US"/>
        </w:rPr>
        <w:t>Lundberg, M. Scott &amp; Lee, Su-In. A Unified Approach to Interpreting Model Predictions, Advances in Neural Information Processing Systems 30 (NIPS 2017), p. 4766–4775, 2017. Disponível em: https://arxiv.org/abs/1705.07874</w:t>
      </w:r>
    </w:p>
    <w:p w14:paraId="15B14A9D" w14:textId="3094CA54" w:rsidR="000612A8" w:rsidRPr="00804562"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Moody's Special Report, 1990. Corporate Bond Defaults and Default Rates, p. 1970-1989, April.</w:t>
      </w:r>
    </w:p>
    <w:p w14:paraId="21EE9D87" w14:textId="0A4F75D2" w:rsidR="000612A8" w:rsidRPr="00804562" w:rsidRDefault="000612A8" w:rsidP="00804562">
      <w:pPr>
        <w:spacing w:before="200" w:after="200" w:line="240" w:lineRule="auto"/>
        <w:jc w:val="both"/>
        <w:rPr>
          <w:rFonts w:cstheme="minorHAnsi"/>
          <w:sz w:val="24"/>
          <w:szCs w:val="24"/>
        </w:rPr>
      </w:pPr>
      <w:r w:rsidRPr="00804562">
        <w:rPr>
          <w:rFonts w:cstheme="minorHAnsi"/>
          <w:sz w:val="24"/>
          <w:szCs w:val="24"/>
          <w:lang w:val="en-US"/>
        </w:rPr>
        <w:t xml:space="preserve">Molnar, C. Interpretable Machine Learning: A Guide for Making Black Box Models Explainable. </w:t>
      </w:r>
      <w:r w:rsidRPr="00804562">
        <w:rPr>
          <w:rFonts w:cstheme="minorHAnsi"/>
          <w:sz w:val="24"/>
          <w:szCs w:val="24"/>
        </w:rPr>
        <w:t xml:space="preserve">Ed.  Lulu.com, ISBN: </w:t>
      </w:r>
      <w:r w:rsidRPr="00804562">
        <w:rPr>
          <w:rFonts w:cstheme="minorHAnsi"/>
          <w:sz w:val="24"/>
          <w:szCs w:val="24"/>
          <w:cs/>
          <w:lang w:val="en-US"/>
        </w:rPr>
        <w:t>‎</w:t>
      </w:r>
      <w:r w:rsidRPr="00804562">
        <w:rPr>
          <w:rFonts w:cstheme="minorHAnsi"/>
          <w:sz w:val="24"/>
          <w:szCs w:val="24"/>
        </w:rPr>
        <w:t xml:space="preserve">978-0244768522, 2023. Disponível em: </w:t>
      </w:r>
      <w:hyperlink r:id="rId11" w:anchor="fn50" w:history="1">
        <w:r w:rsidR="00A925CD" w:rsidRPr="00804562">
          <w:rPr>
            <w:rStyle w:val="Hyperlink"/>
            <w:rFonts w:cstheme="minorHAnsi"/>
            <w:sz w:val="24"/>
            <w:szCs w:val="24"/>
          </w:rPr>
          <w:t>https://christophm.github.io/interpretable-ml-book/lime.html#fn50</w:t>
        </w:r>
      </w:hyperlink>
    </w:p>
    <w:p w14:paraId="7C7CEFFB" w14:textId="33C90C1F" w:rsidR="00A925CD" w:rsidRPr="00B451F7" w:rsidRDefault="00A925CD"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Narain B (1992). Survival analysis and the credit granting decision. In: Thomas LC, Crook JN and Edelman DB, editors, Credit Scoring and Credit Control, pp. 109–121. </w:t>
      </w:r>
      <w:r w:rsidRPr="00B451F7">
        <w:rPr>
          <w:rFonts w:cstheme="minorHAnsi"/>
          <w:sz w:val="24"/>
          <w:szCs w:val="24"/>
          <w:lang w:val="en-US"/>
        </w:rPr>
        <w:t>Clarendon Press: Oxford.</w:t>
      </w:r>
    </w:p>
    <w:p w14:paraId="5A1E11AB" w14:textId="38C4D24A" w:rsidR="000612A8" w:rsidRPr="008A6993" w:rsidRDefault="000612A8" w:rsidP="00804562">
      <w:pPr>
        <w:spacing w:before="200" w:after="200" w:line="240" w:lineRule="auto"/>
        <w:jc w:val="both"/>
        <w:rPr>
          <w:rFonts w:cstheme="minorHAnsi"/>
          <w:sz w:val="24"/>
          <w:szCs w:val="24"/>
          <w:lang w:val="en-US"/>
        </w:rPr>
      </w:pPr>
      <w:r w:rsidRPr="00804562">
        <w:rPr>
          <w:rFonts w:cstheme="minorHAnsi"/>
          <w:sz w:val="24"/>
          <w:szCs w:val="24"/>
          <w:lang w:val="en-US"/>
        </w:rPr>
        <w:t xml:space="preserve">Lundberg, S., Su-In Lee. A Unified Approach to Interpreting Model Predictions. Advances in Neural Information Processing Systems, 2017. </w:t>
      </w:r>
      <w:r w:rsidRPr="008A6993">
        <w:rPr>
          <w:rFonts w:cstheme="minorHAnsi"/>
          <w:sz w:val="24"/>
          <w:szCs w:val="24"/>
          <w:lang w:val="en-US"/>
        </w:rPr>
        <w:t xml:space="preserve">Disponível em: </w:t>
      </w:r>
      <w:hyperlink r:id="rId12" w:history="1">
        <w:r w:rsidR="00F53EBD" w:rsidRPr="008A6993">
          <w:rPr>
            <w:rStyle w:val="Hyperlink"/>
            <w:rFonts w:cstheme="minorHAnsi"/>
            <w:sz w:val="24"/>
            <w:szCs w:val="24"/>
            <w:lang w:val="en-US"/>
          </w:rPr>
          <w:t>https://arxiv.org/abs/1705.07874</w:t>
        </w:r>
      </w:hyperlink>
    </w:p>
    <w:p w14:paraId="4E98ADDA" w14:textId="77777777" w:rsidR="000612A8" w:rsidRPr="00804562" w:rsidRDefault="000612A8" w:rsidP="00804562">
      <w:pPr>
        <w:spacing w:before="200" w:after="200" w:line="240" w:lineRule="auto"/>
        <w:jc w:val="both"/>
        <w:rPr>
          <w:rFonts w:cstheme="minorHAnsi"/>
          <w:sz w:val="24"/>
          <w:szCs w:val="24"/>
          <w:lang w:val="en-US"/>
        </w:rPr>
      </w:pPr>
      <w:r w:rsidRPr="008A6993">
        <w:rPr>
          <w:rFonts w:cstheme="minorHAnsi"/>
          <w:sz w:val="24"/>
          <w:szCs w:val="24"/>
          <w:lang w:val="en-US"/>
        </w:rPr>
        <w:t xml:space="preserve">Ribeiro, M., Sameer, S,. </w:t>
      </w:r>
      <w:r w:rsidRPr="00804562">
        <w:rPr>
          <w:rFonts w:cstheme="minorHAnsi"/>
          <w:sz w:val="24"/>
          <w:szCs w:val="24"/>
          <w:lang w:val="en-US"/>
        </w:rPr>
        <w:t xml:space="preserve">Carlos, G. Why Should I Trust You? Explaining the predictions of any classifier. Proceedings of the 22nd ACM SIGKDD international conference on knowledge discovery and data mining. ACM (2016). Disponível em: </w:t>
      </w:r>
      <w:hyperlink r:id="rId13" w:history="1">
        <w:r w:rsidRPr="00804562">
          <w:rPr>
            <w:rStyle w:val="Hyperlink"/>
            <w:rFonts w:cstheme="minorHAnsi"/>
            <w:sz w:val="24"/>
            <w:szCs w:val="24"/>
            <w:lang w:val="en-US"/>
          </w:rPr>
          <w:t>https://arxiv.org/abs/1602.04938</w:t>
        </w:r>
      </w:hyperlink>
    </w:p>
    <w:p w14:paraId="72607405" w14:textId="77777777" w:rsidR="00846B7A" w:rsidRPr="00804562" w:rsidRDefault="00846B7A" w:rsidP="00804562">
      <w:pPr>
        <w:spacing w:before="200" w:after="200" w:line="240" w:lineRule="auto"/>
        <w:jc w:val="both"/>
        <w:rPr>
          <w:sz w:val="24"/>
          <w:szCs w:val="24"/>
          <w:lang w:val="en-US"/>
        </w:rPr>
      </w:pPr>
      <w:r w:rsidRPr="00804562">
        <w:rPr>
          <w:sz w:val="24"/>
          <w:szCs w:val="24"/>
          <w:lang w:val="en-US"/>
        </w:rPr>
        <w:t>Scott, L., Gabriel, E., Su-In, L. Consistent Individualized Feature Attribution for Tree Ensembles, 2018. Disponível em: https://arxiv.org/pdf/1802.03888.pdf.</w:t>
      </w:r>
    </w:p>
    <w:p w14:paraId="52527124" w14:textId="785A6291" w:rsidR="000612A8" w:rsidRDefault="000612A8" w:rsidP="00804562">
      <w:pPr>
        <w:spacing w:before="200" w:after="200" w:line="240" w:lineRule="auto"/>
        <w:jc w:val="both"/>
        <w:rPr>
          <w:rStyle w:val="Hyperlink"/>
          <w:rFonts w:cstheme="minorHAnsi"/>
          <w:sz w:val="24"/>
          <w:szCs w:val="24"/>
          <w:lang w:val="en-US"/>
        </w:rPr>
      </w:pPr>
      <w:r w:rsidRPr="00804562">
        <w:rPr>
          <w:rFonts w:cstheme="minorHAnsi"/>
          <w:sz w:val="24"/>
          <w:szCs w:val="24"/>
          <w:lang w:val="en-US"/>
        </w:rPr>
        <w:t xml:space="preserve">Shi, S., Tse, R., Luo, W., D’Addona, S., Pau, G. Machine Learning-Driven Credit Risk: A systemic review. Neural Computing and Applications, v. 34, p. 14327–14339, 2022. Disponível em: </w:t>
      </w:r>
      <w:hyperlink r:id="rId14" w:history="1">
        <w:r w:rsidRPr="00804562">
          <w:rPr>
            <w:rStyle w:val="Hyperlink"/>
            <w:rFonts w:cstheme="minorHAnsi"/>
            <w:sz w:val="24"/>
            <w:szCs w:val="24"/>
            <w:lang w:val="en-US"/>
          </w:rPr>
          <w:t>https://link.springer.com/article/10.1007/s00521-022-07472-2</w:t>
        </w:r>
      </w:hyperlink>
    </w:p>
    <w:p w14:paraId="274862AA" w14:textId="77777777" w:rsidR="008A6993" w:rsidRPr="008A6993" w:rsidRDefault="008A6993" w:rsidP="008A6993">
      <w:pPr>
        <w:spacing w:before="200" w:after="200" w:line="240" w:lineRule="auto"/>
        <w:jc w:val="both"/>
        <w:rPr>
          <w:rFonts w:cstheme="minorHAnsi"/>
          <w:sz w:val="24"/>
          <w:szCs w:val="24"/>
          <w:lang w:val="en-US"/>
        </w:rPr>
      </w:pPr>
      <w:r w:rsidRPr="008A6993">
        <w:rPr>
          <w:rFonts w:cstheme="minorHAnsi"/>
          <w:sz w:val="24"/>
          <w:szCs w:val="24"/>
          <w:lang w:val="en-US"/>
        </w:rPr>
        <w:lastRenderedPageBreak/>
        <w:t>Snoek, J., Larochelle, H. and Adams, R. Practical Bayesian Optimization of Machine Learning Algorithms. Advances in Neural Information Processing Systems. v. 25, p. 2960-2968, 2012. Available in: https://arxiv.org/abs/1206.2944</w:t>
      </w:r>
    </w:p>
    <w:p w14:paraId="150C250A" w14:textId="7967F9EE" w:rsidR="00456DDA" w:rsidRPr="00804562" w:rsidRDefault="00EF54CD" w:rsidP="00804562">
      <w:pPr>
        <w:spacing w:before="200" w:after="200" w:line="240" w:lineRule="auto"/>
        <w:jc w:val="both"/>
        <w:rPr>
          <w:rFonts w:cstheme="minorHAnsi"/>
          <w:sz w:val="24"/>
          <w:szCs w:val="24"/>
          <w:lang w:val="en-US"/>
        </w:rPr>
      </w:pPr>
      <w:r w:rsidRPr="00804562">
        <w:rPr>
          <w:rFonts w:cstheme="minorHAnsi"/>
          <w:sz w:val="24"/>
          <w:szCs w:val="24"/>
          <w:lang w:val="en-US"/>
        </w:rPr>
        <w:t>Thomas L, Edelman D and Crook J (2002). Credit Scoring and Its Applications. Monographs on Mathematical Modeling and Computation. Society for Industrial and Applied Mathematics: Philadelphia.</w:t>
      </w:r>
    </w:p>
    <w:p w14:paraId="10A3B7B4" w14:textId="2DAEF2D3" w:rsidR="00515E52" w:rsidRDefault="00515E52" w:rsidP="00804562">
      <w:pPr>
        <w:spacing w:before="200" w:after="200" w:line="240" w:lineRule="auto"/>
        <w:jc w:val="both"/>
        <w:rPr>
          <w:rFonts w:cstheme="minorHAnsi"/>
          <w:sz w:val="24"/>
          <w:szCs w:val="24"/>
          <w:lang w:val="en-US"/>
        </w:rPr>
      </w:pPr>
      <w:r w:rsidRPr="00804562">
        <w:rPr>
          <w:rFonts w:cstheme="minorHAnsi"/>
          <w:sz w:val="24"/>
          <w:szCs w:val="24"/>
          <w:lang w:val="en-US"/>
        </w:rPr>
        <w:t>Kuhn, M., Johnson, K. Applied Predictive Modeling. Ed. 1, 2013.</w:t>
      </w:r>
    </w:p>
    <w:p w14:paraId="667E4031" w14:textId="77777777" w:rsidR="008A6993" w:rsidRDefault="008A6993" w:rsidP="00804562">
      <w:pPr>
        <w:spacing w:before="200" w:after="200" w:line="240" w:lineRule="auto"/>
        <w:jc w:val="both"/>
        <w:rPr>
          <w:rFonts w:cstheme="minorHAnsi"/>
          <w:sz w:val="24"/>
          <w:szCs w:val="24"/>
          <w:lang w:val="en-US"/>
        </w:rPr>
      </w:pPr>
    </w:p>
    <w:p w14:paraId="63CA5C94" w14:textId="77777777" w:rsidR="008A6993" w:rsidRDefault="008A6993" w:rsidP="00804562">
      <w:pPr>
        <w:spacing w:before="200" w:after="200" w:line="240" w:lineRule="auto"/>
        <w:jc w:val="both"/>
        <w:rPr>
          <w:rFonts w:cstheme="minorHAnsi"/>
          <w:sz w:val="24"/>
          <w:szCs w:val="24"/>
          <w:lang w:val="en-US"/>
        </w:rPr>
      </w:pPr>
    </w:p>
    <w:p w14:paraId="100E97F4" w14:textId="77777777" w:rsidR="008A6993" w:rsidRDefault="008A6993" w:rsidP="00804562">
      <w:pPr>
        <w:spacing w:before="200" w:after="200" w:line="240" w:lineRule="auto"/>
        <w:jc w:val="both"/>
        <w:rPr>
          <w:rFonts w:cstheme="minorHAnsi"/>
          <w:sz w:val="24"/>
          <w:szCs w:val="24"/>
          <w:lang w:val="en-US"/>
        </w:rPr>
      </w:pPr>
    </w:p>
    <w:p w14:paraId="59151001" w14:textId="77777777" w:rsidR="008A6993" w:rsidRPr="008A6993" w:rsidRDefault="008A6993" w:rsidP="00804562">
      <w:pPr>
        <w:spacing w:before="200" w:after="200" w:line="240" w:lineRule="auto"/>
        <w:jc w:val="both"/>
        <w:rPr>
          <w:rFonts w:cstheme="minorHAnsi"/>
          <w:sz w:val="24"/>
          <w:szCs w:val="24"/>
        </w:rPr>
      </w:pPr>
    </w:p>
    <w:sectPr w:rsidR="008A6993" w:rsidRPr="008A699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79E0B" w14:textId="77777777" w:rsidR="00EB146F" w:rsidRDefault="00EB146F" w:rsidP="00444000">
      <w:pPr>
        <w:spacing w:after="0" w:line="240" w:lineRule="auto"/>
      </w:pPr>
      <w:r>
        <w:separator/>
      </w:r>
    </w:p>
  </w:endnote>
  <w:endnote w:type="continuationSeparator" w:id="0">
    <w:p w14:paraId="28EC8664" w14:textId="77777777" w:rsidR="00EB146F" w:rsidRDefault="00EB146F" w:rsidP="0044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C5424" w14:textId="77777777" w:rsidR="00EB146F" w:rsidRDefault="00EB146F" w:rsidP="00444000">
      <w:pPr>
        <w:spacing w:after="0" w:line="240" w:lineRule="auto"/>
      </w:pPr>
      <w:r>
        <w:separator/>
      </w:r>
    </w:p>
  </w:footnote>
  <w:footnote w:type="continuationSeparator" w:id="0">
    <w:p w14:paraId="2F1D98B7" w14:textId="77777777" w:rsidR="00EB146F" w:rsidRDefault="00EB146F" w:rsidP="00444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1840"/>
    <w:multiLevelType w:val="hybridMultilevel"/>
    <w:tmpl w:val="BEFA30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3BF02A3"/>
    <w:multiLevelType w:val="hybridMultilevel"/>
    <w:tmpl w:val="D262BA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9182C6A"/>
    <w:multiLevelType w:val="hybridMultilevel"/>
    <w:tmpl w:val="E3025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63335E7A"/>
    <w:multiLevelType w:val="multilevel"/>
    <w:tmpl w:val="560ED2C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3F670A1"/>
    <w:multiLevelType w:val="multilevel"/>
    <w:tmpl w:val="4CC2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668B8"/>
    <w:multiLevelType w:val="hybridMultilevel"/>
    <w:tmpl w:val="34D408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8AE00E6"/>
    <w:multiLevelType w:val="multilevel"/>
    <w:tmpl w:val="360009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7D8366AE"/>
    <w:multiLevelType w:val="multilevel"/>
    <w:tmpl w:val="C4CC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832026">
    <w:abstractNumId w:val="6"/>
  </w:num>
  <w:num w:numId="2" w16cid:durableId="1416592076">
    <w:abstractNumId w:val="7"/>
  </w:num>
  <w:num w:numId="3" w16cid:durableId="979458146">
    <w:abstractNumId w:val="3"/>
  </w:num>
  <w:num w:numId="4" w16cid:durableId="1967544008">
    <w:abstractNumId w:val="4"/>
  </w:num>
  <w:num w:numId="5" w16cid:durableId="1077438571">
    <w:abstractNumId w:val="1"/>
  </w:num>
  <w:num w:numId="6" w16cid:durableId="241763186">
    <w:abstractNumId w:val="0"/>
  </w:num>
  <w:num w:numId="7" w16cid:durableId="1726877537">
    <w:abstractNumId w:val="2"/>
  </w:num>
  <w:num w:numId="8" w16cid:durableId="17244014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B1"/>
    <w:rsid w:val="00000530"/>
    <w:rsid w:val="00057FFD"/>
    <w:rsid w:val="000612A8"/>
    <w:rsid w:val="000B289A"/>
    <w:rsid w:val="00154E7B"/>
    <w:rsid w:val="00167B5C"/>
    <w:rsid w:val="001D49BC"/>
    <w:rsid w:val="001E5F99"/>
    <w:rsid w:val="002B20B1"/>
    <w:rsid w:val="00360636"/>
    <w:rsid w:val="00365AB8"/>
    <w:rsid w:val="003B6A41"/>
    <w:rsid w:val="003C3D7C"/>
    <w:rsid w:val="003C4F4F"/>
    <w:rsid w:val="003D6A27"/>
    <w:rsid w:val="00444000"/>
    <w:rsid w:val="00456DDA"/>
    <w:rsid w:val="00515E52"/>
    <w:rsid w:val="00530696"/>
    <w:rsid w:val="0054393A"/>
    <w:rsid w:val="00565989"/>
    <w:rsid w:val="005804C4"/>
    <w:rsid w:val="006142EF"/>
    <w:rsid w:val="00662B07"/>
    <w:rsid w:val="00662ED0"/>
    <w:rsid w:val="00764E9F"/>
    <w:rsid w:val="00804562"/>
    <w:rsid w:val="008278A9"/>
    <w:rsid w:val="0083700A"/>
    <w:rsid w:val="00846B7A"/>
    <w:rsid w:val="008A6993"/>
    <w:rsid w:val="008B44AF"/>
    <w:rsid w:val="00A514A9"/>
    <w:rsid w:val="00A925CD"/>
    <w:rsid w:val="00B3707D"/>
    <w:rsid w:val="00B451F7"/>
    <w:rsid w:val="00BE7CFA"/>
    <w:rsid w:val="00D666BF"/>
    <w:rsid w:val="00D82F60"/>
    <w:rsid w:val="00D83DEC"/>
    <w:rsid w:val="00E76C1F"/>
    <w:rsid w:val="00E857A0"/>
    <w:rsid w:val="00EB146F"/>
    <w:rsid w:val="00ED014B"/>
    <w:rsid w:val="00EE28A0"/>
    <w:rsid w:val="00EF54CD"/>
    <w:rsid w:val="00F11728"/>
    <w:rsid w:val="00F22EA9"/>
    <w:rsid w:val="00F53EBD"/>
    <w:rsid w:val="00FB706E"/>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81C18"/>
  <w15:chartTrackingRefBased/>
  <w15:docId w15:val="{8737D616-862B-43BC-9400-2EC3553C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666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2B20B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B20B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D666B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link w:val="Ttulo5Char"/>
    <w:uiPriority w:val="9"/>
    <w:qFormat/>
    <w:rsid w:val="002B20B1"/>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B20B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B20B1"/>
    <w:rPr>
      <w:rFonts w:ascii="Times New Roman" w:eastAsia="Times New Roman" w:hAnsi="Times New Roman" w:cs="Times New Roman"/>
      <w:b/>
      <w:bCs/>
      <w:sz w:val="27"/>
      <w:szCs w:val="27"/>
      <w:lang w:eastAsia="pt-BR"/>
    </w:rPr>
  </w:style>
  <w:style w:type="character" w:customStyle="1" w:styleId="Ttulo5Char">
    <w:name w:val="Título 5 Char"/>
    <w:basedOn w:val="Fontepargpadro"/>
    <w:link w:val="Ttulo5"/>
    <w:uiPriority w:val="9"/>
    <w:rsid w:val="002B20B1"/>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B20B1"/>
    <w:rPr>
      <w:i/>
      <w:iCs/>
    </w:rPr>
  </w:style>
  <w:style w:type="character" w:styleId="Hyperlink">
    <w:name w:val="Hyperlink"/>
    <w:basedOn w:val="Fontepargpadro"/>
    <w:uiPriority w:val="99"/>
    <w:unhideWhenUsed/>
    <w:rsid w:val="002B20B1"/>
    <w:rPr>
      <w:color w:val="0000FF"/>
      <w:u w:val="single"/>
    </w:rPr>
  </w:style>
  <w:style w:type="paragraph" w:customStyle="1" w:styleId="comentario">
    <w:name w:val="comentario"/>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B20B1"/>
    <w:rPr>
      <w:b/>
      <w:bCs/>
    </w:rPr>
  </w:style>
  <w:style w:type="paragraph" w:customStyle="1" w:styleId="lead">
    <w:name w:val="lead"/>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list-group-item">
    <w:name w:val="list-group-item"/>
    <w:basedOn w:val="Normal"/>
    <w:rsid w:val="002B20B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D666BF"/>
    <w:rPr>
      <w:rFonts w:asciiTheme="majorHAnsi" w:eastAsiaTheme="majorEastAsia" w:hAnsiTheme="majorHAnsi" w:cstheme="majorBidi"/>
      <w:color w:val="2F5496" w:themeColor="accent1" w:themeShade="BF"/>
      <w:sz w:val="32"/>
      <w:szCs w:val="32"/>
    </w:rPr>
  </w:style>
  <w:style w:type="character" w:customStyle="1" w:styleId="Ttulo4Char">
    <w:name w:val="Título 4 Char"/>
    <w:basedOn w:val="Fontepargpadro"/>
    <w:link w:val="Ttulo4"/>
    <w:uiPriority w:val="9"/>
    <w:semiHidden/>
    <w:rsid w:val="00D666BF"/>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456DDA"/>
    <w:pPr>
      <w:ind w:left="720"/>
      <w:contextualSpacing/>
    </w:pPr>
  </w:style>
  <w:style w:type="paragraph" w:styleId="Ttulo">
    <w:name w:val="Title"/>
    <w:basedOn w:val="Normal"/>
    <w:next w:val="Normal"/>
    <w:link w:val="TtuloChar"/>
    <w:uiPriority w:val="10"/>
    <w:qFormat/>
    <w:rsid w:val="00F22EA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bidi="ar-SA"/>
    </w:rPr>
  </w:style>
  <w:style w:type="character" w:customStyle="1" w:styleId="TtuloChar">
    <w:name w:val="Título Char"/>
    <w:basedOn w:val="Fontepargpadro"/>
    <w:link w:val="Ttulo"/>
    <w:uiPriority w:val="10"/>
    <w:rsid w:val="00F22EA9"/>
    <w:rPr>
      <w:rFonts w:asciiTheme="majorHAnsi" w:eastAsiaTheme="majorEastAsia" w:hAnsiTheme="majorHAnsi" w:cstheme="majorBidi"/>
      <w:color w:val="323E4F" w:themeColor="text2" w:themeShade="BF"/>
      <w:spacing w:val="5"/>
      <w:kern w:val="28"/>
      <w:sz w:val="52"/>
      <w:szCs w:val="52"/>
      <w:lang w:bidi="ar-SA"/>
    </w:rPr>
  </w:style>
  <w:style w:type="paragraph" w:styleId="Textodenotaderodap">
    <w:name w:val="footnote text"/>
    <w:basedOn w:val="Normal"/>
    <w:link w:val="TextodenotaderodapChar"/>
    <w:uiPriority w:val="99"/>
    <w:semiHidden/>
    <w:unhideWhenUsed/>
    <w:rsid w:val="003C3D7C"/>
    <w:pPr>
      <w:spacing w:after="0" w:line="240" w:lineRule="auto"/>
    </w:pPr>
    <w:rPr>
      <w:sz w:val="20"/>
      <w:szCs w:val="20"/>
      <w:lang w:bidi="ar-SA"/>
    </w:rPr>
  </w:style>
  <w:style w:type="character" w:customStyle="1" w:styleId="TextodenotaderodapChar">
    <w:name w:val="Texto de nota de rodapé Char"/>
    <w:basedOn w:val="Fontepargpadro"/>
    <w:link w:val="Textodenotaderodap"/>
    <w:uiPriority w:val="99"/>
    <w:semiHidden/>
    <w:rsid w:val="003C3D7C"/>
    <w:rPr>
      <w:sz w:val="20"/>
      <w:szCs w:val="20"/>
      <w:lang w:bidi="ar-SA"/>
    </w:rPr>
  </w:style>
  <w:style w:type="character" w:styleId="Refdenotaderodap">
    <w:name w:val="footnote reference"/>
    <w:basedOn w:val="Fontepargpadro"/>
    <w:uiPriority w:val="99"/>
    <w:semiHidden/>
    <w:unhideWhenUsed/>
    <w:rsid w:val="003C3D7C"/>
    <w:rPr>
      <w:vertAlign w:val="superscript"/>
    </w:rPr>
  </w:style>
  <w:style w:type="character" w:styleId="MenoPendente">
    <w:name w:val="Unresolved Mention"/>
    <w:basedOn w:val="Fontepargpadro"/>
    <w:uiPriority w:val="99"/>
    <w:semiHidden/>
    <w:unhideWhenUsed/>
    <w:rsid w:val="000612A8"/>
    <w:rPr>
      <w:color w:val="605E5C"/>
      <w:shd w:val="clear" w:color="auto" w:fill="E1DFDD"/>
    </w:rPr>
  </w:style>
  <w:style w:type="paragraph" w:styleId="Legenda">
    <w:name w:val="caption"/>
    <w:basedOn w:val="Normal"/>
    <w:next w:val="Normal"/>
    <w:uiPriority w:val="35"/>
    <w:unhideWhenUsed/>
    <w:qFormat/>
    <w:rsid w:val="00EF54CD"/>
    <w:pPr>
      <w:spacing w:after="200" w:line="240" w:lineRule="auto"/>
    </w:pPr>
    <w:rPr>
      <w:b/>
      <w:bCs/>
      <w:color w:val="4472C4" w:themeColor="accent1"/>
      <w:sz w:val="18"/>
      <w:szCs w:val="18"/>
      <w:lang w:bidi="ar-SA"/>
    </w:rPr>
  </w:style>
  <w:style w:type="table" w:styleId="Tabelacomgrade">
    <w:name w:val="Table Grid"/>
    <w:basedOn w:val="Tabelanormal"/>
    <w:uiPriority w:val="39"/>
    <w:rsid w:val="00000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141826">
      <w:bodyDiv w:val="1"/>
      <w:marLeft w:val="0"/>
      <w:marRight w:val="0"/>
      <w:marTop w:val="0"/>
      <w:marBottom w:val="0"/>
      <w:divBdr>
        <w:top w:val="none" w:sz="0" w:space="0" w:color="auto"/>
        <w:left w:val="none" w:sz="0" w:space="0" w:color="auto"/>
        <w:bottom w:val="none" w:sz="0" w:space="0" w:color="auto"/>
        <w:right w:val="none" w:sz="0" w:space="0" w:color="auto"/>
      </w:divBdr>
    </w:div>
    <w:div w:id="692344285">
      <w:bodyDiv w:val="1"/>
      <w:marLeft w:val="0"/>
      <w:marRight w:val="0"/>
      <w:marTop w:val="0"/>
      <w:marBottom w:val="0"/>
      <w:divBdr>
        <w:top w:val="none" w:sz="0" w:space="0" w:color="auto"/>
        <w:left w:val="none" w:sz="0" w:space="0" w:color="auto"/>
        <w:bottom w:val="none" w:sz="0" w:space="0" w:color="auto"/>
        <w:right w:val="none" w:sz="0" w:space="0" w:color="auto"/>
      </w:divBdr>
      <w:divsChild>
        <w:div w:id="315259496">
          <w:marLeft w:val="0"/>
          <w:marRight w:val="0"/>
          <w:marTop w:val="0"/>
          <w:marBottom w:val="0"/>
          <w:divBdr>
            <w:top w:val="none" w:sz="0" w:space="0" w:color="auto"/>
            <w:left w:val="none" w:sz="0" w:space="0" w:color="auto"/>
            <w:bottom w:val="none" w:sz="0" w:space="0" w:color="auto"/>
            <w:right w:val="none" w:sz="0" w:space="0" w:color="auto"/>
          </w:divBdr>
        </w:div>
        <w:div w:id="166480293">
          <w:marLeft w:val="0"/>
          <w:marRight w:val="0"/>
          <w:marTop w:val="0"/>
          <w:marBottom w:val="0"/>
          <w:divBdr>
            <w:top w:val="none" w:sz="0" w:space="0" w:color="auto"/>
            <w:left w:val="none" w:sz="0" w:space="0" w:color="auto"/>
            <w:bottom w:val="none" w:sz="0" w:space="0" w:color="auto"/>
            <w:right w:val="none" w:sz="0" w:space="0" w:color="auto"/>
          </w:divBdr>
          <w:divsChild>
            <w:div w:id="200439113">
              <w:marLeft w:val="0"/>
              <w:marRight w:val="0"/>
              <w:marTop w:val="0"/>
              <w:marBottom w:val="0"/>
              <w:divBdr>
                <w:top w:val="single" w:sz="6" w:space="0" w:color="DDDDDD"/>
                <w:left w:val="single" w:sz="6" w:space="0" w:color="DDDDDD"/>
                <w:bottom w:val="single" w:sz="6" w:space="0" w:color="DDDDDD"/>
                <w:right w:val="single" w:sz="6" w:space="0" w:color="DDDDDD"/>
              </w:divBdr>
            </w:div>
            <w:div w:id="495389571">
              <w:marLeft w:val="0"/>
              <w:marRight w:val="0"/>
              <w:marTop w:val="0"/>
              <w:marBottom w:val="0"/>
              <w:divBdr>
                <w:top w:val="single" w:sz="6" w:space="0" w:color="DDDDDD"/>
                <w:left w:val="single" w:sz="6" w:space="0" w:color="DDDDDD"/>
                <w:bottom w:val="single" w:sz="6" w:space="0" w:color="DDDDDD"/>
                <w:right w:val="single" w:sz="6" w:space="0" w:color="DDDDDD"/>
              </w:divBdr>
            </w:div>
            <w:div w:id="482161910">
              <w:marLeft w:val="0"/>
              <w:marRight w:val="0"/>
              <w:marTop w:val="0"/>
              <w:marBottom w:val="0"/>
              <w:divBdr>
                <w:top w:val="single" w:sz="6" w:space="0" w:color="DDDDDD"/>
                <w:left w:val="single" w:sz="6" w:space="0" w:color="DDDDDD"/>
                <w:bottom w:val="single" w:sz="6" w:space="0" w:color="DDDDDD"/>
                <w:right w:val="single" w:sz="6" w:space="0" w:color="DDDDDD"/>
              </w:divBdr>
            </w:div>
            <w:div w:id="1106462828">
              <w:marLeft w:val="0"/>
              <w:marRight w:val="0"/>
              <w:marTop w:val="0"/>
              <w:marBottom w:val="300"/>
              <w:divBdr>
                <w:top w:val="single" w:sz="6" w:space="0" w:color="555555"/>
                <w:left w:val="single" w:sz="6" w:space="0" w:color="555555"/>
                <w:bottom w:val="single" w:sz="6" w:space="0" w:color="555555"/>
                <w:right w:val="single" w:sz="6" w:space="0" w:color="555555"/>
              </w:divBdr>
              <w:divsChild>
                <w:div w:id="1782646933">
                  <w:marLeft w:val="0"/>
                  <w:marRight w:val="0"/>
                  <w:marTop w:val="0"/>
                  <w:marBottom w:val="0"/>
                  <w:divBdr>
                    <w:top w:val="none" w:sz="0" w:space="0" w:color="auto"/>
                    <w:left w:val="none" w:sz="0" w:space="0" w:color="auto"/>
                    <w:bottom w:val="none" w:sz="0" w:space="0" w:color="auto"/>
                    <w:right w:val="none" w:sz="0" w:space="0" w:color="auto"/>
                  </w:divBdr>
                </w:div>
              </w:divsChild>
            </w:div>
            <w:div w:id="125785164">
              <w:marLeft w:val="0"/>
              <w:marRight w:val="0"/>
              <w:marTop w:val="0"/>
              <w:marBottom w:val="300"/>
              <w:divBdr>
                <w:top w:val="single" w:sz="6" w:space="0" w:color="555555"/>
                <w:left w:val="single" w:sz="6" w:space="0" w:color="555555"/>
                <w:bottom w:val="single" w:sz="6" w:space="0" w:color="555555"/>
                <w:right w:val="single" w:sz="6" w:space="0" w:color="555555"/>
              </w:divBdr>
              <w:divsChild>
                <w:div w:id="1794131356">
                  <w:marLeft w:val="0"/>
                  <w:marRight w:val="0"/>
                  <w:marTop w:val="0"/>
                  <w:marBottom w:val="0"/>
                  <w:divBdr>
                    <w:top w:val="none" w:sz="0" w:space="0" w:color="auto"/>
                    <w:left w:val="none" w:sz="0" w:space="0" w:color="auto"/>
                    <w:bottom w:val="none" w:sz="0" w:space="0" w:color="auto"/>
                    <w:right w:val="none" w:sz="0" w:space="0" w:color="auto"/>
                  </w:divBdr>
                </w:div>
              </w:divsChild>
            </w:div>
            <w:div w:id="1924291100">
              <w:marLeft w:val="0"/>
              <w:marRight w:val="0"/>
              <w:marTop w:val="0"/>
              <w:marBottom w:val="300"/>
              <w:divBdr>
                <w:top w:val="single" w:sz="6" w:space="0" w:color="555555"/>
                <w:left w:val="single" w:sz="6" w:space="0" w:color="555555"/>
                <w:bottom w:val="single" w:sz="6" w:space="0" w:color="555555"/>
                <w:right w:val="single" w:sz="6" w:space="0" w:color="555555"/>
              </w:divBdr>
              <w:divsChild>
                <w:div w:id="2050491275">
                  <w:marLeft w:val="0"/>
                  <w:marRight w:val="0"/>
                  <w:marTop w:val="0"/>
                  <w:marBottom w:val="0"/>
                  <w:divBdr>
                    <w:top w:val="none" w:sz="0" w:space="0" w:color="auto"/>
                    <w:left w:val="none" w:sz="0" w:space="0" w:color="auto"/>
                    <w:bottom w:val="none" w:sz="0" w:space="0" w:color="auto"/>
                    <w:right w:val="none" w:sz="0" w:space="0" w:color="auto"/>
                  </w:divBdr>
                </w:div>
              </w:divsChild>
            </w:div>
            <w:div w:id="797376923">
              <w:marLeft w:val="0"/>
              <w:marRight w:val="0"/>
              <w:marTop w:val="0"/>
              <w:marBottom w:val="300"/>
              <w:divBdr>
                <w:top w:val="single" w:sz="6" w:space="0" w:color="555555"/>
                <w:left w:val="single" w:sz="6" w:space="0" w:color="555555"/>
                <w:bottom w:val="single" w:sz="6" w:space="0" w:color="555555"/>
                <w:right w:val="single" w:sz="6" w:space="0" w:color="555555"/>
              </w:divBdr>
              <w:divsChild>
                <w:div w:id="182398877">
                  <w:marLeft w:val="0"/>
                  <w:marRight w:val="0"/>
                  <w:marTop w:val="0"/>
                  <w:marBottom w:val="0"/>
                  <w:divBdr>
                    <w:top w:val="none" w:sz="0" w:space="0" w:color="auto"/>
                    <w:left w:val="none" w:sz="0" w:space="0" w:color="auto"/>
                    <w:bottom w:val="none" w:sz="0" w:space="0" w:color="auto"/>
                    <w:right w:val="none" w:sz="0" w:space="0" w:color="auto"/>
                  </w:divBdr>
                </w:div>
              </w:divsChild>
            </w:div>
            <w:div w:id="931547922">
              <w:marLeft w:val="0"/>
              <w:marRight w:val="0"/>
              <w:marTop w:val="0"/>
              <w:marBottom w:val="300"/>
              <w:divBdr>
                <w:top w:val="single" w:sz="6" w:space="0" w:color="555555"/>
                <w:left w:val="single" w:sz="6" w:space="0" w:color="555555"/>
                <w:bottom w:val="single" w:sz="6" w:space="0" w:color="555555"/>
                <w:right w:val="single" w:sz="6" w:space="0" w:color="555555"/>
              </w:divBdr>
              <w:divsChild>
                <w:div w:id="749236016">
                  <w:marLeft w:val="0"/>
                  <w:marRight w:val="0"/>
                  <w:marTop w:val="0"/>
                  <w:marBottom w:val="0"/>
                  <w:divBdr>
                    <w:top w:val="none" w:sz="0" w:space="0" w:color="auto"/>
                    <w:left w:val="none" w:sz="0" w:space="0" w:color="auto"/>
                    <w:bottom w:val="none" w:sz="0" w:space="0" w:color="auto"/>
                    <w:right w:val="none" w:sz="0" w:space="0" w:color="auto"/>
                  </w:divBdr>
                </w:div>
              </w:divsChild>
            </w:div>
            <w:div w:id="2074352204">
              <w:marLeft w:val="0"/>
              <w:marRight w:val="0"/>
              <w:marTop w:val="0"/>
              <w:marBottom w:val="300"/>
              <w:divBdr>
                <w:top w:val="single" w:sz="6" w:space="0" w:color="555555"/>
                <w:left w:val="single" w:sz="6" w:space="0" w:color="555555"/>
                <w:bottom w:val="single" w:sz="6" w:space="0" w:color="555555"/>
                <w:right w:val="single" w:sz="6" w:space="0" w:color="555555"/>
              </w:divBdr>
              <w:divsChild>
                <w:div w:id="321662769">
                  <w:marLeft w:val="0"/>
                  <w:marRight w:val="0"/>
                  <w:marTop w:val="0"/>
                  <w:marBottom w:val="0"/>
                  <w:divBdr>
                    <w:top w:val="none" w:sz="0" w:space="0" w:color="auto"/>
                    <w:left w:val="none" w:sz="0" w:space="0" w:color="auto"/>
                    <w:bottom w:val="none" w:sz="0" w:space="0" w:color="auto"/>
                    <w:right w:val="none" w:sz="0" w:space="0" w:color="auto"/>
                  </w:divBdr>
                </w:div>
              </w:divsChild>
            </w:div>
            <w:div w:id="1654675397">
              <w:marLeft w:val="0"/>
              <w:marRight w:val="0"/>
              <w:marTop w:val="0"/>
              <w:marBottom w:val="300"/>
              <w:divBdr>
                <w:top w:val="single" w:sz="6" w:space="0" w:color="555555"/>
                <w:left w:val="single" w:sz="6" w:space="0" w:color="555555"/>
                <w:bottom w:val="single" w:sz="6" w:space="0" w:color="555555"/>
                <w:right w:val="single" w:sz="6" w:space="0" w:color="555555"/>
              </w:divBdr>
              <w:divsChild>
                <w:div w:id="1735732973">
                  <w:marLeft w:val="0"/>
                  <w:marRight w:val="0"/>
                  <w:marTop w:val="0"/>
                  <w:marBottom w:val="0"/>
                  <w:divBdr>
                    <w:top w:val="none" w:sz="0" w:space="0" w:color="auto"/>
                    <w:left w:val="none" w:sz="0" w:space="0" w:color="auto"/>
                    <w:bottom w:val="none" w:sz="0" w:space="0" w:color="auto"/>
                    <w:right w:val="none" w:sz="0" w:space="0" w:color="auto"/>
                  </w:divBdr>
                </w:div>
              </w:divsChild>
            </w:div>
            <w:div w:id="2037735634">
              <w:marLeft w:val="0"/>
              <w:marRight w:val="0"/>
              <w:marTop w:val="0"/>
              <w:marBottom w:val="300"/>
              <w:divBdr>
                <w:top w:val="single" w:sz="6" w:space="0" w:color="555555"/>
                <w:left w:val="single" w:sz="6" w:space="0" w:color="555555"/>
                <w:bottom w:val="single" w:sz="6" w:space="0" w:color="555555"/>
                <w:right w:val="single" w:sz="6" w:space="0" w:color="555555"/>
              </w:divBdr>
              <w:divsChild>
                <w:div w:id="13879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1113">
          <w:marLeft w:val="0"/>
          <w:marRight w:val="0"/>
          <w:marTop w:val="0"/>
          <w:marBottom w:val="0"/>
          <w:divBdr>
            <w:top w:val="none" w:sz="0" w:space="0" w:color="auto"/>
            <w:left w:val="none" w:sz="0" w:space="0" w:color="auto"/>
            <w:bottom w:val="none" w:sz="0" w:space="0" w:color="auto"/>
            <w:right w:val="none" w:sz="0" w:space="0" w:color="auto"/>
          </w:divBdr>
          <w:divsChild>
            <w:div w:id="1977830707">
              <w:marLeft w:val="0"/>
              <w:marRight w:val="0"/>
              <w:marTop w:val="0"/>
              <w:marBottom w:val="0"/>
              <w:divBdr>
                <w:top w:val="none" w:sz="0" w:space="0" w:color="auto"/>
                <w:left w:val="none" w:sz="0" w:space="0" w:color="auto"/>
                <w:bottom w:val="none" w:sz="0" w:space="0" w:color="auto"/>
                <w:right w:val="none" w:sz="0" w:space="0" w:color="auto"/>
              </w:divBdr>
              <w:divsChild>
                <w:div w:id="1252590218">
                  <w:marLeft w:val="0"/>
                  <w:marRight w:val="0"/>
                  <w:marTop w:val="0"/>
                  <w:marBottom w:val="0"/>
                  <w:divBdr>
                    <w:top w:val="single" w:sz="6" w:space="0" w:color="D4D4D4"/>
                    <w:left w:val="single" w:sz="6" w:space="0" w:color="D4D4D4"/>
                    <w:bottom w:val="single" w:sz="6" w:space="0" w:color="D4D4D4"/>
                    <w:right w:val="single" w:sz="6" w:space="0" w:color="D4D4D4"/>
                  </w:divBdr>
                </w:div>
                <w:div w:id="1473017073">
                  <w:marLeft w:val="0"/>
                  <w:marRight w:val="0"/>
                  <w:marTop w:val="0"/>
                  <w:marBottom w:val="0"/>
                  <w:divBdr>
                    <w:top w:val="none" w:sz="0" w:space="0" w:color="auto"/>
                    <w:left w:val="none" w:sz="0" w:space="0" w:color="auto"/>
                    <w:bottom w:val="none" w:sz="0" w:space="0" w:color="auto"/>
                    <w:right w:val="none" w:sz="0" w:space="0" w:color="auto"/>
                  </w:divBdr>
                  <w:divsChild>
                    <w:div w:id="341661669">
                      <w:marLeft w:val="0"/>
                      <w:marRight w:val="0"/>
                      <w:marTop w:val="0"/>
                      <w:marBottom w:val="300"/>
                      <w:divBdr>
                        <w:top w:val="single" w:sz="6" w:space="0" w:color="555555"/>
                        <w:left w:val="single" w:sz="6" w:space="0" w:color="555555"/>
                        <w:bottom w:val="single" w:sz="6" w:space="0" w:color="000000"/>
                        <w:right w:val="single" w:sz="6" w:space="0" w:color="555555"/>
                      </w:divBdr>
                      <w:divsChild>
                        <w:div w:id="1732801951">
                          <w:marLeft w:val="0"/>
                          <w:marRight w:val="0"/>
                          <w:marTop w:val="0"/>
                          <w:marBottom w:val="0"/>
                          <w:divBdr>
                            <w:top w:val="none" w:sz="0" w:space="0" w:color="auto"/>
                            <w:left w:val="none" w:sz="0" w:space="0" w:color="auto"/>
                            <w:bottom w:val="none" w:sz="0" w:space="0" w:color="auto"/>
                            <w:right w:val="none" w:sz="0" w:space="0" w:color="auto"/>
                          </w:divBdr>
                        </w:div>
                        <w:div w:id="1358772111">
                          <w:marLeft w:val="0"/>
                          <w:marRight w:val="0"/>
                          <w:marTop w:val="0"/>
                          <w:marBottom w:val="0"/>
                          <w:divBdr>
                            <w:top w:val="none" w:sz="0" w:space="0" w:color="auto"/>
                            <w:left w:val="none" w:sz="0" w:space="0" w:color="auto"/>
                            <w:bottom w:val="none" w:sz="0" w:space="0" w:color="auto"/>
                            <w:right w:val="none" w:sz="0" w:space="0" w:color="auto"/>
                          </w:divBdr>
                          <w:divsChild>
                            <w:div w:id="1173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8344">
                      <w:marLeft w:val="0"/>
                      <w:marRight w:val="0"/>
                      <w:marTop w:val="0"/>
                      <w:marBottom w:val="300"/>
                      <w:divBdr>
                        <w:top w:val="single" w:sz="6" w:space="0" w:color="555555"/>
                        <w:left w:val="single" w:sz="6" w:space="0" w:color="555555"/>
                        <w:bottom w:val="single" w:sz="6" w:space="0" w:color="000000"/>
                        <w:right w:val="single" w:sz="6" w:space="0" w:color="555555"/>
                      </w:divBdr>
                      <w:divsChild>
                        <w:div w:id="1887064659">
                          <w:marLeft w:val="0"/>
                          <w:marRight w:val="0"/>
                          <w:marTop w:val="0"/>
                          <w:marBottom w:val="0"/>
                          <w:divBdr>
                            <w:top w:val="none" w:sz="0" w:space="0" w:color="auto"/>
                            <w:left w:val="none" w:sz="0" w:space="0" w:color="auto"/>
                            <w:bottom w:val="none" w:sz="0" w:space="0" w:color="auto"/>
                            <w:right w:val="none" w:sz="0" w:space="0" w:color="auto"/>
                          </w:divBdr>
                        </w:div>
                        <w:div w:id="708653106">
                          <w:marLeft w:val="0"/>
                          <w:marRight w:val="0"/>
                          <w:marTop w:val="0"/>
                          <w:marBottom w:val="0"/>
                          <w:divBdr>
                            <w:top w:val="none" w:sz="0" w:space="0" w:color="auto"/>
                            <w:left w:val="none" w:sz="0" w:space="0" w:color="auto"/>
                            <w:bottom w:val="none" w:sz="0" w:space="0" w:color="auto"/>
                            <w:right w:val="none" w:sz="0" w:space="0" w:color="auto"/>
                          </w:divBdr>
                          <w:divsChild>
                            <w:div w:id="14236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11307">
                      <w:marLeft w:val="0"/>
                      <w:marRight w:val="0"/>
                      <w:marTop w:val="0"/>
                      <w:marBottom w:val="300"/>
                      <w:divBdr>
                        <w:top w:val="single" w:sz="6" w:space="0" w:color="555555"/>
                        <w:left w:val="single" w:sz="6" w:space="0" w:color="555555"/>
                        <w:bottom w:val="single" w:sz="6" w:space="0" w:color="000000"/>
                        <w:right w:val="single" w:sz="6" w:space="0" w:color="555555"/>
                      </w:divBdr>
                      <w:divsChild>
                        <w:div w:id="1282226389">
                          <w:marLeft w:val="0"/>
                          <w:marRight w:val="0"/>
                          <w:marTop w:val="0"/>
                          <w:marBottom w:val="0"/>
                          <w:divBdr>
                            <w:top w:val="none" w:sz="0" w:space="0" w:color="auto"/>
                            <w:left w:val="none" w:sz="0" w:space="0" w:color="auto"/>
                            <w:bottom w:val="none" w:sz="0" w:space="0" w:color="auto"/>
                            <w:right w:val="none" w:sz="0" w:space="0" w:color="auto"/>
                          </w:divBdr>
                        </w:div>
                        <w:div w:id="1162886804">
                          <w:marLeft w:val="0"/>
                          <w:marRight w:val="0"/>
                          <w:marTop w:val="0"/>
                          <w:marBottom w:val="0"/>
                          <w:divBdr>
                            <w:top w:val="none" w:sz="0" w:space="0" w:color="auto"/>
                            <w:left w:val="none" w:sz="0" w:space="0" w:color="auto"/>
                            <w:bottom w:val="none" w:sz="0" w:space="0" w:color="auto"/>
                            <w:right w:val="none" w:sz="0" w:space="0" w:color="auto"/>
                          </w:divBdr>
                          <w:divsChild>
                            <w:div w:id="1801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570585">
          <w:marLeft w:val="0"/>
          <w:marRight w:val="0"/>
          <w:marTop w:val="0"/>
          <w:marBottom w:val="0"/>
          <w:divBdr>
            <w:top w:val="none" w:sz="0" w:space="0" w:color="auto"/>
            <w:left w:val="none" w:sz="0" w:space="0" w:color="auto"/>
            <w:bottom w:val="none" w:sz="0" w:space="0" w:color="auto"/>
            <w:right w:val="none" w:sz="0" w:space="0" w:color="auto"/>
          </w:divBdr>
          <w:divsChild>
            <w:div w:id="19681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8468">
      <w:bodyDiv w:val="1"/>
      <w:marLeft w:val="0"/>
      <w:marRight w:val="0"/>
      <w:marTop w:val="0"/>
      <w:marBottom w:val="0"/>
      <w:divBdr>
        <w:top w:val="none" w:sz="0" w:space="0" w:color="auto"/>
        <w:left w:val="none" w:sz="0" w:space="0" w:color="auto"/>
        <w:bottom w:val="none" w:sz="0" w:space="0" w:color="auto"/>
        <w:right w:val="none" w:sz="0" w:space="0" w:color="auto"/>
      </w:divBdr>
    </w:div>
    <w:div w:id="1195848239">
      <w:bodyDiv w:val="1"/>
      <w:marLeft w:val="0"/>
      <w:marRight w:val="0"/>
      <w:marTop w:val="0"/>
      <w:marBottom w:val="0"/>
      <w:divBdr>
        <w:top w:val="none" w:sz="0" w:space="0" w:color="auto"/>
        <w:left w:val="none" w:sz="0" w:space="0" w:color="auto"/>
        <w:bottom w:val="none" w:sz="0" w:space="0" w:color="auto"/>
        <w:right w:val="none" w:sz="0" w:space="0" w:color="auto"/>
      </w:divBdr>
      <w:divsChild>
        <w:div w:id="369182217">
          <w:marLeft w:val="0"/>
          <w:marRight w:val="0"/>
          <w:marTop w:val="0"/>
          <w:marBottom w:val="0"/>
          <w:divBdr>
            <w:top w:val="none" w:sz="0" w:space="0" w:color="auto"/>
            <w:left w:val="none" w:sz="0" w:space="0" w:color="auto"/>
            <w:bottom w:val="none" w:sz="0" w:space="0" w:color="auto"/>
            <w:right w:val="none" w:sz="0" w:space="0" w:color="auto"/>
          </w:divBdr>
        </w:div>
        <w:div w:id="1520850632">
          <w:marLeft w:val="0"/>
          <w:marRight w:val="0"/>
          <w:marTop w:val="0"/>
          <w:marBottom w:val="0"/>
          <w:divBdr>
            <w:top w:val="none" w:sz="0" w:space="0" w:color="auto"/>
            <w:left w:val="none" w:sz="0" w:space="0" w:color="auto"/>
            <w:bottom w:val="none" w:sz="0" w:space="0" w:color="auto"/>
            <w:right w:val="none" w:sz="0" w:space="0" w:color="auto"/>
          </w:divBdr>
          <w:divsChild>
            <w:div w:id="1397625129">
              <w:marLeft w:val="0"/>
              <w:marRight w:val="0"/>
              <w:marTop w:val="0"/>
              <w:marBottom w:val="300"/>
              <w:divBdr>
                <w:top w:val="single" w:sz="6" w:space="0" w:color="555555"/>
                <w:left w:val="single" w:sz="6" w:space="0" w:color="555555"/>
                <w:bottom w:val="single" w:sz="6" w:space="0" w:color="555555"/>
                <w:right w:val="single" w:sz="6" w:space="0" w:color="555555"/>
              </w:divBdr>
              <w:divsChild>
                <w:div w:id="1583563089">
                  <w:marLeft w:val="0"/>
                  <w:marRight w:val="0"/>
                  <w:marTop w:val="0"/>
                  <w:marBottom w:val="0"/>
                  <w:divBdr>
                    <w:top w:val="none" w:sz="0" w:space="0" w:color="auto"/>
                    <w:left w:val="none" w:sz="0" w:space="0" w:color="auto"/>
                    <w:bottom w:val="none" w:sz="0" w:space="0" w:color="auto"/>
                    <w:right w:val="none" w:sz="0" w:space="0" w:color="auto"/>
                  </w:divBdr>
                </w:div>
              </w:divsChild>
            </w:div>
            <w:div w:id="1410149974">
              <w:marLeft w:val="0"/>
              <w:marRight w:val="0"/>
              <w:marTop w:val="0"/>
              <w:marBottom w:val="300"/>
              <w:divBdr>
                <w:top w:val="single" w:sz="6" w:space="0" w:color="555555"/>
                <w:left w:val="single" w:sz="6" w:space="0" w:color="555555"/>
                <w:bottom w:val="single" w:sz="6" w:space="0" w:color="555555"/>
                <w:right w:val="single" w:sz="6" w:space="0" w:color="555555"/>
              </w:divBdr>
              <w:divsChild>
                <w:div w:id="1673677638">
                  <w:marLeft w:val="0"/>
                  <w:marRight w:val="0"/>
                  <w:marTop w:val="0"/>
                  <w:marBottom w:val="0"/>
                  <w:divBdr>
                    <w:top w:val="none" w:sz="0" w:space="0" w:color="auto"/>
                    <w:left w:val="none" w:sz="0" w:space="0" w:color="auto"/>
                    <w:bottom w:val="none" w:sz="0" w:space="0" w:color="auto"/>
                    <w:right w:val="none" w:sz="0" w:space="0" w:color="auto"/>
                  </w:divBdr>
                </w:div>
              </w:divsChild>
            </w:div>
            <w:div w:id="878397631">
              <w:marLeft w:val="0"/>
              <w:marRight w:val="0"/>
              <w:marTop w:val="0"/>
              <w:marBottom w:val="0"/>
              <w:divBdr>
                <w:top w:val="single" w:sz="6" w:space="0" w:color="DDDDDD"/>
                <w:left w:val="single" w:sz="6" w:space="0" w:color="DDDDDD"/>
                <w:bottom w:val="single" w:sz="6" w:space="0" w:color="DDDDDD"/>
                <w:right w:val="single" w:sz="6" w:space="0" w:color="DDDDDD"/>
              </w:divBdr>
            </w:div>
            <w:div w:id="1817911141">
              <w:marLeft w:val="0"/>
              <w:marRight w:val="0"/>
              <w:marTop w:val="0"/>
              <w:marBottom w:val="0"/>
              <w:divBdr>
                <w:top w:val="single" w:sz="6" w:space="0" w:color="DDDDDD"/>
                <w:left w:val="single" w:sz="6" w:space="0" w:color="DDDDDD"/>
                <w:bottom w:val="single" w:sz="6" w:space="0" w:color="DDDDDD"/>
                <w:right w:val="single" w:sz="6" w:space="0" w:color="DDDDDD"/>
              </w:divBdr>
            </w:div>
            <w:div w:id="1762991211">
              <w:marLeft w:val="0"/>
              <w:marRight w:val="0"/>
              <w:marTop w:val="0"/>
              <w:marBottom w:val="0"/>
              <w:divBdr>
                <w:top w:val="single" w:sz="6" w:space="0" w:color="DDDDDD"/>
                <w:left w:val="single" w:sz="6" w:space="0" w:color="DDDDDD"/>
                <w:bottom w:val="single" w:sz="6" w:space="0" w:color="DDDDDD"/>
                <w:right w:val="single" w:sz="6" w:space="0" w:color="DDDDDD"/>
              </w:divBdr>
            </w:div>
            <w:div w:id="1343243519">
              <w:marLeft w:val="0"/>
              <w:marRight w:val="0"/>
              <w:marTop w:val="0"/>
              <w:marBottom w:val="0"/>
              <w:divBdr>
                <w:top w:val="single" w:sz="6" w:space="0" w:color="DDDDDD"/>
                <w:left w:val="single" w:sz="6" w:space="0" w:color="DDDDDD"/>
                <w:bottom w:val="single" w:sz="6" w:space="0" w:color="DDDDDD"/>
                <w:right w:val="single" w:sz="6" w:space="0" w:color="DDDDDD"/>
              </w:divBdr>
            </w:div>
            <w:div w:id="340935562">
              <w:marLeft w:val="0"/>
              <w:marRight w:val="0"/>
              <w:marTop w:val="0"/>
              <w:marBottom w:val="0"/>
              <w:divBdr>
                <w:top w:val="single" w:sz="6" w:space="0" w:color="DDDDDD"/>
                <w:left w:val="single" w:sz="6" w:space="0" w:color="DDDDDD"/>
                <w:bottom w:val="single" w:sz="6" w:space="0" w:color="DDDDDD"/>
                <w:right w:val="single" w:sz="6" w:space="0" w:color="DDDDDD"/>
              </w:divBdr>
            </w:div>
            <w:div w:id="1090659311">
              <w:marLeft w:val="0"/>
              <w:marRight w:val="0"/>
              <w:marTop w:val="0"/>
              <w:marBottom w:val="300"/>
              <w:divBdr>
                <w:top w:val="single" w:sz="6" w:space="0" w:color="555555"/>
                <w:left w:val="single" w:sz="6" w:space="0" w:color="555555"/>
                <w:bottom w:val="single" w:sz="6" w:space="0" w:color="555555"/>
                <w:right w:val="single" w:sz="6" w:space="0" w:color="555555"/>
              </w:divBdr>
              <w:divsChild>
                <w:div w:id="432626793">
                  <w:marLeft w:val="0"/>
                  <w:marRight w:val="0"/>
                  <w:marTop w:val="0"/>
                  <w:marBottom w:val="0"/>
                  <w:divBdr>
                    <w:top w:val="none" w:sz="0" w:space="0" w:color="auto"/>
                    <w:left w:val="none" w:sz="0" w:space="0" w:color="auto"/>
                    <w:bottom w:val="none" w:sz="0" w:space="0" w:color="auto"/>
                    <w:right w:val="none" w:sz="0" w:space="0" w:color="auto"/>
                  </w:divBdr>
                </w:div>
              </w:divsChild>
            </w:div>
            <w:div w:id="1320885059">
              <w:marLeft w:val="0"/>
              <w:marRight w:val="0"/>
              <w:marTop w:val="0"/>
              <w:marBottom w:val="300"/>
              <w:divBdr>
                <w:top w:val="single" w:sz="6" w:space="0" w:color="555555"/>
                <w:left w:val="single" w:sz="6" w:space="0" w:color="555555"/>
                <w:bottom w:val="single" w:sz="6" w:space="0" w:color="555555"/>
                <w:right w:val="single" w:sz="6" w:space="0" w:color="555555"/>
              </w:divBdr>
              <w:divsChild>
                <w:div w:id="757868612">
                  <w:marLeft w:val="0"/>
                  <w:marRight w:val="0"/>
                  <w:marTop w:val="0"/>
                  <w:marBottom w:val="0"/>
                  <w:divBdr>
                    <w:top w:val="none" w:sz="0" w:space="0" w:color="auto"/>
                    <w:left w:val="none" w:sz="0" w:space="0" w:color="auto"/>
                    <w:bottom w:val="none" w:sz="0" w:space="0" w:color="auto"/>
                    <w:right w:val="none" w:sz="0" w:space="0" w:color="auto"/>
                  </w:divBdr>
                </w:div>
              </w:divsChild>
            </w:div>
            <w:div w:id="1896502370">
              <w:marLeft w:val="0"/>
              <w:marRight w:val="0"/>
              <w:marTop w:val="0"/>
              <w:marBottom w:val="300"/>
              <w:divBdr>
                <w:top w:val="single" w:sz="6" w:space="0" w:color="555555"/>
                <w:left w:val="single" w:sz="6" w:space="0" w:color="555555"/>
                <w:bottom w:val="single" w:sz="6" w:space="0" w:color="555555"/>
                <w:right w:val="single" w:sz="6" w:space="0" w:color="555555"/>
              </w:divBdr>
              <w:divsChild>
                <w:div w:id="1702128443">
                  <w:marLeft w:val="0"/>
                  <w:marRight w:val="0"/>
                  <w:marTop w:val="0"/>
                  <w:marBottom w:val="0"/>
                  <w:divBdr>
                    <w:top w:val="none" w:sz="0" w:space="0" w:color="auto"/>
                    <w:left w:val="none" w:sz="0" w:space="0" w:color="auto"/>
                    <w:bottom w:val="none" w:sz="0" w:space="0" w:color="auto"/>
                    <w:right w:val="none" w:sz="0" w:space="0" w:color="auto"/>
                  </w:divBdr>
                </w:div>
              </w:divsChild>
            </w:div>
            <w:div w:id="1812551514">
              <w:marLeft w:val="0"/>
              <w:marRight w:val="0"/>
              <w:marTop w:val="0"/>
              <w:marBottom w:val="300"/>
              <w:divBdr>
                <w:top w:val="single" w:sz="6" w:space="0" w:color="555555"/>
                <w:left w:val="single" w:sz="6" w:space="0" w:color="555555"/>
                <w:bottom w:val="single" w:sz="6" w:space="0" w:color="555555"/>
                <w:right w:val="single" w:sz="6" w:space="0" w:color="555555"/>
              </w:divBdr>
              <w:divsChild>
                <w:div w:id="1648972358">
                  <w:marLeft w:val="0"/>
                  <w:marRight w:val="0"/>
                  <w:marTop w:val="0"/>
                  <w:marBottom w:val="0"/>
                  <w:divBdr>
                    <w:top w:val="none" w:sz="0" w:space="0" w:color="auto"/>
                    <w:left w:val="none" w:sz="0" w:space="0" w:color="auto"/>
                    <w:bottom w:val="none" w:sz="0" w:space="0" w:color="auto"/>
                    <w:right w:val="none" w:sz="0" w:space="0" w:color="auto"/>
                  </w:divBdr>
                </w:div>
              </w:divsChild>
            </w:div>
            <w:div w:id="1574777852">
              <w:marLeft w:val="0"/>
              <w:marRight w:val="0"/>
              <w:marTop w:val="0"/>
              <w:marBottom w:val="300"/>
              <w:divBdr>
                <w:top w:val="single" w:sz="6" w:space="0" w:color="555555"/>
                <w:left w:val="single" w:sz="6" w:space="0" w:color="555555"/>
                <w:bottom w:val="single" w:sz="6" w:space="0" w:color="555555"/>
                <w:right w:val="single" w:sz="6" w:space="0" w:color="555555"/>
              </w:divBdr>
              <w:divsChild>
                <w:div w:id="10587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3269">
          <w:marLeft w:val="0"/>
          <w:marRight w:val="0"/>
          <w:marTop w:val="0"/>
          <w:marBottom w:val="0"/>
          <w:divBdr>
            <w:top w:val="none" w:sz="0" w:space="0" w:color="auto"/>
            <w:left w:val="none" w:sz="0" w:space="0" w:color="auto"/>
            <w:bottom w:val="none" w:sz="0" w:space="0" w:color="auto"/>
            <w:right w:val="none" w:sz="0" w:space="0" w:color="auto"/>
          </w:divBdr>
          <w:divsChild>
            <w:div w:id="376589731">
              <w:marLeft w:val="0"/>
              <w:marRight w:val="0"/>
              <w:marTop w:val="0"/>
              <w:marBottom w:val="0"/>
              <w:divBdr>
                <w:top w:val="none" w:sz="0" w:space="0" w:color="auto"/>
                <w:left w:val="none" w:sz="0" w:space="0" w:color="auto"/>
                <w:bottom w:val="none" w:sz="0" w:space="0" w:color="auto"/>
                <w:right w:val="none" w:sz="0" w:space="0" w:color="auto"/>
              </w:divBdr>
              <w:divsChild>
                <w:div w:id="1508444233">
                  <w:marLeft w:val="0"/>
                  <w:marRight w:val="0"/>
                  <w:marTop w:val="0"/>
                  <w:marBottom w:val="0"/>
                  <w:divBdr>
                    <w:top w:val="single" w:sz="6" w:space="0" w:color="D4D4D4"/>
                    <w:left w:val="single" w:sz="6" w:space="0" w:color="D4D4D4"/>
                    <w:bottom w:val="single" w:sz="6" w:space="0" w:color="D4D4D4"/>
                    <w:right w:val="single" w:sz="6" w:space="0" w:color="D4D4D4"/>
                  </w:divBdr>
                </w:div>
                <w:div w:id="1078552083">
                  <w:marLeft w:val="0"/>
                  <w:marRight w:val="0"/>
                  <w:marTop w:val="0"/>
                  <w:marBottom w:val="0"/>
                  <w:divBdr>
                    <w:top w:val="none" w:sz="0" w:space="0" w:color="auto"/>
                    <w:left w:val="none" w:sz="0" w:space="0" w:color="auto"/>
                    <w:bottom w:val="none" w:sz="0" w:space="0" w:color="auto"/>
                    <w:right w:val="none" w:sz="0" w:space="0" w:color="auto"/>
                  </w:divBdr>
                  <w:divsChild>
                    <w:div w:id="1360086871">
                      <w:marLeft w:val="0"/>
                      <w:marRight w:val="0"/>
                      <w:marTop w:val="0"/>
                      <w:marBottom w:val="300"/>
                      <w:divBdr>
                        <w:top w:val="single" w:sz="6" w:space="0" w:color="555555"/>
                        <w:left w:val="single" w:sz="6" w:space="0" w:color="555555"/>
                        <w:bottom w:val="single" w:sz="6" w:space="0" w:color="000000"/>
                        <w:right w:val="single" w:sz="6" w:space="0" w:color="555555"/>
                      </w:divBdr>
                      <w:divsChild>
                        <w:div w:id="1548375193">
                          <w:marLeft w:val="0"/>
                          <w:marRight w:val="0"/>
                          <w:marTop w:val="0"/>
                          <w:marBottom w:val="0"/>
                          <w:divBdr>
                            <w:top w:val="none" w:sz="0" w:space="0" w:color="auto"/>
                            <w:left w:val="none" w:sz="0" w:space="0" w:color="auto"/>
                            <w:bottom w:val="none" w:sz="0" w:space="0" w:color="auto"/>
                            <w:right w:val="none" w:sz="0" w:space="0" w:color="auto"/>
                          </w:divBdr>
                        </w:div>
                        <w:div w:id="1920402077">
                          <w:marLeft w:val="0"/>
                          <w:marRight w:val="0"/>
                          <w:marTop w:val="0"/>
                          <w:marBottom w:val="0"/>
                          <w:divBdr>
                            <w:top w:val="none" w:sz="0" w:space="0" w:color="auto"/>
                            <w:left w:val="none" w:sz="0" w:space="0" w:color="auto"/>
                            <w:bottom w:val="none" w:sz="0" w:space="0" w:color="auto"/>
                            <w:right w:val="none" w:sz="0" w:space="0" w:color="auto"/>
                          </w:divBdr>
                          <w:divsChild>
                            <w:div w:id="20280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7030">
                      <w:marLeft w:val="0"/>
                      <w:marRight w:val="0"/>
                      <w:marTop w:val="0"/>
                      <w:marBottom w:val="300"/>
                      <w:divBdr>
                        <w:top w:val="single" w:sz="6" w:space="0" w:color="555555"/>
                        <w:left w:val="single" w:sz="6" w:space="0" w:color="555555"/>
                        <w:bottom w:val="single" w:sz="6" w:space="0" w:color="000000"/>
                        <w:right w:val="single" w:sz="6" w:space="0" w:color="555555"/>
                      </w:divBdr>
                      <w:divsChild>
                        <w:div w:id="577786685">
                          <w:marLeft w:val="0"/>
                          <w:marRight w:val="0"/>
                          <w:marTop w:val="0"/>
                          <w:marBottom w:val="0"/>
                          <w:divBdr>
                            <w:top w:val="none" w:sz="0" w:space="0" w:color="auto"/>
                            <w:left w:val="none" w:sz="0" w:space="0" w:color="auto"/>
                            <w:bottom w:val="none" w:sz="0" w:space="0" w:color="auto"/>
                            <w:right w:val="none" w:sz="0" w:space="0" w:color="auto"/>
                          </w:divBdr>
                        </w:div>
                        <w:div w:id="1689793020">
                          <w:marLeft w:val="0"/>
                          <w:marRight w:val="0"/>
                          <w:marTop w:val="0"/>
                          <w:marBottom w:val="0"/>
                          <w:divBdr>
                            <w:top w:val="none" w:sz="0" w:space="0" w:color="auto"/>
                            <w:left w:val="none" w:sz="0" w:space="0" w:color="auto"/>
                            <w:bottom w:val="none" w:sz="0" w:space="0" w:color="auto"/>
                            <w:right w:val="none" w:sz="0" w:space="0" w:color="auto"/>
                          </w:divBdr>
                          <w:divsChild>
                            <w:div w:id="18899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774">
                      <w:marLeft w:val="0"/>
                      <w:marRight w:val="0"/>
                      <w:marTop w:val="0"/>
                      <w:marBottom w:val="300"/>
                      <w:divBdr>
                        <w:top w:val="single" w:sz="6" w:space="0" w:color="555555"/>
                        <w:left w:val="single" w:sz="6" w:space="0" w:color="555555"/>
                        <w:bottom w:val="single" w:sz="6" w:space="0" w:color="000000"/>
                        <w:right w:val="single" w:sz="6" w:space="0" w:color="555555"/>
                      </w:divBdr>
                      <w:divsChild>
                        <w:div w:id="1408459873">
                          <w:marLeft w:val="0"/>
                          <w:marRight w:val="0"/>
                          <w:marTop w:val="0"/>
                          <w:marBottom w:val="0"/>
                          <w:divBdr>
                            <w:top w:val="none" w:sz="0" w:space="0" w:color="auto"/>
                            <w:left w:val="none" w:sz="0" w:space="0" w:color="auto"/>
                            <w:bottom w:val="none" w:sz="0" w:space="0" w:color="auto"/>
                            <w:right w:val="none" w:sz="0" w:space="0" w:color="auto"/>
                          </w:divBdr>
                        </w:div>
                        <w:div w:id="799031752">
                          <w:marLeft w:val="0"/>
                          <w:marRight w:val="0"/>
                          <w:marTop w:val="0"/>
                          <w:marBottom w:val="0"/>
                          <w:divBdr>
                            <w:top w:val="none" w:sz="0" w:space="0" w:color="auto"/>
                            <w:left w:val="none" w:sz="0" w:space="0" w:color="auto"/>
                            <w:bottom w:val="none" w:sz="0" w:space="0" w:color="auto"/>
                            <w:right w:val="none" w:sz="0" w:space="0" w:color="auto"/>
                          </w:divBdr>
                          <w:divsChild>
                            <w:div w:id="20996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5240">
          <w:marLeft w:val="0"/>
          <w:marRight w:val="0"/>
          <w:marTop w:val="0"/>
          <w:marBottom w:val="0"/>
          <w:divBdr>
            <w:top w:val="none" w:sz="0" w:space="0" w:color="auto"/>
            <w:left w:val="none" w:sz="0" w:space="0" w:color="auto"/>
            <w:bottom w:val="none" w:sz="0" w:space="0" w:color="auto"/>
            <w:right w:val="none" w:sz="0" w:space="0" w:color="auto"/>
          </w:divBdr>
          <w:divsChild>
            <w:div w:id="17017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97294">
      <w:bodyDiv w:val="1"/>
      <w:marLeft w:val="0"/>
      <w:marRight w:val="0"/>
      <w:marTop w:val="0"/>
      <w:marBottom w:val="0"/>
      <w:divBdr>
        <w:top w:val="none" w:sz="0" w:space="0" w:color="auto"/>
        <w:left w:val="none" w:sz="0" w:space="0" w:color="auto"/>
        <w:bottom w:val="none" w:sz="0" w:space="0" w:color="auto"/>
        <w:right w:val="none" w:sz="0" w:space="0" w:color="auto"/>
      </w:divBdr>
    </w:div>
    <w:div w:id="196215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86/260062" TargetMode="External"/><Relationship Id="rId13" Type="http://schemas.openxmlformats.org/officeDocument/2006/relationships/hyperlink" Target="https://arxiv.org/abs/1602.0493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705.0787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ristophm.github.io/interpretable-ml-book/lim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80/08982112.2019.1655159" TargetMode="External"/><Relationship Id="rId4" Type="http://schemas.openxmlformats.org/officeDocument/2006/relationships/settings" Target="settings.xml"/><Relationship Id="rId9" Type="http://schemas.openxmlformats.org/officeDocument/2006/relationships/hyperlink" Target="https://ideas.repec.org/a/fma/fmanag/coats93.html" TargetMode="External"/><Relationship Id="rId14" Type="http://schemas.openxmlformats.org/officeDocument/2006/relationships/hyperlink" Target="https://link.springer.com/article/10.1007/s00521-022-07472-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73BF-3AF7-4101-896E-4D0850BD8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14</Pages>
  <Words>5034</Words>
  <Characters>27188</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 Alves</cp:lastModifiedBy>
  <cp:revision>13</cp:revision>
  <dcterms:created xsi:type="dcterms:W3CDTF">2023-03-21T13:22:00Z</dcterms:created>
  <dcterms:modified xsi:type="dcterms:W3CDTF">2023-05-25T21:42:00Z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2023-03-21T19:07:07Z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ad64dce4-9e82-47a9-8a88-1b7eb6365f15</vt:lpwstr>
  </property>
  <property fmtid="{D5CDD505-2E9C-101B-9397-08002B2CF9AE}" pid="8" name="MSIP_Label_6459b2e0-2ec4-47e6-afc1-6e3f8b684f6a_ContentBits">
    <vt:lpwstr>0</vt:lpwstr>
  </property>
</Properties>
</file>