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221D" w14:textId="38FFE398" w:rsidR="00B12D00" w:rsidRDefault="00B12D00" w:rsidP="00B12D00">
      <w:pPr>
        <w:pStyle w:val="Ttulo"/>
        <w:rPr>
          <w:sz w:val="24"/>
          <w:szCs w:val="24"/>
          <w:lang w:val="en-US"/>
        </w:rPr>
      </w:pPr>
      <w:r>
        <w:rPr>
          <w:sz w:val="24"/>
          <w:szCs w:val="24"/>
          <w:lang w:val="en-US"/>
        </w:rPr>
        <w:t xml:space="preserve">Product 4 - </w:t>
      </w:r>
      <w:r w:rsidRPr="00B12D00">
        <w:rPr>
          <w:sz w:val="24"/>
          <w:szCs w:val="24"/>
          <w:lang w:val="en-US"/>
        </w:rPr>
        <w:t>Technical document containing reviews of the first results and study with final estimates</w:t>
      </w:r>
      <w:r w:rsidRPr="00FB706E">
        <w:rPr>
          <w:sz w:val="24"/>
          <w:szCs w:val="24"/>
          <w:lang w:val="en-US"/>
        </w:rPr>
        <w:t xml:space="preserve">. </w:t>
      </w:r>
      <w:r w:rsidRPr="00FB706E">
        <w:rPr>
          <w:sz w:val="24"/>
          <w:szCs w:val="24"/>
          <w:lang w:val="en-US"/>
        </w:rPr>
        <w:cr/>
      </w:r>
    </w:p>
    <w:p w14:paraId="6EE7A686" w14:textId="77777777" w:rsidR="00B12D00" w:rsidRDefault="00B12D00" w:rsidP="00B12D00">
      <w:pPr>
        <w:rPr>
          <w:lang w:val="en-US"/>
        </w:rPr>
      </w:pPr>
    </w:p>
    <w:p w14:paraId="7418FCDF" w14:textId="16246D53" w:rsidR="0063523E" w:rsidRPr="0063523E" w:rsidRDefault="0063523E" w:rsidP="0063523E">
      <w:pPr>
        <w:pStyle w:val="Ttulo"/>
        <w:jc w:val="center"/>
      </w:pPr>
      <w:r>
        <w:rPr>
          <w:sz w:val="24"/>
          <w:szCs w:val="24"/>
        </w:rPr>
        <w:t xml:space="preserve">Indicador </w:t>
      </w:r>
      <w:r w:rsidRPr="0063523E">
        <w:rPr>
          <w:sz w:val="24"/>
          <w:szCs w:val="24"/>
        </w:rPr>
        <w:t xml:space="preserve">RAROC </w:t>
      </w:r>
      <w:r>
        <w:rPr>
          <w:sz w:val="24"/>
          <w:szCs w:val="24"/>
        </w:rPr>
        <w:t>e Avaliação de R</w:t>
      </w:r>
      <w:r w:rsidRPr="0063523E">
        <w:rPr>
          <w:sz w:val="24"/>
          <w:szCs w:val="24"/>
        </w:rPr>
        <w:t xml:space="preserve">etorno dos </w:t>
      </w:r>
      <w:r>
        <w:rPr>
          <w:sz w:val="24"/>
          <w:szCs w:val="24"/>
        </w:rPr>
        <w:t>E</w:t>
      </w:r>
      <w:r w:rsidRPr="0063523E">
        <w:rPr>
          <w:sz w:val="24"/>
          <w:szCs w:val="24"/>
        </w:rPr>
        <w:t>mpréstimos do BNDES</w:t>
      </w:r>
    </w:p>
    <w:p w14:paraId="4DE3002A" w14:textId="1C7AE37C" w:rsidR="00B12D00" w:rsidRDefault="00B12D00" w:rsidP="0063523E">
      <w:pPr>
        <w:pStyle w:val="Ttulo"/>
        <w:jc w:val="center"/>
        <w:rPr>
          <w:sz w:val="24"/>
          <w:szCs w:val="24"/>
        </w:rPr>
      </w:pPr>
    </w:p>
    <w:p w14:paraId="1FEEAE44" w14:textId="77777777" w:rsidR="0063523E" w:rsidRPr="0063523E" w:rsidRDefault="0063523E" w:rsidP="0063523E"/>
    <w:p w14:paraId="7C57E342" w14:textId="77777777" w:rsidR="00B12D00" w:rsidRPr="003B0B69" w:rsidRDefault="00B12D00" w:rsidP="00B12D00">
      <w:pPr>
        <w:jc w:val="right"/>
        <w:rPr>
          <w:rFonts w:cstheme="minorHAnsi"/>
          <w:color w:val="222222"/>
          <w:sz w:val="24"/>
          <w:szCs w:val="24"/>
          <w:shd w:val="clear" w:color="auto" w:fill="FFFFFF"/>
        </w:rPr>
      </w:pPr>
      <w:r w:rsidRPr="003B0B69">
        <w:rPr>
          <w:rFonts w:cstheme="minorHAnsi"/>
          <w:color w:val="222222"/>
          <w:sz w:val="24"/>
          <w:szCs w:val="24"/>
          <w:shd w:val="clear" w:color="auto" w:fill="FFFFFF"/>
        </w:rPr>
        <w:t>Patrick Franco Alves</w:t>
      </w:r>
    </w:p>
    <w:p w14:paraId="3ED8D26F" w14:textId="77777777" w:rsidR="007268C0" w:rsidRPr="003B0B69" w:rsidRDefault="007268C0" w:rsidP="00F64AFF">
      <w:pPr>
        <w:rPr>
          <w:rFonts w:cstheme="minorHAnsi"/>
          <w:color w:val="222222"/>
          <w:sz w:val="24"/>
          <w:szCs w:val="24"/>
          <w:shd w:val="clear" w:color="auto" w:fill="FFFFFF"/>
        </w:rPr>
      </w:pPr>
    </w:p>
    <w:p w14:paraId="213A9DDD" w14:textId="77777777" w:rsidR="00B12D00" w:rsidRPr="003B0B69" w:rsidRDefault="00B12D00" w:rsidP="00F64AFF">
      <w:pPr>
        <w:rPr>
          <w:rFonts w:cstheme="minorHAnsi"/>
          <w:color w:val="222222"/>
          <w:sz w:val="24"/>
          <w:szCs w:val="24"/>
          <w:shd w:val="clear" w:color="auto" w:fill="FFFFFF"/>
        </w:rPr>
      </w:pPr>
    </w:p>
    <w:p w14:paraId="4EFBDABA" w14:textId="08CE0E25" w:rsidR="00A76200" w:rsidRPr="0063523E" w:rsidRDefault="00A76200" w:rsidP="00A76200">
      <w:pPr>
        <w:jc w:val="both"/>
        <w:rPr>
          <w:rFonts w:cstheme="minorHAnsi"/>
          <w:b/>
          <w:bCs/>
          <w:sz w:val="24"/>
          <w:szCs w:val="24"/>
        </w:rPr>
      </w:pPr>
      <w:r w:rsidRPr="0063523E">
        <w:rPr>
          <w:rFonts w:cstheme="minorHAnsi"/>
          <w:b/>
          <w:bCs/>
          <w:sz w:val="24"/>
          <w:szCs w:val="24"/>
        </w:rPr>
        <w:t>Resumo</w:t>
      </w:r>
    </w:p>
    <w:p w14:paraId="2F02F680" w14:textId="754B9EB1" w:rsidR="00A76200" w:rsidRPr="009C3E23" w:rsidRDefault="009C3E23" w:rsidP="009C3E23">
      <w:pPr>
        <w:ind w:firstLine="360"/>
        <w:jc w:val="both"/>
        <w:rPr>
          <w:rFonts w:cstheme="minorHAnsi"/>
        </w:rPr>
      </w:pPr>
      <w:r>
        <w:rPr>
          <w:rFonts w:cstheme="minorHAnsi"/>
        </w:rPr>
        <w:t xml:space="preserve">Apresentamos </w:t>
      </w:r>
      <w:r w:rsidRPr="009C3E23">
        <w:rPr>
          <w:rFonts w:cstheme="minorHAnsi"/>
        </w:rPr>
        <w:t xml:space="preserve">uma análise do indicador RAROC (Return on Risk-Adjusted Capital) com base </w:t>
      </w:r>
      <w:r>
        <w:rPr>
          <w:rFonts w:cstheme="minorHAnsi"/>
        </w:rPr>
        <w:t xml:space="preserve">nas </w:t>
      </w:r>
      <w:r w:rsidR="0043159A" w:rsidRPr="009C3E23">
        <w:rPr>
          <w:rFonts w:cstheme="minorHAnsi"/>
        </w:rPr>
        <w:t xml:space="preserve">classificações de risco de crédito obtidas com </w:t>
      </w:r>
      <w:r w:rsidR="00A76200" w:rsidRPr="009C3E23">
        <w:rPr>
          <w:rFonts w:cstheme="minorHAnsi"/>
        </w:rPr>
        <w:t>aprendizado de máquina</w:t>
      </w:r>
      <w:r w:rsidR="0043159A" w:rsidRPr="009C3E23">
        <w:rPr>
          <w:rFonts w:cstheme="minorHAnsi"/>
        </w:rPr>
        <w:t>, e em alguns pressupostos a respeito do Spread bancário das operações de crédito para calcular o indicador RAROC.</w:t>
      </w:r>
      <w:r w:rsidR="00A76200" w:rsidRPr="009C3E23">
        <w:rPr>
          <w:rFonts w:cstheme="minorHAnsi"/>
        </w:rPr>
        <w:t xml:space="preserve"> </w:t>
      </w:r>
      <w:r>
        <w:rPr>
          <w:rFonts w:cstheme="minorHAnsi"/>
        </w:rPr>
        <w:t>A</w:t>
      </w:r>
      <w:r w:rsidRPr="009C3E23">
        <w:rPr>
          <w:rFonts w:cstheme="minorHAnsi"/>
        </w:rPr>
        <w:t>mbos o RAROC e o Spread estão relacionados à avaliação e gestão do risco de crédito</w:t>
      </w:r>
      <w:r>
        <w:rPr>
          <w:rFonts w:cstheme="minorHAnsi"/>
        </w:rPr>
        <w:t xml:space="preserve"> e a análise permite avaliar se a cobrança de juros e consequentemente da taxa de Spread, estão adequadas à exposição de risco incorrida pelo banco em cada uma das operações</w:t>
      </w:r>
      <w:r w:rsidR="00A76200" w:rsidRPr="009C3E23">
        <w:rPr>
          <w:rFonts w:cstheme="minorHAnsi"/>
        </w:rPr>
        <w:t>.</w:t>
      </w:r>
      <w:r>
        <w:rPr>
          <w:rFonts w:cstheme="minorHAnsi"/>
        </w:rPr>
        <w:t xml:space="preserve"> Conforme o esperado, operações com baixo risco apresentam melhores indicadores RAROC, enquanto algumas das de maior risco não são vantajosas, tendo causado até mesmo prejuízo. Por fim, apresentamos uma proposta de obtenção do indicador RAROC utilizando aprendizado de máquina, e evitando assim a utilização de pressupostos alguns a respeito do custo de captação e custos operacionais na obtenção do Spread. </w:t>
      </w:r>
    </w:p>
    <w:p w14:paraId="7D0A4107" w14:textId="77777777" w:rsidR="00A76200" w:rsidRPr="00B12D00" w:rsidRDefault="00A76200" w:rsidP="00A76200">
      <w:pPr>
        <w:rPr>
          <w:rFonts w:cstheme="minorHAnsi"/>
        </w:rPr>
      </w:pPr>
    </w:p>
    <w:p w14:paraId="0D6DAF5E" w14:textId="77777777" w:rsidR="00A76200" w:rsidRPr="00B12D00" w:rsidRDefault="00A76200" w:rsidP="00A76200">
      <w:pPr>
        <w:rPr>
          <w:rFonts w:cstheme="minorHAnsi"/>
        </w:rPr>
      </w:pPr>
    </w:p>
    <w:p w14:paraId="43ED6C82" w14:textId="77777777" w:rsidR="00A76200" w:rsidRPr="00B12D00" w:rsidRDefault="00A76200" w:rsidP="00A76200">
      <w:pPr>
        <w:pStyle w:val="PargrafodaLista"/>
        <w:numPr>
          <w:ilvl w:val="0"/>
          <w:numId w:val="2"/>
        </w:numPr>
        <w:jc w:val="both"/>
        <w:rPr>
          <w:rFonts w:cstheme="minorHAnsi"/>
          <w:b/>
          <w:bCs/>
          <w:lang w:val="en-US"/>
        </w:rPr>
      </w:pPr>
      <w:r w:rsidRPr="00B12D00">
        <w:rPr>
          <w:rFonts w:cstheme="minorHAnsi"/>
          <w:b/>
          <w:bCs/>
          <w:sz w:val="24"/>
          <w:szCs w:val="24"/>
        </w:rPr>
        <w:t>Introdução</w:t>
      </w:r>
      <w:r w:rsidRPr="00B12D00">
        <w:rPr>
          <w:rFonts w:cstheme="minorHAnsi"/>
          <w:b/>
          <w:bCs/>
          <w:lang w:val="en-US"/>
        </w:rPr>
        <w:t xml:space="preserve"> </w:t>
      </w:r>
    </w:p>
    <w:p w14:paraId="5FDC553A" w14:textId="683F39FF" w:rsidR="00937126" w:rsidRPr="00104754" w:rsidRDefault="00937126" w:rsidP="00500C2C">
      <w:pPr>
        <w:ind w:firstLine="360"/>
        <w:jc w:val="both"/>
        <w:rPr>
          <w:rFonts w:cstheme="minorHAnsi"/>
        </w:rPr>
      </w:pPr>
      <w:r w:rsidRPr="00104754">
        <w:rPr>
          <w:rFonts w:cstheme="minorHAnsi"/>
        </w:rPr>
        <w:t>Existe um debate em torno do spread bancário cobrado nos financiamentos do Banco Nacional de Desenvolvimento Econômico e Social (BNDES), onde investiga-se a diferença entre a taxa de juros que o BNDES cobra dos tomadores de empréstimos e a taxa de captação de recursos pelo banco. O Spread bancário é dado pela diferença entre a taxa de juros que os bancos pagam para captar recursos e a taxa de juros que eles cobram dos tomadores de empréstimos. Esse spread é uma forma de remuneração pelos riscos, custos operacionais e lucros que os bancos incorrem ao realizar empréstimos.</w:t>
      </w:r>
    </w:p>
    <w:p w14:paraId="2632193F" w14:textId="4EB84563" w:rsidR="00937126" w:rsidRPr="00104754" w:rsidRDefault="00937126" w:rsidP="00500C2C">
      <w:pPr>
        <w:ind w:firstLine="360"/>
        <w:jc w:val="both"/>
        <w:rPr>
          <w:rFonts w:cstheme="minorHAnsi"/>
        </w:rPr>
      </w:pPr>
      <w:r w:rsidRPr="00104754">
        <w:rPr>
          <w:rFonts w:cstheme="minorHAnsi"/>
        </w:rPr>
        <w:t>No caso do BNDES, alguns trabalhos alegaram que as operações de financiamento realizadas pelo banco não seriam rentáveis o suficiente, ou seja, o Spread aplicado pelo BNDES não seria adequado para compensar adequadamente os riscos e custos operacionais envolvidos. Este Spread excessivamente baixo configura uma forma indireta de subsídio através das taxas de juros cobradas. Consequentemente, o BNDES estaria incorrendo em prejuízos e deixando de gerar lucros suficientes para cobrir seus custos operacionais.</w:t>
      </w:r>
    </w:p>
    <w:p w14:paraId="3E3B1F59" w14:textId="22479AE7" w:rsidR="00500C2C" w:rsidRPr="00104754" w:rsidRDefault="00937126" w:rsidP="00500C2C">
      <w:pPr>
        <w:ind w:firstLine="360"/>
        <w:jc w:val="both"/>
        <w:rPr>
          <w:rFonts w:cstheme="minorHAnsi"/>
        </w:rPr>
      </w:pPr>
      <w:r w:rsidRPr="00104754">
        <w:rPr>
          <w:rFonts w:cstheme="minorHAnsi"/>
        </w:rPr>
        <w:lastRenderedPageBreak/>
        <w:t xml:space="preserve">Por outro lado, argumenta-se que a obtenção de lucro não deve ser a finalidade principal do BNDES, cujas operações devem voltar-se para os objetivos de desenvolvimento econômico e social. Por sua vez, o BNDES alega que as taxas de juros aplicadas </w:t>
      </w:r>
      <w:r w:rsidR="00F21F63" w:rsidRPr="00104754">
        <w:rPr>
          <w:rFonts w:cstheme="minorHAnsi"/>
        </w:rPr>
        <w:t xml:space="preserve">em seus financiamentos levam em consideração prazos mais alongados, e estão condizentes com os </w:t>
      </w:r>
      <w:r w:rsidRPr="00104754">
        <w:rPr>
          <w:rFonts w:cstheme="minorHAnsi"/>
        </w:rPr>
        <w:t>riscos associados aos projetos de investimento e a necessidade de incentivar determinados setores e atividades estratégicas para o desenvolvimento nacional.</w:t>
      </w:r>
      <w:r w:rsidR="00500C2C" w:rsidRPr="00104754">
        <w:rPr>
          <w:rFonts w:cstheme="minorHAnsi"/>
        </w:rPr>
        <w:t xml:space="preserve"> Mesmo que o lucro não esteja entre a missão principal do BNDES, ainda é necessário assegurar Spread suficiente para cobrir minimamente os custos operacionais e riscos envolvidos, e assim garantir sua sustentabilidade financeira do Banco. </w:t>
      </w:r>
    </w:p>
    <w:p w14:paraId="7DD9FFD7" w14:textId="7EC13030" w:rsidR="00937126" w:rsidRPr="00104754" w:rsidRDefault="00500C2C" w:rsidP="00500C2C">
      <w:pPr>
        <w:ind w:firstLine="360"/>
        <w:jc w:val="both"/>
        <w:rPr>
          <w:rFonts w:cstheme="minorHAnsi"/>
        </w:rPr>
      </w:pPr>
      <w:r w:rsidRPr="00104754">
        <w:rPr>
          <w:rFonts w:cstheme="minorHAnsi"/>
        </w:rPr>
        <w:t xml:space="preserve">A mensuração da rentabilidade das operações do BNDES envolve considerações econômicas, políticas e regulatórias mais amplas. Qualquer as avaliações </w:t>
      </w:r>
      <w:r w:rsidR="00937126" w:rsidRPr="00104754">
        <w:rPr>
          <w:rFonts w:cstheme="minorHAnsi"/>
        </w:rPr>
        <w:t xml:space="preserve">da rentabilidade das operações do BNDES </w:t>
      </w:r>
      <w:r w:rsidRPr="00104754">
        <w:rPr>
          <w:rFonts w:cstheme="minorHAnsi"/>
        </w:rPr>
        <w:t>envolvem diversas</w:t>
      </w:r>
      <w:r w:rsidRPr="00104754">
        <w:t xml:space="preserve"> </w:t>
      </w:r>
      <w:r w:rsidR="00937126" w:rsidRPr="00104754">
        <w:rPr>
          <w:rFonts w:cstheme="minorHAnsi"/>
        </w:rPr>
        <w:t xml:space="preserve">métricas, </w:t>
      </w:r>
      <w:r w:rsidRPr="00104754">
        <w:rPr>
          <w:rFonts w:cstheme="minorHAnsi"/>
        </w:rPr>
        <w:t xml:space="preserve">e estas por sua vez são obtidas através de diferentes metodologias, as quais apoiam-se sobre diferentes pressupostos. Por exemplo, algumas vezes são necessários fazer suposições a respeito de </w:t>
      </w:r>
      <w:r w:rsidR="00937126" w:rsidRPr="00104754">
        <w:rPr>
          <w:rFonts w:cstheme="minorHAnsi"/>
        </w:rPr>
        <w:t xml:space="preserve">custos administrativos e operacionais, </w:t>
      </w:r>
      <w:r w:rsidRPr="00104754">
        <w:rPr>
          <w:rFonts w:cstheme="minorHAnsi"/>
        </w:rPr>
        <w:t xml:space="preserve">percentual de garantias oferecidas, </w:t>
      </w:r>
      <w:r w:rsidR="00937126" w:rsidRPr="00104754">
        <w:rPr>
          <w:rFonts w:cstheme="minorHAnsi"/>
        </w:rPr>
        <w:t xml:space="preserve">taxas de inadimplência, entre outros. </w:t>
      </w:r>
      <w:r w:rsidRPr="00104754">
        <w:rPr>
          <w:rFonts w:cstheme="minorHAnsi"/>
        </w:rPr>
        <w:t xml:space="preserve">Desta forma, os debates </w:t>
      </w:r>
      <w:r w:rsidR="00937126" w:rsidRPr="00104754">
        <w:rPr>
          <w:rFonts w:cstheme="minorHAnsi"/>
        </w:rPr>
        <w:t xml:space="preserve">em torno </w:t>
      </w:r>
      <w:r w:rsidRPr="00104754">
        <w:rPr>
          <w:rFonts w:cstheme="minorHAnsi"/>
        </w:rPr>
        <w:t>das taxas adequadas de S</w:t>
      </w:r>
      <w:r w:rsidR="00937126" w:rsidRPr="00104754">
        <w:rPr>
          <w:rFonts w:cstheme="minorHAnsi"/>
        </w:rPr>
        <w:t xml:space="preserve">pread BNDES </w:t>
      </w:r>
      <w:r w:rsidRPr="00104754">
        <w:rPr>
          <w:rFonts w:cstheme="minorHAnsi"/>
        </w:rPr>
        <w:t xml:space="preserve">permanecem sendo </w:t>
      </w:r>
      <w:r w:rsidR="00937126" w:rsidRPr="00104754">
        <w:rPr>
          <w:rFonts w:cstheme="minorHAnsi"/>
        </w:rPr>
        <w:t xml:space="preserve">objeto de </w:t>
      </w:r>
      <w:r w:rsidRPr="00104754">
        <w:rPr>
          <w:rFonts w:cstheme="minorHAnsi"/>
        </w:rPr>
        <w:t>investigações e debates</w:t>
      </w:r>
      <w:r w:rsidR="00937126" w:rsidRPr="00104754">
        <w:rPr>
          <w:rFonts w:cstheme="minorHAnsi"/>
        </w:rPr>
        <w:t>.</w:t>
      </w:r>
    </w:p>
    <w:p w14:paraId="2F38D1A5" w14:textId="7FFE3337" w:rsidR="00937126" w:rsidRPr="00104754" w:rsidRDefault="00500C2C" w:rsidP="00500C2C">
      <w:pPr>
        <w:ind w:firstLine="360"/>
        <w:jc w:val="both"/>
        <w:rPr>
          <w:rFonts w:cstheme="minorHAnsi"/>
        </w:rPr>
      </w:pPr>
      <w:r w:rsidRPr="00104754">
        <w:rPr>
          <w:rFonts w:cstheme="minorHAnsi"/>
        </w:rPr>
        <w:t>Nesse sentido o presente trabalho pretende introduzir o indicador RAROC para mensurar o desempenho das operações de crédito do BNDES, debatendo cada uma das etapas necessárias para sua mensuração. Essas etapas envolvem a determinação de uma classificação de risco, determinação do spread bancário e valor em risco (VaR) das operações de financiamento do BNDES.</w:t>
      </w:r>
    </w:p>
    <w:p w14:paraId="0FEE2593" w14:textId="0902D9DF" w:rsidR="00A76200" w:rsidRPr="00104754" w:rsidRDefault="00A76200" w:rsidP="003B0B69">
      <w:pPr>
        <w:ind w:firstLine="360"/>
        <w:jc w:val="both"/>
        <w:rPr>
          <w:rFonts w:cstheme="minorHAnsi"/>
        </w:rPr>
      </w:pPr>
      <w:r w:rsidRPr="00104754">
        <w:rPr>
          <w:rFonts w:cstheme="minorHAnsi"/>
          <w:color w:val="222222"/>
          <w:shd w:val="clear" w:color="auto" w:fill="FFFFFF"/>
        </w:rPr>
        <w:t>O RAROC (</w:t>
      </w:r>
      <w:r w:rsidRPr="00104754">
        <w:rPr>
          <w:rFonts w:cstheme="minorHAnsi"/>
          <w:i/>
          <w:iCs/>
          <w:color w:val="222222"/>
          <w:shd w:val="clear" w:color="auto" w:fill="FFFFFF"/>
        </w:rPr>
        <w:t>Risk Adjusted Return on Capital</w:t>
      </w:r>
      <w:r w:rsidRPr="00104754">
        <w:rPr>
          <w:rFonts w:cstheme="minorHAnsi"/>
          <w:color w:val="222222"/>
          <w:shd w:val="clear" w:color="auto" w:fill="FFFFFF"/>
        </w:rPr>
        <w:t xml:space="preserve">) é uma </w:t>
      </w:r>
      <w:r w:rsidRPr="00104754">
        <w:rPr>
          <w:rFonts w:cstheme="minorHAnsi"/>
        </w:rPr>
        <w:t xml:space="preserve">métrica utilizada por instituições financeiras para avaliação do desempenho de operações, levando em consideração o retorno de risco. </w:t>
      </w:r>
      <w:bookmarkStart w:id="0" w:name="_Hlk12959169"/>
      <w:r w:rsidRPr="00104754">
        <w:rPr>
          <w:rFonts w:cstheme="minorHAnsi"/>
        </w:rPr>
        <w:t xml:space="preserve">Este indicador pertence ao grupo de indicadores denominado </w:t>
      </w:r>
      <w:r w:rsidRPr="00104754">
        <w:rPr>
          <w:rFonts w:cstheme="minorHAnsi"/>
          <w:i/>
          <w:iCs/>
        </w:rPr>
        <w:t>Risk Adjusted Performance Measures</w:t>
      </w:r>
      <w:r w:rsidRPr="00104754">
        <w:rPr>
          <w:rFonts w:cstheme="minorHAnsi"/>
        </w:rPr>
        <w:t xml:space="preserve"> (RAPM). Uma vez que investimentos com maiores níveis de risco devem ser avaliados de forma diferenciada, o RAROC contabiliza as mudanças no perfil de um investimento, descontando os fluxos de caixa arriscados contra os fluxos de caixa menos arriscados (Enomoto, 2002). Baseado em uma lógica de risco/rentabilidade, o RAROC, procura maximizar o retorno frente a um dado nível de risco. De forma geral, o RAROC é obtido pela relação entre as receitas esperadas de uma operação e sua contribuição para o risco da instituição.</w:t>
      </w:r>
      <w:bookmarkEnd w:id="0"/>
      <w:r w:rsidR="00AD538F" w:rsidRPr="00104754">
        <w:rPr>
          <w:rFonts w:cstheme="minorHAnsi"/>
        </w:rPr>
        <w:tab/>
      </w:r>
    </w:p>
    <w:p w14:paraId="7051E0DB" w14:textId="218C5CF4" w:rsidR="00954C9A" w:rsidRPr="00104754" w:rsidRDefault="00AD538F" w:rsidP="00954C9A">
      <w:pPr>
        <w:jc w:val="both"/>
        <w:rPr>
          <w:rFonts w:cstheme="minorHAnsi"/>
        </w:rPr>
      </w:pPr>
      <w:r w:rsidRPr="00104754">
        <w:rPr>
          <w:rFonts w:cstheme="minorHAnsi"/>
        </w:rPr>
        <w:t xml:space="preserve">Enquanto o RAROC é comumente utilizado para avaliar a rentabilidade de uma operação de empréstimo dado um risco de inadimplência, o </w:t>
      </w:r>
      <w:r w:rsidRPr="00104754">
        <w:rPr>
          <w:rFonts w:cstheme="minorHAnsi"/>
          <w:i/>
          <w:iCs/>
        </w:rPr>
        <w:t xml:space="preserve">Spread, </w:t>
      </w:r>
      <w:r w:rsidRPr="00104754">
        <w:rPr>
          <w:rFonts w:cstheme="minorHAnsi"/>
        </w:rPr>
        <w:t>por</w:t>
      </w:r>
      <w:r w:rsidRPr="00104754">
        <w:rPr>
          <w:rFonts w:cstheme="minorHAnsi"/>
          <w:i/>
          <w:iCs/>
        </w:rPr>
        <w:t xml:space="preserve"> </w:t>
      </w:r>
      <w:r w:rsidRPr="00104754">
        <w:rPr>
          <w:rFonts w:cstheme="minorHAnsi"/>
        </w:rPr>
        <w:t>outro lado, se refere à diferença entre a taxa de juros cobrada pelo credor e a taxa de juros de referência, como a taxa básica de juros definida pelo Banco Central. O spread é uma forma de remuneração pelo risco assumido pelo credor ao conceder o empréstimo.</w:t>
      </w:r>
      <w:r w:rsidR="00954C9A" w:rsidRPr="00104754">
        <w:rPr>
          <w:rFonts w:cstheme="minorHAnsi"/>
        </w:rPr>
        <w:t xml:space="preserve"> Portanto, o Spread em financiamentos é um elemento fundamental na determinação do RAROC, influenciando diretamente a rentabilidade esperada da operação, considerando o risco de inadimplência associado.</w:t>
      </w:r>
    </w:p>
    <w:p w14:paraId="0E58A032" w14:textId="5E57F3C8" w:rsidR="00AD538F" w:rsidRPr="00104754" w:rsidRDefault="00AD538F" w:rsidP="00AD538F">
      <w:pPr>
        <w:ind w:firstLine="360"/>
        <w:jc w:val="both"/>
        <w:rPr>
          <w:rFonts w:cstheme="minorHAnsi"/>
        </w:rPr>
      </w:pPr>
      <w:r w:rsidRPr="00104754">
        <w:rPr>
          <w:rFonts w:cstheme="minorHAnsi"/>
        </w:rPr>
        <w:t xml:space="preserve">Portanto, ambos o RAROC e o Spread estão relacionados à avaliação e gestão do risco de crédito. Ao calcular o RAROC de crédito, é levado em consideração o spread cobrado no financiamento, pois ele é uma das fontes de receita para compensar o risco de crédito assumido. Se o Spread cobrado for insuficiente para cobrir o risco estimado, então o RAROC será baixo, indicando uma operação pouco atrativa. Por outro lado, se o Spread cobrado for adequado, a </w:t>
      </w:r>
      <w:r w:rsidRPr="00104754">
        <w:rPr>
          <w:rFonts w:cstheme="minorHAnsi"/>
        </w:rPr>
        <w:lastRenderedPageBreak/>
        <w:t>ponto de compensar o risco de inadimplência, então o RAROC será mais alto, indicando uma operação rentável.</w:t>
      </w:r>
    </w:p>
    <w:p w14:paraId="79065D8D" w14:textId="77777777" w:rsidR="00AD538F" w:rsidRPr="007D1E3C" w:rsidRDefault="00AD538F" w:rsidP="00AD538F">
      <w:pPr>
        <w:rPr>
          <w:rFonts w:cstheme="minorHAnsi"/>
          <w:sz w:val="24"/>
          <w:szCs w:val="24"/>
        </w:rPr>
      </w:pPr>
    </w:p>
    <w:p w14:paraId="00E4E651" w14:textId="77777777" w:rsidR="00A76200" w:rsidRPr="00B12D00" w:rsidRDefault="00A76200" w:rsidP="00A76200">
      <w:pPr>
        <w:rPr>
          <w:rFonts w:cstheme="minorHAnsi"/>
          <w:sz w:val="24"/>
          <w:szCs w:val="24"/>
        </w:rPr>
      </w:pPr>
    </w:p>
    <w:p w14:paraId="686467D3" w14:textId="600B3B72" w:rsidR="00A76200" w:rsidRPr="0063523E" w:rsidRDefault="00A76200" w:rsidP="00A76200">
      <w:pPr>
        <w:rPr>
          <w:rFonts w:cstheme="minorHAnsi"/>
          <w:b/>
          <w:bCs/>
          <w:sz w:val="24"/>
          <w:szCs w:val="24"/>
        </w:rPr>
      </w:pPr>
      <w:r w:rsidRPr="0063523E">
        <w:rPr>
          <w:rFonts w:cstheme="minorHAnsi"/>
          <w:b/>
          <w:bCs/>
          <w:sz w:val="24"/>
          <w:szCs w:val="24"/>
        </w:rPr>
        <w:t>1.1 Formação do resultado de um banco</w:t>
      </w:r>
    </w:p>
    <w:p w14:paraId="6EEFECEB" w14:textId="77777777" w:rsidR="00A76200" w:rsidRPr="00104754" w:rsidRDefault="00A76200" w:rsidP="00A76200">
      <w:pPr>
        <w:ind w:firstLine="708"/>
        <w:jc w:val="both"/>
        <w:rPr>
          <w:rFonts w:cstheme="minorHAnsi"/>
        </w:rPr>
      </w:pPr>
      <w:r w:rsidRPr="00104754">
        <w:rPr>
          <w:rFonts w:cstheme="minorHAnsi"/>
        </w:rPr>
        <w:t xml:space="preserve">A origem dos bancos comerciais remonta os negociantes italianos medievais na idade média, de onde a palavra “banco” derivou seu nome, sendo o lugar nos os mercadores se sentavam para suas negociações (Enomoto, 2002). Na atualidade os bancos comerciais possuem como atividades funções clássicas: </w:t>
      </w:r>
    </w:p>
    <w:p w14:paraId="0560DBAD" w14:textId="77777777" w:rsidR="00A76200" w:rsidRPr="00104754" w:rsidRDefault="00A76200" w:rsidP="00A76200">
      <w:pPr>
        <w:jc w:val="both"/>
        <w:rPr>
          <w:rFonts w:cstheme="minorHAnsi"/>
        </w:rPr>
      </w:pPr>
      <w:r w:rsidRPr="00104754">
        <w:rPr>
          <w:rFonts w:cstheme="minorHAnsi"/>
          <w:b/>
          <w:bCs/>
        </w:rPr>
        <w:t>Função de Depósito:</w:t>
      </w:r>
      <w:r w:rsidRPr="00104754">
        <w:rPr>
          <w:rFonts w:cstheme="minorHAnsi"/>
        </w:rPr>
        <w:t xml:space="preserve"> Trata-se da captação de recursos junto à sociedade. Esta é a função bancária que é responsável pela geração de um dos principais passivos dos bancos, ou seja, a expectativa dos seus clientes de que esses depósitos estarão adequadamente disponíveis nas datas previamente acordadas e livres de quaisquer embargos e riscos não-previamente acordados. </w:t>
      </w:r>
    </w:p>
    <w:p w14:paraId="6FD82954" w14:textId="77777777" w:rsidR="00A76200" w:rsidRPr="00104754" w:rsidRDefault="00A76200" w:rsidP="00A76200">
      <w:pPr>
        <w:jc w:val="both"/>
        <w:rPr>
          <w:rFonts w:cstheme="minorHAnsi"/>
        </w:rPr>
      </w:pPr>
      <w:r w:rsidRPr="00104754">
        <w:rPr>
          <w:rFonts w:cstheme="minorHAnsi"/>
          <w:b/>
          <w:bCs/>
        </w:rPr>
        <w:t>Função de pagamento</w:t>
      </w:r>
      <w:r w:rsidRPr="00104754">
        <w:rPr>
          <w:rFonts w:cstheme="minorHAnsi"/>
        </w:rPr>
        <w:t>: Está é a materialização das ordens de pagamento propriamente dita. A função pagamento pressupõe a disponibilidade de saldo em conta do cliente ou de limites especiais para saques.</w:t>
      </w:r>
    </w:p>
    <w:p w14:paraId="396DE4F0" w14:textId="29F47722" w:rsidR="00A76200" w:rsidRPr="00104754" w:rsidRDefault="00A76200" w:rsidP="0063523E">
      <w:pPr>
        <w:jc w:val="both"/>
        <w:rPr>
          <w:rFonts w:cstheme="minorHAnsi"/>
        </w:rPr>
      </w:pPr>
      <w:r w:rsidRPr="00104754">
        <w:rPr>
          <w:rFonts w:cstheme="minorHAnsi"/>
          <w:b/>
          <w:bCs/>
        </w:rPr>
        <w:t>Função de Crédito</w:t>
      </w:r>
      <w:r w:rsidRPr="00104754">
        <w:rPr>
          <w:rFonts w:cstheme="minorHAnsi"/>
        </w:rPr>
        <w:t xml:space="preserve">: Trata-se da atividade de avaliação da capacidade de pagamento dos tomadores visando assegurar o retorno dos capitais emprestados. Ao conceder um empréstimo, o credor tem a expectativa de que os recursos serão devolvidos nas datas previamente acertadas. O banco não deve conceder o crédito quando houver considerável dúvida que haverá o retorno dos capitais emprestados nas datas acertadas. Desta forma, os bancos buscam a maximizar os ganhos com empréstimos e gerenciar os riscos. </w:t>
      </w:r>
    </w:p>
    <w:p w14:paraId="47F4AFBE" w14:textId="77777777" w:rsidR="00A76200" w:rsidRPr="00104754" w:rsidRDefault="00A76200" w:rsidP="00A76200">
      <w:pPr>
        <w:jc w:val="both"/>
        <w:rPr>
          <w:rFonts w:cstheme="minorHAnsi"/>
        </w:rPr>
      </w:pPr>
      <w:r w:rsidRPr="00104754">
        <w:rPr>
          <w:rFonts w:cstheme="minorHAnsi"/>
          <w:b/>
          <w:bCs/>
        </w:rPr>
        <w:t>Função criadora de moeda</w:t>
      </w:r>
      <w:r w:rsidRPr="00104754">
        <w:rPr>
          <w:rFonts w:cstheme="minorHAnsi"/>
        </w:rPr>
        <w:t xml:space="preserve">: Regulações e normas do Banco Central estabelecem que que nem todo recurso depositado pode ser emprestado. Dos recursos permitidos para empréstimos são concedidos vários empréstimos. Também em decorrência recursos não resgatados pelos tomadores, os bancos comerciais criam moeda sempre que transformam os depósitos em empréstimos, crédito. Assim o exercício das funções de depósito e crédito permite aos bancos a criação de moeda, por exemplo através do mecanismo multiplicador bancário. </w:t>
      </w:r>
    </w:p>
    <w:p w14:paraId="4BF8B745" w14:textId="77777777" w:rsidR="0063523E" w:rsidRDefault="0063523E" w:rsidP="00A76200">
      <w:pPr>
        <w:rPr>
          <w:rFonts w:cstheme="minorHAnsi"/>
          <w:sz w:val="24"/>
          <w:szCs w:val="24"/>
        </w:rPr>
      </w:pPr>
    </w:p>
    <w:p w14:paraId="33F33FE0" w14:textId="77777777" w:rsidR="0063523E" w:rsidRPr="00B12D00" w:rsidRDefault="0063523E" w:rsidP="00A76200">
      <w:pPr>
        <w:rPr>
          <w:rFonts w:cstheme="minorHAnsi"/>
          <w:sz w:val="24"/>
          <w:szCs w:val="24"/>
        </w:rPr>
      </w:pPr>
    </w:p>
    <w:p w14:paraId="4F4E70BC" w14:textId="77777777" w:rsidR="00A76200" w:rsidRPr="00B12D00" w:rsidRDefault="00A76200" w:rsidP="00A76200">
      <w:pPr>
        <w:rPr>
          <w:rFonts w:cstheme="minorHAnsi"/>
          <w:b/>
          <w:bCs/>
          <w:sz w:val="24"/>
          <w:szCs w:val="24"/>
        </w:rPr>
      </w:pPr>
      <w:r w:rsidRPr="00B12D00">
        <w:rPr>
          <w:rFonts w:cstheme="minorHAnsi"/>
          <w:b/>
          <w:bCs/>
          <w:sz w:val="24"/>
          <w:szCs w:val="24"/>
        </w:rPr>
        <w:t>1.2. Classificação dos bancos comerciais:</w:t>
      </w:r>
    </w:p>
    <w:p w14:paraId="4DAD282E" w14:textId="77777777" w:rsidR="00A76200" w:rsidRPr="00104754" w:rsidRDefault="00A76200" w:rsidP="00A76200">
      <w:pPr>
        <w:jc w:val="both"/>
        <w:rPr>
          <w:rFonts w:cstheme="minorHAnsi"/>
        </w:rPr>
      </w:pPr>
      <w:r w:rsidRPr="00104754">
        <w:rPr>
          <w:rFonts w:cstheme="minorHAnsi"/>
          <w:b/>
          <w:bCs/>
        </w:rPr>
        <w:t>Corporate Bank</w:t>
      </w:r>
      <w:r w:rsidRPr="00104754">
        <w:rPr>
          <w:rFonts w:cstheme="minorHAnsi"/>
        </w:rPr>
        <w:t>: São banco comercial que fornecem serviços e produtos voltados para grandes clientes, com necessidades específicas, tais como grandes empresas, outras instituições financeiras, empresas, e até mesmo governos. Geralmente, são operações complexas e únicas, voltadas para clientes corporativos específicos, cujas características não podem ser generalizadas para os clientes em geral. Dentre os produtos oferecidos no segmento Corporate Bank, podemos citar: Assessoria para fusões e aquisições; Reestruturações financeiras, Administração de fundos, Debêntures e Ofertas públicas iniciais de ações.</w:t>
      </w:r>
    </w:p>
    <w:p w14:paraId="06EB401C" w14:textId="77777777" w:rsidR="00A76200" w:rsidRPr="00104754" w:rsidRDefault="00A76200" w:rsidP="00A76200">
      <w:pPr>
        <w:jc w:val="both"/>
        <w:rPr>
          <w:rFonts w:cstheme="minorHAnsi"/>
        </w:rPr>
      </w:pPr>
      <w:r w:rsidRPr="00104754">
        <w:rPr>
          <w:rFonts w:cstheme="minorHAnsi"/>
          <w:b/>
          <w:bCs/>
        </w:rPr>
        <w:lastRenderedPageBreak/>
        <w:t>Private Bank</w:t>
      </w:r>
      <w:r w:rsidRPr="00104754">
        <w:rPr>
          <w:rFonts w:cstheme="minorHAnsi"/>
        </w:rPr>
        <w:t>: Segmento bancário voltado para clientes pessoas físicas com alto poder aquisitivo e com elevado patrimônio. Entre os serviços oferecidos nesse segmento, podemos citar: Consultoria sobre investimentos, Consultoria em patrimônio e herança, Créditos para investimentos, Fundos de investimento, Operações estruturadas, Planejamento de aposentadoria e Seguro de vida.</w:t>
      </w:r>
    </w:p>
    <w:p w14:paraId="503077FC" w14:textId="14190832" w:rsidR="00A76200" w:rsidRPr="00104754" w:rsidRDefault="00A76200" w:rsidP="00A52699">
      <w:pPr>
        <w:jc w:val="both"/>
        <w:rPr>
          <w:rFonts w:cstheme="minorHAnsi"/>
        </w:rPr>
      </w:pPr>
      <w:r w:rsidRPr="00104754">
        <w:rPr>
          <w:rFonts w:cstheme="minorHAnsi"/>
          <w:b/>
          <w:bCs/>
        </w:rPr>
        <w:t>Varejo</w:t>
      </w:r>
      <w:r w:rsidRPr="00104754">
        <w:rPr>
          <w:rFonts w:cstheme="minorHAnsi"/>
        </w:rPr>
        <w:t xml:space="preserve">: Segmento que atende ao público em geral, incluindo nesse uma infinidade de prestação de serviços que são praticadas, como por exemplo, a venda de seguros de vida, imóvel e previdenciários, o pagamento e recebimento de contas, ordens de pagamento internas e no exterior, entre outros. </w:t>
      </w:r>
    </w:p>
    <w:p w14:paraId="6E77D2EA" w14:textId="77777777" w:rsidR="00A76200" w:rsidRPr="00104754" w:rsidRDefault="00A76200" w:rsidP="00A76200">
      <w:pPr>
        <w:ind w:firstLine="708"/>
        <w:jc w:val="both"/>
        <w:rPr>
          <w:rFonts w:cstheme="minorHAnsi"/>
        </w:rPr>
      </w:pPr>
      <w:r w:rsidRPr="00104754">
        <w:rPr>
          <w:rFonts w:cstheme="minorHAnsi"/>
        </w:rPr>
        <w:t xml:space="preserve">Os bancos incorrem em diversas formas de risco em sua atividade. Segundo a classificação de </w:t>
      </w:r>
      <w:r w:rsidRPr="00104754">
        <w:rPr>
          <w:rFonts w:cstheme="minorHAnsi"/>
          <w:i/>
          <w:iCs/>
        </w:rPr>
        <w:t>Saunders</w:t>
      </w:r>
      <w:r w:rsidRPr="00104754">
        <w:rPr>
          <w:rFonts w:cstheme="minorHAnsi"/>
        </w:rPr>
        <w:t xml:space="preserve"> (2000:99) a exposição aos riscos pode ser classificada como: Risco de Taxa de Juros, Risco de Mercado, Risco de Crédito, Risco Contábil (operações fora do balanço), Risco Tecnológico, Risco Operacional, Risco de Câmbio, Risco Soberano, Risco de Liquidez e Risco de Insolvência.</w:t>
      </w:r>
    </w:p>
    <w:p w14:paraId="05E34915" w14:textId="77777777" w:rsidR="00A76200" w:rsidRPr="00104754" w:rsidRDefault="00A76200" w:rsidP="00A76200">
      <w:pPr>
        <w:ind w:firstLine="708"/>
        <w:jc w:val="both"/>
        <w:rPr>
          <w:rFonts w:cstheme="minorHAnsi"/>
        </w:rPr>
      </w:pPr>
      <w:r w:rsidRPr="00104754">
        <w:rPr>
          <w:rFonts w:cstheme="minorHAnsi"/>
        </w:rPr>
        <w:t xml:space="preserve">Para desempenhar suas funções os bancos cobram juros e comissões nos empréstimos, essa receita contribui para a formação do lucro da instituição. Para adequada administração e monitoração dos riscos das atividades bancárias, diversas medidas financeiras foram propostas. Estes indicadores seguem regulações e acordos, tal como a proposta no Novo Acordo de Capital da Basiléia, o qual busca uma maior especialização na alocação de capital em função dos riscos presentes nas atividades dos bancos. </w:t>
      </w:r>
    </w:p>
    <w:p w14:paraId="7B7757A8" w14:textId="77777777" w:rsidR="00A76200" w:rsidRPr="00104754" w:rsidRDefault="00A76200" w:rsidP="00A76200">
      <w:pPr>
        <w:ind w:firstLine="708"/>
        <w:jc w:val="both"/>
        <w:rPr>
          <w:rFonts w:cstheme="minorHAnsi"/>
        </w:rPr>
      </w:pPr>
      <w:r w:rsidRPr="00104754">
        <w:rPr>
          <w:rFonts w:cstheme="minorHAnsi"/>
        </w:rPr>
        <w:t xml:space="preserve">Segundo Saunders (2000), os principais bancos americanos desenvolveram modelos de monitoramento e decisão apoiado no indicador RAROC. A metodologia foi desenvolvida inicialmente pelo Bankers Trust na década de 70, e posteriormente adotada por diversas outras instituições financeiras, cada uma adotando algumas alterações no modelo original. Na década de 70 Bankers Trust retirou-se do mercado de varejo para se concentrar integralmente no atacado e em trading e utilizou a abordagem RAROC também no mercado de derivativos. </w:t>
      </w:r>
    </w:p>
    <w:p w14:paraId="2C6ACE9B" w14:textId="196C0D65" w:rsidR="00A76200" w:rsidRPr="00104754" w:rsidRDefault="00A76200" w:rsidP="00A76200">
      <w:pPr>
        <w:ind w:firstLine="708"/>
        <w:jc w:val="both"/>
        <w:rPr>
          <w:rFonts w:cstheme="minorHAnsi"/>
        </w:rPr>
      </w:pPr>
      <w:r w:rsidRPr="00104754">
        <w:rPr>
          <w:rFonts w:cstheme="minorHAnsi"/>
        </w:rPr>
        <w:t xml:space="preserve">A partir da avaliação do RAROC, uma operação de crédito só valeria a pena caso o indicador seja maior que o custo de oportunidade em </w:t>
      </w:r>
      <w:r w:rsidR="00104754" w:rsidRPr="00104754">
        <w:rPr>
          <w:rFonts w:cstheme="minorHAnsi"/>
        </w:rPr>
        <w:t>empregar</w:t>
      </w:r>
      <w:r w:rsidRPr="00104754">
        <w:rPr>
          <w:rFonts w:cstheme="minorHAnsi"/>
        </w:rPr>
        <w:t xml:space="preserve"> o mesmo recurso numa operação sem risco. </w:t>
      </w:r>
      <w:r w:rsidR="0063523E" w:rsidRPr="00104754">
        <w:rPr>
          <w:rFonts w:cstheme="minorHAnsi"/>
        </w:rPr>
        <w:t xml:space="preserve">Assim, se o </w:t>
      </w:r>
      <w:r w:rsidRPr="00104754">
        <w:rPr>
          <w:rFonts w:cstheme="minorHAnsi"/>
        </w:rPr>
        <w:t xml:space="preserve">custo de oportunidade for superior ao RAROC calculado, então não compensa correr o risco da operação analisada. </w:t>
      </w:r>
    </w:p>
    <w:p w14:paraId="39A538B1" w14:textId="02931340" w:rsidR="00A76200" w:rsidRPr="00104754" w:rsidRDefault="00A76200" w:rsidP="0063523E">
      <w:pPr>
        <w:ind w:firstLine="708"/>
        <w:jc w:val="both"/>
        <w:rPr>
          <w:rFonts w:cstheme="minorHAnsi"/>
        </w:rPr>
      </w:pPr>
      <w:r w:rsidRPr="00104754">
        <w:rPr>
          <w:rFonts w:cstheme="minorHAnsi"/>
        </w:rPr>
        <w:t xml:space="preserve">Ao invés de analisar somente o fluxo de caixa advindo de um empréstimo, é possível também comparar o rendimento esperado do empréstimo com o risco incorrido, se necessário, ajustando o spread das operações de crédito, conforme as perdas que se espera incorrer. </w:t>
      </w:r>
    </w:p>
    <w:p w14:paraId="127CA603" w14:textId="77777777" w:rsidR="00A76200" w:rsidRPr="00B12D00" w:rsidRDefault="00A76200" w:rsidP="00A76200">
      <w:pPr>
        <w:rPr>
          <w:rFonts w:cstheme="minorHAnsi"/>
          <w:sz w:val="24"/>
          <w:szCs w:val="24"/>
        </w:rPr>
      </w:pPr>
    </w:p>
    <w:p w14:paraId="52F96E0C" w14:textId="77777777" w:rsidR="00A76200" w:rsidRPr="00B12D00" w:rsidRDefault="00A76200" w:rsidP="00A76200">
      <w:pPr>
        <w:rPr>
          <w:rFonts w:cstheme="minorHAnsi"/>
          <w:sz w:val="24"/>
          <w:szCs w:val="24"/>
        </w:rPr>
      </w:pPr>
      <m:oMathPara>
        <m:oMath>
          <m:r>
            <w:rPr>
              <w:rFonts w:ascii="Cambria Math" w:hAnsi="Cambria Math" w:cstheme="minorHAnsi"/>
              <w:sz w:val="24"/>
              <w:szCs w:val="24"/>
            </w:rPr>
            <m:t>RAROC=</m:t>
          </m:r>
          <m:f>
            <m:fPr>
              <m:ctrlPr>
                <w:rPr>
                  <w:rFonts w:ascii="Cambria Math" w:hAnsi="Cambria Math" w:cstheme="minorHAnsi"/>
                  <w:i/>
                  <w:sz w:val="24"/>
                  <w:szCs w:val="24"/>
                </w:rPr>
              </m:ctrlPr>
            </m:fPr>
            <m:num>
              <m:r>
                <w:rPr>
                  <w:rFonts w:ascii="Cambria Math" w:hAnsi="Cambria Math" w:cstheme="minorHAnsi"/>
                  <w:sz w:val="24"/>
                  <w:szCs w:val="24"/>
                </w:rPr>
                <m:t>Lucro Ajustado ao Risco</m:t>
              </m:r>
            </m:num>
            <m:den>
              <m:r>
                <w:rPr>
                  <w:rFonts w:ascii="Cambria Math" w:hAnsi="Cambria Math" w:cstheme="minorHAnsi"/>
                  <w:sz w:val="24"/>
                  <w:szCs w:val="24"/>
                </w:rPr>
                <m:t>Capital Alocado em Risco</m:t>
              </m:r>
            </m:den>
          </m:f>
          <m:r>
            <w:rPr>
              <w:rFonts w:ascii="Cambria Math" w:hAnsi="Cambria Math" w:cstheme="minorHAnsi"/>
              <w:sz w:val="24"/>
              <w:szCs w:val="24"/>
            </w:rPr>
            <m:t xml:space="preserve"> </m:t>
          </m:r>
        </m:oMath>
      </m:oMathPara>
    </w:p>
    <w:p w14:paraId="45FF9B99" w14:textId="77777777" w:rsidR="00A76200" w:rsidRPr="00B12D00" w:rsidRDefault="00A76200" w:rsidP="00A76200">
      <w:pPr>
        <w:rPr>
          <w:rFonts w:cstheme="minorHAnsi"/>
          <w:sz w:val="24"/>
          <w:szCs w:val="24"/>
        </w:rPr>
      </w:pPr>
    </w:p>
    <w:p w14:paraId="7A01233B" w14:textId="77777777" w:rsidR="00A76200" w:rsidRPr="00FC4FAD" w:rsidRDefault="00A76200" w:rsidP="00A76200">
      <w:pPr>
        <w:ind w:firstLine="708"/>
        <w:jc w:val="both"/>
        <w:rPr>
          <w:rFonts w:cstheme="minorHAnsi"/>
        </w:rPr>
      </w:pPr>
      <w:r w:rsidRPr="00FC4FAD">
        <w:rPr>
          <w:rFonts w:cstheme="minorHAnsi"/>
        </w:rPr>
        <w:t>Uma operação de crédito só deveria ser concretizada se indicador RAROC for superior ao custo de oportunidade do banco. Se esse custo de oportunidade for maior que ao RAROC calculado, então a conclusão é que não compensa correr o risco da operação dado o retorno esperado. Trata-se assim de uma metodologia para otimização da carteira de crédito da instituição.</w:t>
      </w:r>
    </w:p>
    <w:p w14:paraId="18B188CB" w14:textId="77777777" w:rsidR="00A76200" w:rsidRPr="00B12D00" w:rsidRDefault="00A76200" w:rsidP="0063523E">
      <w:pPr>
        <w:ind w:firstLine="708"/>
        <w:rPr>
          <w:rFonts w:cstheme="minorHAnsi"/>
          <w:sz w:val="24"/>
          <w:szCs w:val="24"/>
        </w:rPr>
      </w:pPr>
      <w:r w:rsidRPr="00B12D00">
        <w:rPr>
          <w:rFonts w:cstheme="minorHAnsi"/>
          <w:sz w:val="24"/>
          <w:szCs w:val="24"/>
        </w:rPr>
        <w:lastRenderedPageBreak/>
        <w:t>Conforme a definição de Mósca (2011) o lucro ajustado ao risco, utilizado para calcular o RAROC também pode ser obtido através da expressão:</w:t>
      </w:r>
    </w:p>
    <w:p w14:paraId="6DD99F0C" w14:textId="77777777" w:rsidR="00A76200" w:rsidRPr="00B12D00" w:rsidRDefault="00A76200" w:rsidP="00A76200">
      <w:pPr>
        <w:rPr>
          <w:rFonts w:cstheme="minorHAnsi"/>
          <w:sz w:val="24"/>
          <w:szCs w:val="24"/>
        </w:rPr>
      </w:pPr>
    </w:p>
    <w:p w14:paraId="50B77E41" w14:textId="77777777" w:rsidR="00A76200" w:rsidRPr="00B12D00" w:rsidRDefault="00A76200" w:rsidP="00A76200">
      <w:pPr>
        <w:pBdr>
          <w:top w:val="single" w:sz="18" w:space="1" w:color="auto"/>
          <w:left w:val="single" w:sz="18" w:space="4" w:color="auto"/>
          <w:bottom w:val="single" w:sz="18" w:space="1" w:color="auto"/>
          <w:right w:val="single" w:sz="18" w:space="4" w:color="auto"/>
          <w:between w:val="single" w:sz="18" w:space="1" w:color="auto"/>
          <w:bar w:val="single" w:sz="18" w:color="auto"/>
        </w:pBdr>
        <w:rPr>
          <w:rFonts w:cstheme="minorHAnsi"/>
          <w:i/>
          <w:iCs/>
          <w:sz w:val="24"/>
          <w:szCs w:val="24"/>
        </w:rPr>
      </w:pPr>
      <w:r w:rsidRPr="00B12D00">
        <w:rPr>
          <w:rFonts w:cstheme="minorHAnsi"/>
          <w:i/>
          <w:iCs/>
          <w:sz w:val="24"/>
          <w:szCs w:val="24"/>
        </w:rPr>
        <w:t>Lucro Ajustado ao Risco= Spread + Taxas e Comissões - Perdas Esperadas-Custos operacionais</w:t>
      </w:r>
    </w:p>
    <w:p w14:paraId="2A7356DC" w14:textId="77777777" w:rsidR="00A76200" w:rsidRPr="00B12D00" w:rsidRDefault="00A76200" w:rsidP="00A76200">
      <w:pPr>
        <w:rPr>
          <w:rFonts w:cstheme="minorHAnsi"/>
          <w:sz w:val="24"/>
          <w:szCs w:val="24"/>
        </w:rPr>
      </w:pPr>
    </w:p>
    <w:p w14:paraId="25D80832" w14:textId="77777777" w:rsidR="00A76200" w:rsidRPr="00FC4FAD" w:rsidRDefault="00A76200" w:rsidP="00262509">
      <w:pPr>
        <w:spacing w:line="240" w:lineRule="auto"/>
        <w:jc w:val="both"/>
        <w:rPr>
          <w:rFonts w:cstheme="minorHAnsi"/>
        </w:rPr>
      </w:pPr>
      <w:r w:rsidRPr="00FC4FAD">
        <w:rPr>
          <w:rFonts w:cstheme="minorHAnsi"/>
        </w:rPr>
        <w:t>onde,</w:t>
      </w:r>
    </w:p>
    <w:p w14:paraId="6BBF2A92" w14:textId="77777777" w:rsidR="00A76200" w:rsidRPr="00FC4FAD" w:rsidRDefault="00A76200" w:rsidP="00262509">
      <w:pPr>
        <w:spacing w:line="240" w:lineRule="auto"/>
        <w:jc w:val="both"/>
        <w:rPr>
          <w:rFonts w:cstheme="minorHAnsi"/>
        </w:rPr>
      </w:pPr>
      <w:r w:rsidRPr="00FC4FAD">
        <w:rPr>
          <w:rFonts w:cstheme="minorHAnsi"/>
          <w:b/>
          <w:bCs/>
        </w:rPr>
        <w:t>Spread (</w:t>
      </w:r>
      <w:r w:rsidRPr="00FC4FAD">
        <w:rPr>
          <w:rFonts w:cstheme="minorHAnsi"/>
          <w:b/>
          <w:bCs/>
          <w:i/>
          <w:iCs/>
        </w:rPr>
        <w:t>s</w:t>
      </w:r>
      <w:r w:rsidRPr="00FC4FAD">
        <w:rPr>
          <w:rFonts w:cstheme="minorHAnsi"/>
          <w:b/>
          <w:bCs/>
        </w:rPr>
        <w:t>)</w:t>
      </w:r>
      <w:r w:rsidRPr="00FC4FAD">
        <w:rPr>
          <w:rFonts w:cstheme="minorHAnsi"/>
        </w:rPr>
        <w:t>: Diferença entre a taxa de juros do crédito a conceder e o custo da captação da instituição;</w:t>
      </w:r>
    </w:p>
    <w:p w14:paraId="1FD11D06" w14:textId="77777777" w:rsidR="00A76200" w:rsidRPr="00FC4FAD" w:rsidRDefault="00A76200" w:rsidP="00262509">
      <w:pPr>
        <w:spacing w:line="240" w:lineRule="auto"/>
        <w:jc w:val="both"/>
        <w:rPr>
          <w:rFonts w:cstheme="minorHAnsi"/>
        </w:rPr>
      </w:pPr>
      <w:r w:rsidRPr="00FC4FAD">
        <w:rPr>
          <w:rFonts w:cstheme="minorHAnsi"/>
          <w:b/>
          <w:bCs/>
        </w:rPr>
        <w:t>Taxas e Comissões (</w:t>
      </w:r>
      <w:r w:rsidRPr="00FC4FAD">
        <w:rPr>
          <w:rFonts w:cstheme="minorHAnsi"/>
          <w:b/>
          <w:bCs/>
          <w:i/>
          <w:iCs/>
        </w:rPr>
        <w:t>taxa</w:t>
      </w:r>
      <w:r w:rsidRPr="00FC4FAD">
        <w:rPr>
          <w:rFonts w:cstheme="minorHAnsi"/>
          <w:b/>
          <w:bCs/>
        </w:rPr>
        <w:t>)</w:t>
      </w:r>
      <w:r w:rsidRPr="00FC4FAD">
        <w:rPr>
          <w:rFonts w:cstheme="minorHAnsi"/>
        </w:rPr>
        <w:t>: Taxas e comissões especificas da operação</w:t>
      </w:r>
    </w:p>
    <w:p w14:paraId="34533DEE" w14:textId="77777777" w:rsidR="00A76200" w:rsidRPr="00FC4FAD" w:rsidRDefault="00A76200" w:rsidP="00262509">
      <w:pPr>
        <w:spacing w:line="240" w:lineRule="auto"/>
        <w:jc w:val="both"/>
        <w:rPr>
          <w:rFonts w:cstheme="minorHAnsi"/>
        </w:rPr>
      </w:pPr>
      <w:r w:rsidRPr="00FC4FAD">
        <w:rPr>
          <w:rFonts w:cstheme="minorHAnsi"/>
          <w:b/>
          <w:bCs/>
        </w:rPr>
        <w:t>Perda Esperada (</w:t>
      </w:r>
      <w:r w:rsidRPr="00FC4FAD">
        <w:rPr>
          <w:rFonts w:cstheme="minorHAnsi"/>
          <w:b/>
          <w:bCs/>
          <w:i/>
          <w:iCs/>
        </w:rPr>
        <w:t>pd</w:t>
      </w:r>
      <w:r w:rsidRPr="00FC4FAD">
        <w:rPr>
          <w:rFonts w:cstheme="minorHAnsi"/>
          <w:b/>
          <w:bCs/>
        </w:rPr>
        <w:t>)</w:t>
      </w:r>
      <w:r w:rsidRPr="00FC4FAD">
        <w:rPr>
          <w:rFonts w:cstheme="minorHAnsi"/>
        </w:rPr>
        <w:t>: Perdas esperadas do negócio; e</w:t>
      </w:r>
    </w:p>
    <w:p w14:paraId="787BA9A0" w14:textId="77777777" w:rsidR="00A76200" w:rsidRPr="00FC4FAD" w:rsidRDefault="00A76200" w:rsidP="00262509">
      <w:pPr>
        <w:spacing w:line="240" w:lineRule="auto"/>
        <w:jc w:val="both"/>
        <w:rPr>
          <w:rFonts w:cstheme="minorHAnsi"/>
        </w:rPr>
      </w:pPr>
      <w:r w:rsidRPr="00FC4FAD">
        <w:rPr>
          <w:rFonts w:cstheme="minorHAnsi"/>
          <w:b/>
          <w:bCs/>
        </w:rPr>
        <w:t>Custos Operacionais (</w:t>
      </w:r>
      <w:r w:rsidRPr="00FC4FAD">
        <w:rPr>
          <w:rFonts w:cstheme="minorHAnsi"/>
          <w:b/>
          <w:bCs/>
          <w:i/>
          <w:iCs/>
        </w:rPr>
        <w:t>c</w:t>
      </w:r>
      <w:r w:rsidRPr="00FC4FAD">
        <w:rPr>
          <w:rFonts w:cstheme="minorHAnsi"/>
          <w:b/>
          <w:bCs/>
        </w:rPr>
        <w:t xml:space="preserve">): </w:t>
      </w:r>
      <w:r w:rsidRPr="00FC4FAD">
        <w:rPr>
          <w:rFonts w:cstheme="minorHAnsi"/>
        </w:rPr>
        <w:t>Custos do processo de análise, verificação de cadastros, monitorização e operacionalização da concessão do crédito.</w:t>
      </w:r>
    </w:p>
    <w:p w14:paraId="6FDA32C3" w14:textId="77777777" w:rsidR="00A76200" w:rsidRPr="00FC4FAD" w:rsidRDefault="00A76200" w:rsidP="00262509">
      <w:pPr>
        <w:ind w:firstLine="708"/>
        <w:jc w:val="both"/>
        <w:rPr>
          <w:rFonts w:cstheme="minorHAnsi"/>
        </w:rPr>
      </w:pPr>
      <w:r w:rsidRPr="00FC4FAD">
        <w:rPr>
          <w:rFonts w:cstheme="minorHAnsi"/>
        </w:rPr>
        <w:t>A utilização do indicador RAROC para avaliar os retornos de investimentos pode ser efetuada em vários níveis, conforme o quadro abaixo:</w:t>
      </w:r>
    </w:p>
    <w:p w14:paraId="0948780A" w14:textId="77777777" w:rsidR="0063523E" w:rsidRPr="00B12D00" w:rsidRDefault="0063523E" w:rsidP="00A76200">
      <w:pPr>
        <w:jc w:val="both"/>
        <w:rPr>
          <w:rFonts w:cstheme="minorHAnsi"/>
          <w:sz w:val="24"/>
          <w:szCs w:val="24"/>
        </w:rPr>
      </w:pPr>
    </w:p>
    <w:p w14:paraId="71A3F65E" w14:textId="77777777" w:rsidR="00A76200" w:rsidRPr="0063523E" w:rsidRDefault="00A76200" w:rsidP="0063523E">
      <w:pPr>
        <w:jc w:val="center"/>
        <w:rPr>
          <w:rFonts w:cstheme="minorHAnsi"/>
          <w:b/>
          <w:bCs/>
        </w:rPr>
      </w:pPr>
      <w:r w:rsidRPr="0063523E">
        <w:rPr>
          <w:rFonts w:cstheme="minorHAnsi"/>
          <w:b/>
          <w:bCs/>
        </w:rPr>
        <w:t>Quadro 1 - Níveis de aplicação de um modelo RAROC</w:t>
      </w:r>
    </w:p>
    <w:p w14:paraId="3A2F7314" w14:textId="77777777" w:rsidR="00A76200" w:rsidRPr="00B12D00" w:rsidRDefault="00A76200" w:rsidP="00A76200">
      <w:pPr>
        <w:pBdr>
          <w:top w:val="single" w:sz="18" w:space="1" w:color="auto"/>
          <w:left w:val="single" w:sz="18" w:space="4" w:color="auto"/>
          <w:bottom w:val="single" w:sz="18" w:space="1" w:color="auto"/>
          <w:right w:val="single" w:sz="18" w:space="4" w:color="auto"/>
        </w:pBdr>
        <w:jc w:val="center"/>
        <w:rPr>
          <w:rFonts w:cstheme="minorHAnsi"/>
          <w:sz w:val="24"/>
          <w:szCs w:val="24"/>
        </w:rPr>
      </w:pPr>
      <w:r w:rsidRPr="00B12D00">
        <w:rPr>
          <w:rFonts w:cstheme="minorHAnsi"/>
          <w:noProof/>
          <w:sz w:val="24"/>
          <w:szCs w:val="24"/>
        </w:rPr>
        <w:drawing>
          <wp:inline distT="0" distB="0" distL="0" distR="0" wp14:anchorId="53C721D6" wp14:editId="3A66D1C7">
            <wp:extent cx="3455670" cy="2352675"/>
            <wp:effectExtent l="19050" t="19050" r="30480" b="285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5E94B7" w14:textId="77777777" w:rsidR="00A76200" w:rsidRPr="00B12D00" w:rsidRDefault="00A76200" w:rsidP="00A76200">
      <w:pPr>
        <w:jc w:val="both"/>
        <w:rPr>
          <w:rFonts w:cstheme="minorHAnsi"/>
          <w:sz w:val="24"/>
          <w:szCs w:val="24"/>
        </w:rPr>
      </w:pPr>
    </w:p>
    <w:p w14:paraId="4C7C1123" w14:textId="77777777" w:rsidR="00A76200" w:rsidRPr="00104754" w:rsidRDefault="00A76200" w:rsidP="00A76200">
      <w:pPr>
        <w:ind w:firstLine="708"/>
        <w:jc w:val="both"/>
        <w:rPr>
          <w:rFonts w:cstheme="minorHAnsi"/>
        </w:rPr>
      </w:pPr>
      <w:r w:rsidRPr="00104754">
        <w:rPr>
          <w:rFonts w:cstheme="minorHAnsi"/>
        </w:rPr>
        <w:t>Para cada nível é necessária a customização dos dados que embasam os cálculos. Por exemplo, para o nível de clientes, os dados deverão referir-se exclusivamente a eles, e assim por diante.</w:t>
      </w:r>
    </w:p>
    <w:p w14:paraId="4EAA51B1" w14:textId="77777777" w:rsidR="00A76200" w:rsidRPr="00104754" w:rsidRDefault="00A76200" w:rsidP="00A76200">
      <w:pPr>
        <w:ind w:firstLine="708"/>
        <w:jc w:val="both"/>
        <w:rPr>
          <w:rFonts w:cstheme="minorHAnsi"/>
        </w:rPr>
      </w:pPr>
      <w:r w:rsidRPr="00104754">
        <w:rPr>
          <w:rFonts w:cstheme="minorHAnsi"/>
        </w:rPr>
        <w:t xml:space="preserve">Assim, no nível de portfólio o RAROC é utilizado para otimização da carteira global. A agregação de operações de crédito dependeria do impacto positivo no RAROC da carteira. Para sub-portfólios é a mesma análise da carteira global, com vistas também, à contribuição desta para a carteira. No nível de Unidades de Negócios, é utilizado para avaliação do desempenho </w:t>
      </w:r>
      <w:r w:rsidRPr="00104754">
        <w:rPr>
          <w:rFonts w:cstheme="minorHAnsi"/>
        </w:rPr>
        <w:lastRenderedPageBreak/>
        <w:t>dos gestores, no nível dos clientes para informações gerenciais sobre o retomo oferecido pelos clientes frente ao risco que fornecem, e no nível de operação individual é utilizado para precificação das operações. O nível de risco da operação seria um componente da taxa de juros a ser cobrada dos clientes, conforme visto no capítulo precificação, a taxa de juros seria proporcional à exposição do nível de risco, aqueles que oferecem menor risco pagam taxas menores.</w:t>
      </w:r>
    </w:p>
    <w:p w14:paraId="552E8B03" w14:textId="77777777" w:rsidR="00F230FD" w:rsidRPr="00104754" w:rsidRDefault="00F230FD" w:rsidP="00F230FD">
      <w:pPr>
        <w:rPr>
          <w:rFonts w:cstheme="minorHAnsi"/>
        </w:rPr>
      </w:pPr>
      <w:r w:rsidRPr="00104754">
        <w:rPr>
          <w:rFonts w:cstheme="minorHAnsi"/>
        </w:rPr>
        <w:t>O RAROC pode ser avaliado como uma medida de desempenho passado ou como um indicador para decisão de investimento.</w:t>
      </w:r>
    </w:p>
    <w:p w14:paraId="7597D943" w14:textId="77777777" w:rsidR="00F230FD" w:rsidRPr="00104754" w:rsidRDefault="00F230FD" w:rsidP="00F230FD">
      <w:pPr>
        <w:pStyle w:val="PargrafodaLista"/>
        <w:numPr>
          <w:ilvl w:val="0"/>
          <w:numId w:val="1"/>
        </w:numPr>
        <w:rPr>
          <w:rFonts w:cstheme="minorHAnsi"/>
        </w:rPr>
      </w:pPr>
      <w:r w:rsidRPr="00104754">
        <w:rPr>
          <w:rFonts w:cstheme="minorHAnsi"/>
        </w:rPr>
        <w:t>RAROC Retrospectivo: Medida de desempenho das operações passadas.</w:t>
      </w:r>
    </w:p>
    <w:p w14:paraId="5D76E41C" w14:textId="77777777" w:rsidR="00F230FD" w:rsidRPr="00104754" w:rsidRDefault="00F230FD" w:rsidP="00F230FD">
      <w:pPr>
        <w:pStyle w:val="PargrafodaLista"/>
        <w:numPr>
          <w:ilvl w:val="0"/>
          <w:numId w:val="1"/>
        </w:numPr>
        <w:rPr>
          <w:rFonts w:cstheme="minorHAnsi"/>
        </w:rPr>
      </w:pPr>
      <w:r w:rsidRPr="00104754">
        <w:rPr>
          <w:rFonts w:cstheme="minorHAnsi"/>
        </w:rPr>
        <w:t>RAROC Prospectivo: Ferramenta suporte à decisão de investimento.</w:t>
      </w:r>
    </w:p>
    <w:p w14:paraId="351A0148" w14:textId="77777777" w:rsidR="00F230FD" w:rsidRPr="00B12D00" w:rsidRDefault="00F230FD" w:rsidP="00F230FD">
      <w:pPr>
        <w:rPr>
          <w:rFonts w:cstheme="minorHAnsi"/>
          <w:sz w:val="24"/>
          <w:szCs w:val="24"/>
        </w:rPr>
      </w:pPr>
    </w:p>
    <w:p w14:paraId="41AFEB57" w14:textId="77777777" w:rsidR="00F230FD" w:rsidRPr="00B12D00" w:rsidRDefault="00F230FD" w:rsidP="00F230FD">
      <w:pPr>
        <w:rPr>
          <w:rFonts w:cstheme="minorHAnsi"/>
          <w:b/>
          <w:bCs/>
          <w:sz w:val="20"/>
          <w:szCs w:val="20"/>
        </w:rPr>
      </w:pPr>
      <w:r w:rsidRPr="00B12D00">
        <w:rPr>
          <w:rFonts w:cstheme="minorHAnsi"/>
          <w:b/>
          <w:bCs/>
          <w:sz w:val="20"/>
          <w:szCs w:val="20"/>
        </w:rPr>
        <w:t>Quadro 2: Definições de Retorno Ajustado ao Risco</w:t>
      </w:r>
    </w:p>
    <w:tbl>
      <w:tblPr>
        <w:tblStyle w:val="Tabelacomgrade"/>
        <w:tblW w:w="8789" w:type="dxa"/>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4A0" w:firstRow="1" w:lastRow="0" w:firstColumn="1" w:lastColumn="0" w:noHBand="0" w:noVBand="1"/>
      </w:tblPr>
      <w:tblGrid>
        <w:gridCol w:w="3096"/>
        <w:gridCol w:w="1843"/>
        <w:gridCol w:w="1842"/>
        <w:gridCol w:w="2008"/>
      </w:tblGrid>
      <w:tr w:rsidR="00F230FD" w:rsidRPr="00B12D00" w14:paraId="15850DB1" w14:textId="77777777" w:rsidTr="0076213C">
        <w:trPr>
          <w:jc w:val="center"/>
        </w:trPr>
        <w:tc>
          <w:tcPr>
            <w:tcW w:w="8789" w:type="dxa"/>
            <w:gridSpan w:val="4"/>
            <w:tcBorders>
              <w:top w:val="single" w:sz="12" w:space="0" w:color="auto"/>
              <w:left w:val="single" w:sz="18" w:space="0" w:color="auto"/>
              <w:bottom w:val="single" w:sz="12" w:space="0" w:color="auto"/>
              <w:right w:val="single" w:sz="18" w:space="0" w:color="auto"/>
            </w:tcBorders>
          </w:tcPr>
          <w:p w14:paraId="14E44DB0" w14:textId="77777777" w:rsidR="00F230FD" w:rsidRPr="00B12D00" w:rsidRDefault="00F230FD" w:rsidP="0076213C">
            <w:pPr>
              <w:jc w:val="center"/>
              <w:rPr>
                <w:rFonts w:cstheme="minorHAnsi"/>
                <w:sz w:val="32"/>
                <w:szCs w:val="32"/>
              </w:rPr>
            </w:pPr>
            <w:r w:rsidRPr="00B12D00">
              <w:rPr>
                <w:rFonts w:cstheme="minorHAnsi"/>
                <w:sz w:val="32"/>
                <w:szCs w:val="32"/>
              </w:rPr>
              <w:t>RAPM</w:t>
            </w:r>
          </w:p>
        </w:tc>
      </w:tr>
      <w:tr w:rsidR="00F230FD" w:rsidRPr="00B12D00" w14:paraId="5CE06482" w14:textId="77777777" w:rsidTr="0076213C">
        <w:trPr>
          <w:jc w:val="center"/>
        </w:trPr>
        <w:tc>
          <w:tcPr>
            <w:tcW w:w="3096" w:type="dxa"/>
            <w:tcBorders>
              <w:top w:val="single" w:sz="12" w:space="0" w:color="auto"/>
              <w:left w:val="nil"/>
              <w:bottom w:val="single" w:sz="12" w:space="0" w:color="auto"/>
              <w:right w:val="nil"/>
            </w:tcBorders>
          </w:tcPr>
          <w:p w14:paraId="2C6AEDFC" w14:textId="77777777" w:rsidR="00F230FD" w:rsidRPr="00B12D00" w:rsidRDefault="00F230FD" w:rsidP="0076213C">
            <w:pPr>
              <w:jc w:val="center"/>
              <w:rPr>
                <w:rFonts w:cstheme="minorHAnsi"/>
                <w:sz w:val="28"/>
                <w:szCs w:val="28"/>
              </w:rPr>
            </w:pPr>
            <w:r w:rsidRPr="00B12D00">
              <w:rPr>
                <w:rFonts w:cstheme="minorHAnsi"/>
                <w:sz w:val="28"/>
                <w:szCs w:val="28"/>
              </w:rPr>
              <w:t>↓</w:t>
            </w:r>
          </w:p>
        </w:tc>
        <w:tc>
          <w:tcPr>
            <w:tcW w:w="3685" w:type="dxa"/>
            <w:gridSpan w:val="2"/>
            <w:tcBorders>
              <w:top w:val="single" w:sz="12" w:space="0" w:color="auto"/>
              <w:left w:val="nil"/>
              <w:bottom w:val="single" w:sz="12" w:space="0" w:color="auto"/>
              <w:right w:val="nil"/>
            </w:tcBorders>
          </w:tcPr>
          <w:p w14:paraId="1D38963E" w14:textId="77777777" w:rsidR="00F230FD" w:rsidRPr="00B12D00" w:rsidRDefault="00F230FD" w:rsidP="0076213C">
            <w:pPr>
              <w:jc w:val="center"/>
              <w:rPr>
                <w:rFonts w:cstheme="minorHAnsi"/>
                <w:sz w:val="28"/>
                <w:szCs w:val="28"/>
              </w:rPr>
            </w:pPr>
            <w:r w:rsidRPr="00B12D00">
              <w:rPr>
                <w:rFonts w:cstheme="minorHAnsi"/>
                <w:sz w:val="28"/>
                <w:szCs w:val="28"/>
              </w:rPr>
              <w:t>↓</w:t>
            </w:r>
          </w:p>
        </w:tc>
        <w:tc>
          <w:tcPr>
            <w:tcW w:w="2008" w:type="dxa"/>
            <w:tcBorders>
              <w:top w:val="single" w:sz="12" w:space="0" w:color="auto"/>
              <w:left w:val="nil"/>
              <w:bottom w:val="single" w:sz="12" w:space="0" w:color="auto"/>
              <w:right w:val="nil"/>
            </w:tcBorders>
          </w:tcPr>
          <w:p w14:paraId="1EE89D1F" w14:textId="77777777" w:rsidR="00F230FD" w:rsidRPr="00B12D00" w:rsidRDefault="00F230FD" w:rsidP="0076213C">
            <w:pPr>
              <w:jc w:val="center"/>
              <w:rPr>
                <w:rFonts w:cstheme="minorHAnsi"/>
                <w:sz w:val="28"/>
                <w:szCs w:val="28"/>
              </w:rPr>
            </w:pPr>
            <w:r w:rsidRPr="00B12D00">
              <w:rPr>
                <w:rFonts w:cstheme="minorHAnsi"/>
                <w:sz w:val="28"/>
                <w:szCs w:val="28"/>
              </w:rPr>
              <w:t>↓</w:t>
            </w:r>
          </w:p>
        </w:tc>
      </w:tr>
      <w:tr w:rsidR="00F230FD" w:rsidRPr="00104754" w14:paraId="3691D345" w14:textId="77777777" w:rsidTr="0076213C">
        <w:trPr>
          <w:jc w:val="center"/>
        </w:trPr>
        <w:tc>
          <w:tcPr>
            <w:tcW w:w="3096" w:type="dxa"/>
            <w:tcBorders>
              <w:top w:val="single" w:sz="12" w:space="0" w:color="auto"/>
              <w:left w:val="single" w:sz="12" w:space="0" w:color="auto"/>
              <w:bottom w:val="single" w:sz="12" w:space="0" w:color="auto"/>
              <w:right w:val="single" w:sz="12" w:space="0" w:color="auto"/>
            </w:tcBorders>
          </w:tcPr>
          <w:p w14:paraId="277CBC8C" w14:textId="77777777" w:rsidR="00F230FD" w:rsidRPr="00104754" w:rsidRDefault="00F230FD" w:rsidP="0076213C">
            <w:pPr>
              <w:jc w:val="center"/>
              <w:rPr>
                <w:rFonts w:cstheme="minorHAnsi"/>
                <w:lang w:val="en-US"/>
              </w:rPr>
            </w:pPr>
            <w:r w:rsidRPr="00104754">
              <w:rPr>
                <w:rFonts w:cstheme="minorHAnsi"/>
                <w:lang w:val="en-US"/>
              </w:rPr>
              <w:t>RARORAC:</w:t>
            </w:r>
          </w:p>
          <w:p w14:paraId="775A2138" w14:textId="77777777" w:rsidR="00F230FD" w:rsidRPr="00104754" w:rsidRDefault="00F230FD" w:rsidP="0076213C">
            <w:pPr>
              <w:jc w:val="center"/>
              <w:rPr>
                <w:rFonts w:cstheme="minorHAnsi"/>
                <w:lang w:val="en-US"/>
              </w:rPr>
            </w:pPr>
            <w:r w:rsidRPr="00104754">
              <w:rPr>
                <w:rFonts w:cstheme="minorHAnsi"/>
                <w:i/>
                <w:iCs/>
                <w:lang w:val="en-US"/>
              </w:rPr>
              <w:t>Risk adjusted return on risk adjused capital</w:t>
            </w:r>
          </w:p>
        </w:tc>
        <w:tc>
          <w:tcPr>
            <w:tcW w:w="3685" w:type="dxa"/>
            <w:gridSpan w:val="2"/>
            <w:tcBorders>
              <w:top w:val="single" w:sz="12" w:space="0" w:color="auto"/>
              <w:left w:val="single" w:sz="12" w:space="0" w:color="auto"/>
              <w:bottom w:val="single" w:sz="12" w:space="0" w:color="auto"/>
              <w:right w:val="single" w:sz="12" w:space="0" w:color="auto"/>
            </w:tcBorders>
          </w:tcPr>
          <w:p w14:paraId="57B963CB" w14:textId="77777777" w:rsidR="00F230FD" w:rsidRPr="00104754" w:rsidRDefault="00F230FD" w:rsidP="0076213C">
            <w:pPr>
              <w:jc w:val="center"/>
              <w:rPr>
                <w:rFonts w:cstheme="minorHAnsi"/>
                <w:lang w:val="en-US"/>
              </w:rPr>
            </w:pPr>
            <w:r w:rsidRPr="00104754">
              <w:rPr>
                <w:rFonts w:cstheme="minorHAnsi"/>
                <w:lang w:val="en-US"/>
              </w:rPr>
              <w:t>RAROC:</w:t>
            </w:r>
          </w:p>
          <w:p w14:paraId="7E3645B9" w14:textId="77777777" w:rsidR="00F230FD" w:rsidRPr="00104754" w:rsidRDefault="00F230FD" w:rsidP="0076213C">
            <w:pPr>
              <w:jc w:val="center"/>
              <w:rPr>
                <w:rFonts w:cstheme="minorHAnsi"/>
                <w:lang w:val="en-US"/>
              </w:rPr>
            </w:pPr>
            <w:r w:rsidRPr="00104754">
              <w:rPr>
                <w:rFonts w:cstheme="minorHAnsi"/>
                <w:i/>
                <w:iCs/>
                <w:lang w:val="en-US"/>
              </w:rPr>
              <w:t>Risk adjusted return on capital</w:t>
            </w:r>
          </w:p>
        </w:tc>
        <w:tc>
          <w:tcPr>
            <w:tcW w:w="2008" w:type="dxa"/>
            <w:tcBorders>
              <w:top w:val="single" w:sz="12" w:space="0" w:color="auto"/>
              <w:left w:val="single" w:sz="12" w:space="0" w:color="auto"/>
              <w:bottom w:val="single" w:sz="12" w:space="0" w:color="auto"/>
              <w:right w:val="single" w:sz="12" w:space="0" w:color="auto"/>
            </w:tcBorders>
          </w:tcPr>
          <w:p w14:paraId="031DC864" w14:textId="77777777" w:rsidR="00F230FD" w:rsidRPr="00104754" w:rsidRDefault="00F230FD" w:rsidP="0076213C">
            <w:pPr>
              <w:jc w:val="center"/>
              <w:rPr>
                <w:rFonts w:cstheme="minorHAnsi"/>
                <w:lang w:val="en-US"/>
              </w:rPr>
            </w:pPr>
            <w:r w:rsidRPr="00104754">
              <w:rPr>
                <w:rFonts w:cstheme="minorHAnsi"/>
                <w:lang w:val="en-US"/>
              </w:rPr>
              <w:t>RORAC:</w:t>
            </w:r>
          </w:p>
          <w:p w14:paraId="289D534F" w14:textId="77777777" w:rsidR="00F230FD" w:rsidRPr="00104754" w:rsidRDefault="00F230FD" w:rsidP="0076213C">
            <w:pPr>
              <w:jc w:val="center"/>
              <w:rPr>
                <w:rFonts w:cstheme="minorHAnsi"/>
                <w:i/>
                <w:iCs/>
                <w:lang w:val="en-US"/>
              </w:rPr>
            </w:pPr>
            <w:r w:rsidRPr="00104754">
              <w:rPr>
                <w:rFonts w:cstheme="minorHAnsi"/>
                <w:i/>
                <w:iCs/>
                <w:lang w:val="en-US"/>
              </w:rPr>
              <w:t>Risk adjusted return on capita</w:t>
            </w:r>
          </w:p>
        </w:tc>
      </w:tr>
      <w:tr w:rsidR="00F230FD" w:rsidRPr="00104754" w14:paraId="7C120693" w14:textId="77777777" w:rsidTr="0076213C">
        <w:trPr>
          <w:jc w:val="center"/>
        </w:trPr>
        <w:tc>
          <w:tcPr>
            <w:tcW w:w="3096" w:type="dxa"/>
            <w:tcBorders>
              <w:top w:val="single" w:sz="12" w:space="0" w:color="auto"/>
              <w:left w:val="nil"/>
              <w:bottom w:val="single" w:sz="12" w:space="0" w:color="auto"/>
              <w:right w:val="nil"/>
            </w:tcBorders>
          </w:tcPr>
          <w:p w14:paraId="1362D92F" w14:textId="77777777" w:rsidR="00F230FD" w:rsidRPr="00104754" w:rsidRDefault="00F230FD" w:rsidP="0076213C">
            <w:pPr>
              <w:jc w:val="center"/>
              <w:rPr>
                <w:rFonts w:cstheme="minorHAnsi"/>
              </w:rPr>
            </w:pPr>
            <w:r w:rsidRPr="00104754">
              <w:rPr>
                <w:rFonts w:cstheme="minorHAnsi"/>
              </w:rPr>
              <w:t>↓</w:t>
            </w:r>
          </w:p>
        </w:tc>
        <w:tc>
          <w:tcPr>
            <w:tcW w:w="3685" w:type="dxa"/>
            <w:gridSpan w:val="2"/>
            <w:tcBorders>
              <w:top w:val="single" w:sz="12" w:space="0" w:color="auto"/>
              <w:left w:val="nil"/>
              <w:bottom w:val="single" w:sz="12" w:space="0" w:color="auto"/>
              <w:right w:val="nil"/>
            </w:tcBorders>
          </w:tcPr>
          <w:p w14:paraId="52328EC1" w14:textId="77777777" w:rsidR="00F230FD" w:rsidRPr="00104754" w:rsidRDefault="00F230FD" w:rsidP="0076213C">
            <w:pPr>
              <w:jc w:val="center"/>
              <w:rPr>
                <w:rFonts w:cstheme="minorHAnsi"/>
              </w:rPr>
            </w:pPr>
            <w:r w:rsidRPr="00104754">
              <w:rPr>
                <w:rFonts w:cstheme="minorHAnsi"/>
              </w:rPr>
              <w:t>↓</w:t>
            </w:r>
          </w:p>
        </w:tc>
        <w:tc>
          <w:tcPr>
            <w:tcW w:w="2008" w:type="dxa"/>
            <w:tcBorders>
              <w:top w:val="single" w:sz="12" w:space="0" w:color="auto"/>
              <w:left w:val="nil"/>
              <w:bottom w:val="single" w:sz="12" w:space="0" w:color="auto"/>
              <w:right w:val="nil"/>
            </w:tcBorders>
          </w:tcPr>
          <w:p w14:paraId="789B622B" w14:textId="77777777" w:rsidR="00F230FD" w:rsidRPr="00104754" w:rsidRDefault="00F230FD" w:rsidP="0076213C">
            <w:pPr>
              <w:jc w:val="center"/>
              <w:rPr>
                <w:rFonts w:cstheme="minorHAnsi"/>
              </w:rPr>
            </w:pPr>
            <w:r w:rsidRPr="00104754">
              <w:rPr>
                <w:rFonts w:cstheme="minorHAnsi"/>
              </w:rPr>
              <w:t>↓</w:t>
            </w:r>
          </w:p>
        </w:tc>
      </w:tr>
      <w:tr w:rsidR="00F230FD" w:rsidRPr="00104754" w14:paraId="5520B777" w14:textId="77777777" w:rsidTr="0076213C">
        <w:trPr>
          <w:jc w:val="center"/>
        </w:trPr>
        <w:tc>
          <w:tcPr>
            <w:tcW w:w="3096" w:type="dxa"/>
            <w:tcBorders>
              <w:top w:val="single" w:sz="12" w:space="0" w:color="auto"/>
              <w:left w:val="single" w:sz="12" w:space="0" w:color="auto"/>
              <w:bottom w:val="single" w:sz="12" w:space="0" w:color="auto"/>
              <w:right w:val="single" w:sz="12" w:space="0" w:color="auto"/>
            </w:tcBorders>
          </w:tcPr>
          <w:p w14:paraId="5A933873" w14:textId="77777777" w:rsidR="00F230FD" w:rsidRPr="00104754" w:rsidRDefault="00F230FD" w:rsidP="0076213C">
            <w:pPr>
              <w:jc w:val="center"/>
              <w:rPr>
                <w:rFonts w:cstheme="minorHAnsi"/>
              </w:rPr>
            </w:pPr>
            <w:r w:rsidRPr="00104754">
              <w:rPr>
                <w:rFonts w:cstheme="minorHAnsi"/>
              </w:rPr>
              <w:t>Diferença entre o resultado líquido, a perda esperada e o custo de capital dividido pelo risco de capital.</w:t>
            </w:r>
          </w:p>
        </w:tc>
        <w:tc>
          <w:tcPr>
            <w:tcW w:w="1843" w:type="dxa"/>
            <w:tcBorders>
              <w:top w:val="single" w:sz="12" w:space="0" w:color="auto"/>
              <w:left w:val="single" w:sz="12" w:space="0" w:color="auto"/>
              <w:bottom w:val="single" w:sz="12" w:space="0" w:color="auto"/>
              <w:right w:val="single" w:sz="12" w:space="0" w:color="auto"/>
            </w:tcBorders>
          </w:tcPr>
          <w:p w14:paraId="5CE98824" w14:textId="77777777" w:rsidR="00F230FD" w:rsidRPr="00104754" w:rsidRDefault="00F230FD" w:rsidP="0076213C">
            <w:pPr>
              <w:jc w:val="center"/>
              <w:rPr>
                <w:rFonts w:cstheme="minorHAnsi"/>
              </w:rPr>
            </w:pPr>
            <w:r w:rsidRPr="00104754">
              <w:rPr>
                <w:rFonts w:cstheme="minorHAnsi"/>
              </w:rPr>
              <w:t>Retrospectivo: Desempenho das operações passadas</w:t>
            </w:r>
          </w:p>
        </w:tc>
        <w:tc>
          <w:tcPr>
            <w:tcW w:w="1842" w:type="dxa"/>
            <w:tcBorders>
              <w:top w:val="single" w:sz="12" w:space="0" w:color="auto"/>
              <w:left w:val="single" w:sz="12" w:space="0" w:color="auto"/>
              <w:bottom w:val="single" w:sz="12" w:space="0" w:color="auto"/>
              <w:right w:val="single" w:sz="12" w:space="0" w:color="auto"/>
            </w:tcBorders>
          </w:tcPr>
          <w:p w14:paraId="0618AA4B" w14:textId="77777777" w:rsidR="00F230FD" w:rsidRPr="00104754" w:rsidRDefault="00F230FD" w:rsidP="0076213C">
            <w:pPr>
              <w:jc w:val="center"/>
              <w:rPr>
                <w:rFonts w:cstheme="minorHAnsi"/>
              </w:rPr>
            </w:pPr>
            <w:r w:rsidRPr="00104754">
              <w:rPr>
                <w:rFonts w:cstheme="minorHAnsi"/>
              </w:rPr>
              <w:t>Prospectivo: Suporte a decisões de investimento</w:t>
            </w:r>
          </w:p>
        </w:tc>
        <w:tc>
          <w:tcPr>
            <w:tcW w:w="2008" w:type="dxa"/>
            <w:tcBorders>
              <w:top w:val="single" w:sz="12" w:space="0" w:color="auto"/>
              <w:left w:val="single" w:sz="12" w:space="0" w:color="auto"/>
              <w:bottom w:val="single" w:sz="12" w:space="0" w:color="auto"/>
              <w:right w:val="single" w:sz="12" w:space="0" w:color="auto"/>
            </w:tcBorders>
          </w:tcPr>
          <w:p w14:paraId="7B49B138" w14:textId="77777777" w:rsidR="00F230FD" w:rsidRPr="00104754" w:rsidRDefault="00F230FD" w:rsidP="0076213C">
            <w:pPr>
              <w:jc w:val="center"/>
              <w:rPr>
                <w:rFonts w:cstheme="minorHAnsi"/>
              </w:rPr>
            </w:pPr>
            <w:r w:rsidRPr="00104754">
              <w:rPr>
                <w:rFonts w:cstheme="minorHAnsi"/>
              </w:rPr>
              <w:t>Resultado após a perda esperada em relação ao capital de risco</w:t>
            </w:r>
          </w:p>
        </w:tc>
      </w:tr>
    </w:tbl>
    <w:p w14:paraId="632B2F76" w14:textId="77777777" w:rsidR="00F230FD" w:rsidRPr="00104754" w:rsidRDefault="00F230FD" w:rsidP="00F230FD">
      <w:pPr>
        <w:rPr>
          <w:rFonts w:cstheme="minorHAnsi"/>
        </w:rPr>
      </w:pPr>
    </w:p>
    <w:p w14:paraId="5203A722" w14:textId="77777777" w:rsidR="00F230FD" w:rsidRPr="00104754" w:rsidRDefault="00F230FD" w:rsidP="00F230FD">
      <w:pPr>
        <w:ind w:firstLine="708"/>
        <w:jc w:val="both"/>
        <w:rPr>
          <w:rFonts w:cstheme="minorHAnsi"/>
        </w:rPr>
      </w:pPr>
      <w:r w:rsidRPr="00104754">
        <w:rPr>
          <w:rFonts w:cstheme="minorHAnsi"/>
        </w:rPr>
        <w:t>O Valor em Risco (</w:t>
      </w:r>
      <w:r w:rsidRPr="00104754">
        <w:rPr>
          <w:rFonts w:cstheme="minorHAnsi"/>
          <w:i/>
          <w:iCs/>
        </w:rPr>
        <w:t>VaR</w:t>
      </w:r>
      <w:r w:rsidRPr="00104754">
        <w:rPr>
          <w:rFonts w:cstheme="minorHAnsi"/>
        </w:rPr>
        <w:t>) é utilizado como medida de exposição do risco no denominador do RAROC. O Valor em Risco (</w:t>
      </w:r>
      <w:r w:rsidRPr="00104754">
        <w:rPr>
          <w:rFonts w:cstheme="minorHAnsi"/>
          <w:i/>
          <w:iCs/>
        </w:rPr>
        <w:t>VaR</w:t>
      </w:r>
      <w:r w:rsidRPr="00104754">
        <w:rPr>
          <w:rFonts w:cstheme="minorHAnsi"/>
        </w:rPr>
        <w:t>) estima a perda potencial máxima de um investimento de acordo com um determinado intervalo de confiança, demostrando a exposição ao risco financeiro de uma operação.</w:t>
      </w:r>
    </w:p>
    <w:p w14:paraId="739D921D" w14:textId="77777777" w:rsidR="00AD538F" w:rsidRDefault="00AD538F" w:rsidP="00AD538F">
      <w:pPr>
        <w:jc w:val="both"/>
        <w:rPr>
          <w:rFonts w:cstheme="minorHAnsi"/>
          <w:sz w:val="24"/>
          <w:szCs w:val="24"/>
        </w:rPr>
      </w:pPr>
    </w:p>
    <w:p w14:paraId="014D38C5" w14:textId="77777777" w:rsidR="00AD538F" w:rsidRDefault="00AD538F" w:rsidP="00AD538F">
      <w:pPr>
        <w:jc w:val="both"/>
        <w:rPr>
          <w:rFonts w:cstheme="minorHAnsi"/>
          <w:sz w:val="24"/>
          <w:szCs w:val="24"/>
        </w:rPr>
      </w:pPr>
    </w:p>
    <w:p w14:paraId="09B7C47D" w14:textId="1A6C263A" w:rsidR="00AD538F" w:rsidRPr="00AD538F" w:rsidRDefault="00AD538F" w:rsidP="00AD538F">
      <w:pPr>
        <w:jc w:val="both"/>
        <w:rPr>
          <w:rFonts w:cstheme="minorHAnsi"/>
          <w:b/>
          <w:bCs/>
          <w:sz w:val="24"/>
          <w:szCs w:val="24"/>
        </w:rPr>
      </w:pPr>
      <w:r w:rsidRPr="00AD538F">
        <w:rPr>
          <w:rFonts w:cstheme="minorHAnsi"/>
          <w:b/>
          <w:bCs/>
          <w:sz w:val="24"/>
          <w:szCs w:val="24"/>
        </w:rPr>
        <w:t xml:space="preserve">1.3 </w:t>
      </w:r>
      <w:r w:rsidRPr="00AD538F">
        <w:rPr>
          <w:rFonts w:cstheme="minorHAnsi"/>
          <w:b/>
          <w:bCs/>
          <w:i/>
          <w:iCs/>
          <w:sz w:val="24"/>
          <w:szCs w:val="24"/>
        </w:rPr>
        <w:t>Value at Risk</w:t>
      </w:r>
      <w:r w:rsidRPr="00AD538F">
        <w:rPr>
          <w:rFonts w:cstheme="minorHAnsi"/>
          <w:b/>
          <w:bCs/>
          <w:sz w:val="24"/>
          <w:szCs w:val="24"/>
        </w:rPr>
        <w:t xml:space="preserve"> </w:t>
      </w:r>
      <w:r>
        <w:rPr>
          <w:rFonts w:cstheme="minorHAnsi"/>
          <w:b/>
          <w:bCs/>
          <w:sz w:val="24"/>
          <w:szCs w:val="24"/>
        </w:rPr>
        <w:t>(</w:t>
      </w:r>
      <w:r w:rsidRPr="00AD538F">
        <w:rPr>
          <w:rFonts w:cstheme="minorHAnsi"/>
          <w:b/>
          <w:bCs/>
          <w:sz w:val="24"/>
          <w:szCs w:val="24"/>
        </w:rPr>
        <w:t>VaR</w:t>
      </w:r>
      <w:r>
        <w:rPr>
          <w:rFonts w:cstheme="minorHAnsi"/>
          <w:b/>
          <w:bCs/>
          <w:sz w:val="24"/>
          <w:szCs w:val="24"/>
        </w:rPr>
        <w:t>)</w:t>
      </w:r>
    </w:p>
    <w:p w14:paraId="76A307DB" w14:textId="5165E3C5" w:rsidR="00AD538F" w:rsidRPr="00104754" w:rsidRDefault="00AD538F" w:rsidP="00A76200">
      <w:pPr>
        <w:ind w:firstLine="708"/>
        <w:jc w:val="both"/>
        <w:rPr>
          <w:rFonts w:cstheme="minorHAnsi"/>
        </w:rPr>
      </w:pPr>
      <w:r w:rsidRPr="00104754">
        <w:rPr>
          <w:rFonts w:cstheme="minorHAnsi"/>
        </w:rPr>
        <w:t xml:space="preserve">O </w:t>
      </w:r>
      <w:r w:rsidRPr="00104754">
        <w:rPr>
          <w:rFonts w:cstheme="minorHAnsi"/>
          <w:i/>
          <w:iCs/>
        </w:rPr>
        <w:t>Value-at-Risk</w:t>
      </w:r>
      <w:r w:rsidRPr="00104754">
        <w:rPr>
          <w:rFonts w:cstheme="minorHAnsi"/>
        </w:rPr>
        <w:t xml:space="preserve"> (VaR) emergiu como uma ferramenta para quantificar o risco, e tornou-se predominante após a década de 1990 devido à sua relativa simplicidade. O </w:t>
      </w:r>
      <w:r w:rsidRPr="00104754">
        <w:rPr>
          <w:rFonts w:cstheme="minorHAnsi"/>
          <w:i/>
          <w:iCs/>
        </w:rPr>
        <w:t>VaR</w:t>
      </w:r>
      <w:r w:rsidRPr="00104754">
        <w:rPr>
          <w:rFonts w:cstheme="minorHAnsi"/>
        </w:rPr>
        <w:t xml:space="preserve"> é atualmente é utilizado por instituições financeiras para mensuração de perda máximas em um portfólio, para monitoração de riscos e antecipação de mudanças inesperadas de mercado. O </w:t>
      </w:r>
      <w:r w:rsidRPr="00104754">
        <w:rPr>
          <w:rFonts w:cstheme="minorHAnsi"/>
          <w:i/>
          <w:iCs/>
        </w:rPr>
        <w:t>VaR</w:t>
      </w:r>
      <w:r w:rsidRPr="00104754">
        <w:rPr>
          <w:rFonts w:cstheme="minorHAnsi"/>
        </w:rPr>
        <w:t xml:space="preserve"> proposto por Jorion (</w:t>
      </w:r>
      <w:r w:rsidR="00F230FD" w:rsidRPr="00104754">
        <w:rPr>
          <w:rFonts w:cstheme="minorHAnsi"/>
        </w:rPr>
        <w:t>1997</w:t>
      </w:r>
      <w:r w:rsidRPr="00104754">
        <w:rPr>
          <w:rFonts w:cstheme="minorHAnsi"/>
        </w:rPr>
        <w:t>) é definido como a pior perda esperada em um determinado horizonte em diferentes níveis de confiança.</w:t>
      </w:r>
    </w:p>
    <w:p w14:paraId="321A28B1" w14:textId="77777777" w:rsidR="00F230FD" w:rsidRPr="00104754" w:rsidRDefault="00F230FD" w:rsidP="00F230FD">
      <w:pPr>
        <w:ind w:firstLine="708"/>
        <w:jc w:val="both"/>
        <w:rPr>
          <w:rFonts w:cstheme="minorHAnsi"/>
        </w:rPr>
      </w:pPr>
      <w:r w:rsidRPr="00104754">
        <w:rPr>
          <w:rFonts w:cstheme="minorHAnsi"/>
        </w:rPr>
        <w:t xml:space="preserve">Segundo a definição básica, </w:t>
      </w:r>
      <w:r w:rsidRPr="00104754">
        <w:rPr>
          <w:rFonts w:cstheme="minorHAnsi"/>
          <w:i/>
          <w:iCs/>
        </w:rPr>
        <w:t>Value at Risk</w:t>
      </w:r>
      <w:r w:rsidRPr="00104754">
        <w:rPr>
          <w:rFonts w:cstheme="minorHAnsi"/>
        </w:rPr>
        <w:t xml:space="preserve"> (VaR) é o potencial de perda máxima esperada de um portifólio, em dado um horizonte de tempo, intervalo de confiança e condições de normalidade de mercado (Jorion, 2001). Conforme esta definição podemos identificar três elementos necessários na construção do VaR: </w:t>
      </w:r>
    </w:p>
    <w:p w14:paraId="3097D76F" w14:textId="77777777" w:rsidR="00F230FD" w:rsidRPr="00104754" w:rsidRDefault="00F230FD" w:rsidP="00F230FD">
      <w:pPr>
        <w:rPr>
          <w:rFonts w:cstheme="minorHAnsi"/>
        </w:rPr>
      </w:pPr>
      <w:r w:rsidRPr="00104754">
        <w:rPr>
          <w:rFonts w:cstheme="minorHAnsi"/>
        </w:rPr>
        <w:lastRenderedPageBreak/>
        <w:t>1. Horizonte de tempo.</w:t>
      </w:r>
    </w:p>
    <w:p w14:paraId="4C307B97" w14:textId="77777777" w:rsidR="00F230FD" w:rsidRPr="00104754" w:rsidRDefault="00F230FD" w:rsidP="00F230FD">
      <w:pPr>
        <w:rPr>
          <w:rFonts w:cstheme="minorHAnsi"/>
        </w:rPr>
      </w:pPr>
      <w:r w:rsidRPr="00104754">
        <w:rPr>
          <w:rFonts w:cstheme="minorHAnsi"/>
        </w:rPr>
        <w:t>2. O valor monetário da carteira de ativos ou portifólio.</w:t>
      </w:r>
    </w:p>
    <w:p w14:paraId="7B022785" w14:textId="77777777" w:rsidR="00F230FD" w:rsidRPr="00104754" w:rsidRDefault="00F230FD" w:rsidP="00F230FD">
      <w:pPr>
        <w:rPr>
          <w:rFonts w:cstheme="minorHAnsi"/>
        </w:rPr>
      </w:pPr>
      <w:r w:rsidRPr="00104754">
        <w:rPr>
          <w:rFonts w:cstheme="minorHAnsi"/>
        </w:rPr>
        <w:t>3. Normalidade de mercado representada pelo intervalo de confiança.</w:t>
      </w:r>
    </w:p>
    <w:p w14:paraId="735087F3" w14:textId="77777777" w:rsidR="006452F6" w:rsidRPr="00104754" w:rsidRDefault="006452F6" w:rsidP="006452F6">
      <w:pPr>
        <w:ind w:firstLine="708"/>
        <w:jc w:val="both"/>
        <w:rPr>
          <w:rFonts w:eastAsiaTheme="minorEastAsia" w:cstheme="minorHAnsi"/>
        </w:rPr>
      </w:pPr>
      <w:r w:rsidRPr="00104754">
        <w:rPr>
          <w:rFonts w:eastAsiaTheme="minorEastAsia" w:cstheme="minorHAnsi"/>
        </w:rPr>
        <w:t>Valor em risco (</w:t>
      </w:r>
      <w:r w:rsidRPr="00104754">
        <w:rPr>
          <w:rFonts w:eastAsiaTheme="minorEastAsia" w:cstheme="minorHAnsi"/>
          <w:i/>
          <w:iCs/>
        </w:rPr>
        <w:t>VaR</w:t>
      </w:r>
      <w:r w:rsidRPr="00104754">
        <w:rPr>
          <w:rFonts w:eastAsiaTheme="minorEastAsia" w:cstheme="minorHAnsi"/>
        </w:rPr>
        <w:t xml:space="preserve">) de um ativo, está ligado a quanto se pode perder por se estar posicionado nesse ativo segundo certas condições. E que o conceito de </w:t>
      </w:r>
      <w:r w:rsidRPr="00104754">
        <w:rPr>
          <w:rFonts w:eastAsiaTheme="minorEastAsia" w:cstheme="minorHAnsi"/>
          <w:i/>
          <w:iCs/>
        </w:rPr>
        <w:t>VaR</w:t>
      </w:r>
      <w:r w:rsidRPr="00104754">
        <w:rPr>
          <w:rFonts w:eastAsiaTheme="minorEastAsia" w:cstheme="minorHAnsi"/>
        </w:rPr>
        <w:t xml:space="preserve"> é relacionado sempre a partir do último preço a mercado ao valor que podemos perder, em um espaço de tempo pré-fixado, em relação a esse último valor considerado. Ou seja, os ganhos e perdas ocorridos antes da data do cálculo do </w:t>
      </w:r>
      <w:r w:rsidRPr="00104754">
        <w:rPr>
          <w:rFonts w:eastAsiaTheme="minorEastAsia" w:cstheme="minorHAnsi"/>
          <w:i/>
          <w:iCs/>
        </w:rPr>
        <w:t>VaR</w:t>
      </w:r>
      <w:r w:rsidRPr="00104754">
        <w:rPr>
          <w:rFonts w:eastAsiaTheme="minorEastAsia" w:cstheme="minorHAnsi"/>
        </w:rPr>
        <w:t>, devem ser considerados como fatos consumados e que nada pode ser feito. Por exemplo, o percentil 99% do INAD90 (indicador de inadimplência em até 60 dias) pode representar o percentual de perda inesperada, assim como o percentil 99% do índice de provisionamento, conforme o rating de risco de crédito.</w:t>
      </w:r>
    </w:p>
    <w:p w14:paraId="63A2DEA7" w14:textId="1453A3E3" w:rsidR="006452F6" w:rsidRPr="00104754" w:rsidRDefault="006452F6" w:rsidP="006452F6">
      <w:pPr>
        <w:ind w:firstLine="708"/>
        <w:jc w:val="both"/>
        <w:rPr>
          <w:rFonts w:cstheme="minorHAnsi"/>
        </w:rPr>
      </w:pPr>
      <w:r w:rsidRPr="00104754">
        <w:rPr>
          <w:rFonts w:cstheme="minorHAnsi"/>
        </w:rPr>
        <w:t xml:space="preserve">Assim podemos identificar três fatores essenciais na determinação do </w:t>
      </w:r>
      <w:r w:rsidRPr="00104754">
        <w:rPr>
          <w:rFonts w:cstheme="minorHAnsi"/>
          <w:i/>
          <w:iCs/>
        </w:rPr>
        <w:t>VaR</w:t>
      </w:r>
      <w:r w:rsidRPr="00104754">
        <w:rPr>
          <w:rFonts w:cstheme="minorHAnsi"/>
        </w:rPr>
        <w:t>: Exposição, Sensibilidade e Volatilidade. A exposição sendo representada pela carteira ativa de crédito ou pelo ativo total do banco. Quanto maior a exposição ao fator de risco maior o risco total incorrido pelo banco. Além da exposição do ativo, também é preciso considerar a sensibilidade associada à oscilação do fator de risco, e qual impacto desta oscilação em determinado ativo financeiro da instituição. Assim a caracterização da exposição ao risco fica mais completa. A sensibilidade pode ser representada de forma simplificada pela fórmula abaixo:</w:t>
      </w:r>
    </w:p>
    <w:p w14:paraId="0CFD5625" w14:textId="77777777" w:rsidR="00104754" w:rsidRPr="00B12D00" w:rsidRDefault="00104754" w:rsidP="006452F6">
      <w:pPr>
        <w:ind w:firstLine="708"/>
        <w:jc w:val="both"/>
        <w:rPr>
          <w:rFonts w:cstheme="minorHAnsi"/>
          <w:sz w:val="24"/>
          <w:szCs w:val="24"/>
        </w:rPr>
      </w:pPr>
    </w:p>
    <w:p w14:paraId="3707BFED" w14:textId="77777777" w:rsidR="006452F6" w:rsidRPr="00B12D00" w:rsidRDefault="006452F6" w:rsidP="006452F6">
      <w:pPr>
        <w:rPr>
          <w:rFonts w:eastAsiaTheme="minorEastAsia" w:cstheme="minorHAnsi"/>
          <w:sz w:val="24"/>
          <w:szCs w:val="24"/>
        </w:rPr>
      </w:pPr>
      <m:oMathPara>
        <m:oMath>
          <m:r>
            <w:rPr>
              <w:rFonts w:ascii="Cambria Math" w:hAnsi="Cambria Math" w:cstheme="minorHAnsi"/>
              <w:sz w:val="24"/>
              <w:szCs w:val="24"/>
            </w:rPr>
            <m:t>Sensibilidade=</m:t>
          </m:r>
          <m:f>
            <m:fPr>
              <m:ctrlPr>
                <w:rPr>
                  <w:rFonts w:ascii="Cambria Math" w:hAnsi="Cambria Math" w:cstheme="minorHAnsi"/>
                  <w:i/>
                  <w:sz w:val="24"/>
                  <w:szCs w:val="24"/>
                </w:rPr>
              </m:ctrlPr>
            </m:fPr>
            <m:num>
              <m:r>
                <w:rPr>
                  <w:rFonts w:ascii="Cambria Math" w:hAnsi="Cambria Math" w:cstheme="minorHAnsi"/>
                  <w:sz w:val="24"/>
                  <w:szCs w:val="24"/>
                </w:rPr>
                <m:t>Variação de Resultado</m:t>
              </m:r>
            </m:num>
            <m:den>
              <m:r>
                <w:rPr>
                  <w:rFonts w:ascii="Cambria Math" w:hAnsi="Cambria Math" w:cstheme="minorHAnsi"/>
                  <w:sz w:val="24"/>
                  <w:szCs w:val="24"/>
                </w:rPr>
                <m:t>Variação de Preço</m:t>
              </m:r>
            </m:den>
          </m:f>
        </m:oMath>
      </m:oMathPara>
    </w:p>
    <w:p w14:paraId="698DFBA6" w14:textId="77777777" w:rsidR="00104754" w:rsidRDefault="00104754" w:rsidP="006452F6">
      <w:pPr>
        <w:ind w:firstLine="708"/>
        <w:jc w:val="both"/>
        <w:rPr>
          <w:rFonts w:cstheme="minorHAnsi"/>
          <w:sz w:val="24"/>
          <w:szCs w:val="24"/>
        </w:rPr>
      </w:pPr>
    </w:p>
    <w:p w14:paraId="17B40858" w14:textId="1C43A141" w:rsidR="006452F6" w:rsidRPr="00B12D00" w:rsidRDefault="006452F6" w:rsidP="006452F6">
      <w:pPr>
        <w:ind w:firstLine="708"/>
        <w:jc w:val="both"/>
        <w:rPr>
          <w:rFonts w:cstheme="minorHAnsi"/>
          <w:sz w:val="24"/>
          <w:szCs w:val="24"/>
        </w:rPr>
      </w:pPr>
      <w:r w:rsidRPr="00104754">
        <w:rPr>
          <w:rFonts w:cstheme="minorHAnsi"/>
        </w:rPr>
        <w:t xml:space="preserve">A volatilidade é o último fator, e está relacionada à forma como se comportam os fatores de risco. Por exemplo, ativos não voláteis permanecerão estáveis em qualquer circunstância, e não apresentarão qualquer risco. Definidas todos estes conceitos, finalmente podemos definir mais adequadamente o VaR, conforme: </w:t>
      </w:r>
      <w:r w:rsidRPr="00104754">
        <w:rPr>
          <w:rFonts w:cstheme="minorHAnsi"/>
        </w:rPr>
        <w:cr/>
      </w:r>
      <w:r w:rsidRPr="00B12D00">
        <w:rPr>
          <w:rFonts w:cstheme="minorHAnsi"/>
          <w:i/>
          <w:sz w:val="24"/>
          <w:szCs w:val="24"/>
        </w:rPr>
        <w:br/>
      </w:r>
      <m:oMathPara>
        <m:oMath>
          <m:r>
            <w:rPr>
              <w:rFonts w:ascii="Cambria Math" w:hAnsi="Cambria Math" w:cstheme="minorHAnsi"/>
              <w:sz w:val="24"/>
              <w:szCs w:val="24"/>
            </w:rPr>
            <m:t xml:space="preserve">VaR=Posição ×Sensibilidade × Volatilidade </m:t>
          </m:r>
        </m:oMath>
      </m:oMathPara>
    </w:p>
    <w:p w14:paraId="175E6B35" w14:textId="77777777" w:rsidR="00104754" w:rsidRDefault="00104754" w:rsidP="006452F6">
      <w:pPr>
        <w:ind w:firstLine="708"/>
        <w:jc w:val="both"/>
        <w:rPr>
          <w:rFonts w:cstheme="minorHAnsi"/>
          <w:sz w:val="24"/>
          <w:szCs w:val="24"/>
        </w:rPr>
      </w:pPr>
    </w:p>
    <w:p w14:paraId="4CAFC119" w14:textId="3A66DDF9" w:rsidR="006452F6" w:rsidRPr="00104754" w:rsidRDefault="006452F6" w:rsidP="006452F6">
      <w:pPr>
        <w:ind w:firstLine="708"/>
        <w:jc w:val="both"/>
        <w:rPr>
          <w:rFonts w:cstheme="minorHAnsi"/>
        </w:rPr>
      </w:pPr>
      <w:r w:rsidRPr="00104754">
        <w:rPr>
          <w:rFonts w:cstheme="minorHAnsi"/>
        </w:rPr>
        <w:t>Para o VaR interessa apenas determinar a perda máxima que está sujeita a instituição financeira, desconsiderando a mensuração de ganhos. Utilizando-se a curva normal, só nos interessa um dos lados da curva.</w:t>
      </w:r>
    </w:p>
    <w:p w14:paraId="770CD54E" w14:textId="2AB17D19" w:rsidR="00A76200" w:rsidRPr="00104754" w:rsidRDefault="00A76200" w:rsidP="00A76200">
      <w:pPr>
        <w:ind w:firstLine="708"/>
        <w:jc w:val="both"/>
        <w:rPr>
          <w:rFonts w:cstheme="minorHAnsi"/>
        </w:rPr>
      </w:pPr>
      <w:r w:rsidRPr="00104754">
        <w:rPr>
          <w:rFonts w:cstheme="minorHAnsi"/>
        </w:rPr>
        <w:t xml:space="preserve">Existem diferentes metodologias para obter o capital de risco. Uma das abordagens é utilizar o valor máximo ou o percentil 90% da variância das operações de crédito como uma </w:t>
      </w:r>
      <w:r w:rsidRPr="00104754">
        <w:rPr>
          <w:rFonts w:cstheme="minorHAnsi"/>
          <w:i/>
          <w:iCs/>
        </w:rPr>
        <w:t>proxy.</w:t>
      </w:r>
      <w:r w:rsidRPr="00104754">
        <w:rPr>
          <w:rFonts w:cstheme="minorHAnsi"/>
        </w:rPr>
        <w:t xml:space="preserve"> Outra abordagem é para obter o Capital em Risco é utilizar a metodologia Value at Risk (VaR). Ou seja, mensurar o montante de capital necessário para cobrir perdas inesperadas, com um dado nível de confiança estatística (MÓSCA, 2011). Assim, podemos calcularmos o </w:t>
      </w:r>
      <w:r w:rsidRPr="00104754">
        <w:rPr>
          <w:rFonts w:cstheme="minorHAnsi"/>
          <w:i/>
          <w:iCs/>
        </w:rPr>
        <w:t>VaR</w:t>
      </w:r>
      <w:r w:rsidRPr="00104754">
        <w:rPr>
          <w:rFonts w:cstheme="minorHAnsi"/>
        </w:rPr>
        <w:t xml:space="preserve"> conforme:</w:t>
      </w:r>
    </w:p>
    <w:p w14:paraId="01C33F7A" w14:textId="77777777" w:rsidR="00104754" w:rsidRPr="00B12D00" w:rsidRDefault="00104754" w:rsidP="00A76200">
      <w:pPr>
        <w:ind w:firstLine="708"/>
        <w:jc w:val="both"/>
        <w:rPr>
          <w:rFonts w:cstheme="minorHAnsi"/>
          <w:sz w:val="24"/>
          <w:szCs w:val="24"/>
        </w:rPr>
      </w:pPr>
    </w:p>
    <w:p w14:paraId="782C484B" w14:textId="77777777" w:rsidR="00A76200" w:rsidRPr="00B12D00" w:rsidRDefault="00A76200" w:rsidP="00A76200">
      <w:pPr>
        <w:rPr>
          <w:rFonts w:cstheme="minorHAnsi"/>
          <w:sz w:val="24"/>
          <w:szCs w:val="24"/>
        </w:rPr>
      </w:pPr>
      <m:oMathPara>
        <m:oMath>
          <m:r>
            <w:rPr>
              <w:rFonts w:ascii="Cambria Math" w:hAnsi="Cambria Math" w:cstheme="minorHAnsi"/>
              <w:sz w:val="24"/>
              <w:szCs w:val="24"/>
            </w:rPr>
            <m:t>VaR=Exposiçao  ×</m:t>
          </m:r>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α</m:t>
                  </m:r>
                </m:sub>
              </m:sSub>
            </m:e>
            <m:sub>
              <m:r>
                <w:rPr>
                  <w:rFonts w:ascii="Cambria Math" w:hAnsi="Cambria Math" w:cstheme="minorHAnsi"/>
                  <w:sz w:val="24"/>
                  <w:szCs w:val="24"/>
                </w:rPr>
                <m:t>95%</m:t>
              </m:r>
            </m:sub>
          </m:sSub>
          <m:r>
            <w:rPr>
              <w:rFonts w:ascii="Cambria Math" w:hAnsi="Cambria Math" w:cstheme="minorHAnsi"/>
              <w:sz w:val="24"/>
              <w:szCs w:val="24"/>
            </w:rPr>
            <m:t xml:space="preserve">  × STD(Perdas Esperadas) </m:t>
          </m:r>
        </m:oMath>
      </m:oMathPara>
    </w:p>
    <w:p w14:paraId="41925D5D" w14:textId="77777777" w:rsidR="00A76200" w:rsidRPr="00B12D00" w:rsidRDefault="00A76200" w:rsidP="00A76200">
      <w:pPr>
        <w:rPr>
          <w:rFonts w:cstheme="minorHAnsi"/>
          <w:sz w:val="24"/>
          <w:szCs w:val="24"/>
        </w:rPr>
      </w:pPr>
      <w:bookmarkStart w:id="1" w:name="_Hlk12963122"/>
      <m:oMathPara>
        <m:oMath>
          <m:r>
            <w:rPr>
              <w:rFonts w:ascii="Cambria Math" w:hAnsi="Cambria Math" w:cstheme="minorHAnsi"/>
              <w:sz w:val="24"/>
              <w:szCs w:val="24"/>
            </w:rPr>
            <w:lastRenderedPageBreak/>
            <m:t>VaR=Perda Esperada+</m:t>
          </m:r>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IPROV</m:t>
              </m:r>
            </m:sub>
            <m:sup>
              <m:r>
                <w:rPr>
                  <w:rFonts w:ascii="Cambria Math" w:hAnsi="Cambria Math" w:cstheme="minorHAnsi"/>
                  <w:sz w:val="24"/>
                  <w:szCs w:val="24"/>
                </w:rPr>
                <m:t>95%</m:t>
              </m:r>
            </m:sup>
          </m:sSubSup>
          <m:r>
            <w:rPr>
              <w:rFonts w:ascii="Cambria Math" w:hAnsi="Cambria Math" w:cstheme="minorHAnsi"/>
              <w:sz w:val="24"/>
              <w:szCs w:val="24"/>
            </w:rPr>
            <m:t xml:space="preserve"> ×Valor Liberado</m:t>
          </m:r>
        </m:oMath>
      </m:oMathPara>
    </w:p>
    <w:bookmarkEnd w:id="1"/>
    <w:p w14:paraId="77D717E3" w14:textId="77777777" w:rsidR="00104754" w:rsidRDefault="00104754" w:rsidP="00A76200">
      <w:pPr>
        <w:jc w:val="both"/>
        <w:rPr>
          <w:rFonts w:cstheme="minorHAnsi"/>
        </w:rPr>
      </w:pPr>
    </w:p>
    <w:p w14:paraId="585E776C" w14:textId="5AF804A5" w:rsidR="00A76200" w:rsidRPr="00104754" w:rsidRDefault="00A76200" w:rsidP="00A76200">
      <w:pPr>
        <w:jc w:val="both"/>
        <w:rPr>
          <w:rFonts w:cstheme="minorHAnsi"/>
        </w:rPr>
      </w:pPr>
      <w:r w:rsidRPr="00104754">
        <w:rPr>
          <w:rFonts w:cstheme="minorHAnsi"/>
        </w:rPr>
        <w:t xml:space="preserve">Assim são necessários três elementos na definição do VaR: </w:t>
      </w:r>
    </w:p>
    <w:p w14:paraId="3B1840ED" w14:textId="77777777" w:rsidR="00A76200" w:rsidRPr="00104754" w:rsidRDefault="00A76200" w:rsidP="00A76200">
      <w:pPr>
        <w:jc w:val="both"/>
        <w:rPr>
          <w:rFonts w:cstheme="minorHAnsi"/>
        </w:rPr>
      </w:pPr>
      <w:r w:rsidRPr="00104754">
        <w:rPr>
          <w:rFonts w:cstheme="minorHAnsi"/>
          <w:b/>
          <w:bCs/>
        </w:rPr>
        <w:t>Perda máxima</w:t>
      </w:r>
      <w:r w:rsidRPr="00104754">
        <w:rPr>
          <w:rFonts w:cstheme="minorHAnsi"/>
        </w:rPr>
        <w:t xml:space="preserve">: Estimativa de valor monetário total da carteira que pode ser perdida; </w:t>
      </w:r>
    </w:p>
    <w:p w14:paraId="2C7FA402" w14:textId="77777777" w:rsidR="00A76200" w:rsidRPr="00104754" w:rsidRDefault="00A76200" w:rsidP="00A76200">
      <w:pPr>
        <w:jc w:val="both"/>
        <w:rPr>
          <w:rFonts w:cstheme="minorHAnsi"/>
        </w:rPr>
      </w:pPr>
      <w:r w:rsidRPr="00104754">
        <w:rPr>
          <w:rFonts w:cstheme="minorHAnsi"/>
          <w:b/>
          <w:bCs/>
        </w:rPr>
        <w:t>Período</w:t>
      </w:r>
      <w:r w:rsidRPr="00104754">
        <w:rPr>
          <w:rFonts w:cstheme="minorHAnsi"/>
        </w:rPr>
        <w:t>: Intervalo de tempo a ser analisado, geralmente 1 ano.</w:t>
      </w:r>
    </w:p>
    <w:p w14:paraId="37C3A763" w14:textId="77777777" w:rsidR="00A76200" w:rsidRPr="00104754" w:rsidRDefault="00A76200" w:rsidP="00A76200">
      <w:pPr>
        <w:jc w:val="both"/>
        <w:rPr>
          <w:rFonts w:cstheme="minorHAnsi"/>
        </w:rPr>
      </w:pPr>
      <w:r w:rsidRPr="00104754">
        <w:rPr>
          <w:rFonts w:cstheme="minorHAnsi"/>
          <w:b/>
          <w:bCs/>
        </w:rPr>
        <w:t>Nível de confiança</w:t>
      </w:r>
      <w:r w:rsidRPr="00104754">
        <w:rPr>
          <w:rFonts w:cstheme="minorHAnsi"/>
        </w:rPr>
        <w:t>: Grau de certeza estatística do indicador. Para o indicador ser confiável, recomenda-se a utilização de pelo menos 95% de confiança, o que pode ser aproximado multiplicando os desvios-padrão por dois (2).</w:t>
      </w:r>
    </w:p>
    <w:p w14:paraId="67F93F74" w14:textId="77777777" w:rsidR="00A76200" w:rsidRPr="00B12D00" w:rsidRDefault="00A76200" w:rsidP="00A76200">
      <w:pPr>
        <w:rPr>
          <w:rFonts w:eastAsiaTheme="minorEastAsia" w:cstheme="minorHAnsi"/>
          <w:sz w:val="24"/>
          <w:szCs w:val="24"/>
        </w:rPr>
      </w:pPr>
    </w:p>
    <w:p w14:paraId="600431B6" w14:textId="77777777" w:rsidR="00A76200" w:rsidRPr="00B12D00" w:rsidRDefault="00A76200" w:rsidP="00A76200">
      <w:pPr>
        <w:rPr>
          <w:rFonts w:eastAsiaTheme="minorEastAsia" w:cstheme="minorHAnsi"/>
          <w:sz w:val="24"/>
          <w:szCs w:val="24"/>
        </w:rPr>
      </w:pPr>
      <m:oMathPara>
        <m:oMath>
          <m:r>
            <w:rPr>
              <w:rFonts w:ascii="Cambria Math" w:hAnsi="Cambria Math" w:cstheme="minorHAnsi"/>
              <w:sz w:val="24"/>
              <w:szCs w:val="24"/>
            </w:rPr>
            <m:t>VaR=Valor Liberado×</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INAD</m:t>
              </m:r>
            </m:sub>
          </m:sSub>
          <m:d>
            <m:dPr>
              <m:ctrlPr>
                <w:rPr>
                  <w:rFonts w:ascii="Cambria Math" w:hAnsi="Cambria Math" w:cstheme="minorHAnsi"/>
                  <w:i/>
                  <w:sz w:val="24"/>
                  <w:szCs w:val="24"/>
                </w:rPr>
              </m:ctrlPr>
            </m:dPr>
            <m:e>
              <m:r>
                <w:rPr>
                  <w:rFonts w:ascii="Cambria Math" w:hAnsi="Cambria Math" w:cstheme="minorHAnsi"/>
                  <w:sz w:val="24"/>
                  <w:szCs w:val="24"/>
                </w:rPr>
                <m:t>99%</m:t>
              </m:r>
            </m:e>
          </m:d>
          <m:r>
            <w:rPr>
              <w:rFonts w:ascii="Cambria Math" w:hAnsi="Cambria Math" w:cstheme="minorHAnsi"/>
              <w:sz w:val="24"/>
              <w:szCs w:val="24"/>
            </w:rPr>
            <m:t>-Perda Esperada</m:t>
          </m:r>
        </m:oMath>
      </m:oMathPara>
    </w:p>
    <w:p w14:paraId="50F52494" w14:textId="77777777" w:rsidR="006452F6" w:rsidRDefault="006452F6" w:rsidP="006452F6">
      <w:pPr>
        <w:rPr>
          <w:rFonts w:eastAsiaTheme="minorEastAsia" w:cstheme="minorHAnsi"/>
          <w:sz w:val="24"/>
          <w:szCs w:val="24"/>
        </w:rPr>
      </w:pPr>
    </w:p>
    <w:p w14:paraId="78F8979C" w14:textId="70B45386" w:rsidR="00A76200" w:rsidRPr="00104754" w:rsidRDefault="006452F6" w:rsidP="006452F6">
      <w:pPr>
        <w:ind w:firstLine="708"/>
        <w:jc w:val="both"/>
        <w:rPr>
          <w:rFonts w:eastAsiaTheme="minorEastAsia" w:cstheme="minorHAnsi"/>
        </w:rPr>
      </w:pPr>
      <w:r w:rsidRPr="00104754">
        <w:rPr>
          <w:rFonts w:eastAsiaTheme="minorEastAsia" w:cstheme="minorHAnsi"/>
        </w:rPr>
        <w:t xml:space="preserve">Segundo a representação da fórmula acima, temos um </w:t>
      </w:r>
      <w:r w:rsidR="00A76200" w:rsidRPr="00104754">
        <w:rPr>
          <w:rFonts w:eastAsiaTheme="minorEastAsia" w:cstheme="minorHAnsi"/>
        </w:rPr>
        <w:t>VaR</w:t>
      </w:r>
      <w:r w:rsidRPr="00104754">
        <w:rPr>
          <w:rFonts w:eastAsiaTheme="minorEastAsia" w:cstheme="minorHAnsi"/>
        </w:rPr>
        <w:t xml:space="preserve"> que </w:t>
      </w:r>
      <w:r w:rsidR="00A76200" w:rsidRPr="00104754">
        <w:rPr>
          <w:rFonts w:eastAsiaTheme="minorEastAsia" w:cstheme="minorHAnsi"/>
        </w:rPr>
        <w:t xml:space="preserve">representa a perda inesperada </w:t>
      </w:r>
      <w:r w:rsidRPr="00104754">
        <w:rPr>
          <w:rFonts w:eastAsiaTheme="minorEastAsia" w:cstheme="minorHAnsi"/>
        </w:rPr>
        <w:t xml:space="preserve">segundo </w:t>
      </w:r>
      <w:r w:rsidR="00A76200" w:rsidRPr="00104754">
        <w:rPr>
          <w:rFonts w:eastAsiaTheme="minorEastAsia" w:cstheme="minorHAnsi"/>
        </w:rPr>
        <w:t>um nível de confiança de 99%. Esta informação é uma importante medida de exposição ao risco de uma operação, sendo utilizada no denominador do indicador RAROC.</w:t>
      </w:r>
    </w:p>
    <w:p w14:paraId="6510BF53" w14:textId="77777777" w:rsidR="00A76200" w:rsidRPr="00104754" w:rsidRDefault="00A76200" w:rsidP="006452F6">
      <w:pPr>
        <w:ind w:firstLine="708"/>
        <w:jc w:val="both"/>
        <w:rPr>
          <w:rFonts w:cstheme="minorHAnsi"/>
        </w:rPr>
      </w:pPr>
      <w:r w:rsidRPr="00104754">
        <w:rPr>
          <w:rFonts w:cstheme="minorHAnsi"/>
        </w:rPr>
        <w:t xml:space="preserve">O RAROC é obtido pela divisão do lucro presumido da operação de crédito e a quantidade de capital em risco (VaR) alocado para aquela operação. </w:t>
      </w:r>
    </w:p>
    <w:p w14:paraId="1A26BB9C" w14:textId="77777777" w:rsidR="00104754" w:rsidRPr="00B12D00" w:rsidRDefault="00104754" w:rsidP="006452F6">
      <w:pPr>
        <w:ind w:firstLine="708"/>
        <w:jc w:val="both"/>
        <w:rPr>
          <w:rFonts w:cstheme="minorHAnsi"/>
          <w:sz w:val="24"/>
          <w:szCs w:val="24"/>
        </w:rPr>
      </w:pPr>
    </w:p>
    <w:p w14:paraId="6D55B2F3" w14:textId="77777777" w:rsidR="00A76200" w:rsidRPr="00B12D00" w:rsidRDefault="00A76200" w:rsidP="00A76200">
      <w:pPr>
        <w:rPr>
          <w:rFonts w:eastAsiaTheme="minorEastAsia" w:cstheme="minorHAnsi"/>
          <w:sz w:val="24"/>
          <w:szCs w:val="24"/>
        </w:rPr>
      </w:pPr>
      <m:oMathPara>
        <m:oMath>
          <m:r>
            <w:rPr>
              <w:rFonts w:ascii="Cambria Math" w:hAnsi="Cambria Math" w:cstheme="minorHAnsi"/>
              <w:sz w:val="24"/>
              <w:szCs w:val="24"/>
            </w:rPr>
            <m:t>RAROC=</m:t>
          </m:r>
          <m:f>
            <m:fPr>
              <m:ctrlPr>
                <w:rPr>
                  <w:rFonts w:ascii="Cambria Math" w:hAnsi="Cambria Math" w:cstheme="minorHAnsi"/>
                  <w:i/>
                  <w:sz w:val="24"/>
                  <w:szCs w:val="24"/>
                </w:rPr>
              </m:ctrlPr>
            </m:fPr>
            <m:num>
              <m:r>
                <w:rPr>
                  <w:rFonts w:ascii="Cambria Math" w:hAnsi="Cambria Math" w:cstheme="minorHAnsi"/>
                  <w:sz w:val="24"/>
                  <w:szCs w:val="24"/>
                </w:rPr>
                <m:t>Lucro Projetado</m:t>
              </m:r>
            </m:num>
            <m:den>
              <m:r>
                <w:rPr>
                  <w:rFonts w:ascii="Cambria Math" w:hAnsi="Cambria Math" w:cstheme="minorHAnsi"/>
                  <w:sz w:val="24"/>
                  <w:szCs w:val="24"/>
                </w:rPr>
                <m:t>Capital em Risco</m:t>
              </m:r>
            </m:den>
          </m:f>
        </m:oMath>
      </m:oMathPara>
    </w:p>
    <w:p w14:paraId="55F82E36" w14:textId="77777777" w:rsidR="00104754" w:rsidRDefault="00104754" w:rsidP="00A76200">
      <w:pPr>
        <w:ind w:firstLine="708"/>
        <w:jc w:val="both"/>
        <w:rPr>
          <w:rFonts w:cstheme="minorHAnsi"/>
        </w:rPr>
      </w:pPr>
    </w:p>
    <w:p w14:paraId="3BAFADF2" w14:textId="7F5E0BD0" w:rsidR="00A76200" w:rsidRPr="00104754" w:rsidRDefault="00A76200" w:rsidP="00A76200">
      <w:pPr>
        <w:ind w:firstLine="708"/>
        <w:jc w:val="both"/>
        <w:rPr>
          <w:rFonts w:cstheme="minorHAnsi"/>
        </w:rPr>
      </w:pPr>
      <w:r w:rsidRPr="00104754">
        <w:rPr>
          <w:rFonts w:cstheme="minorHAnsi"/>
        </w:rPr>
        <w:t>Uma operação de crédito só valeria a pena se o RAROC desta operação for, pelo menos, maior que o custo de oportunidade em empregar o mesmo recurso numa operação sem risco (títulos do governo, por exemplo). Se o custo de oportunidade da operação for superior ao RAROC, então não compensa correr o risco da operação.</w:t>
      </w:r>
    </w:p>
    <w:p w14:paraId="5DB0FE2B" w14:textId="77777777" w:rsidR="00A76200" w:rsidRPr="00104754" w:rsidRDefault="00A76200" w:rsidP="00A76200">
      <w:pPr>
        <w:ind w:firstLine="708"/>
        <w:jc w:val="both"/>
        <w:rPr>
          <w:rFonts w:cstheme="minorHAnsi"/>
        </w:rPr>
      </w:pPr>
      <w:r w:rsidRPr="00104754">
        <w:rPr>
          <w:rFonts w:cstheme="minorHAnsi"/>
        </w:rPr>
        <w:t>Desta forma, no lugar de analisar somente o fluxo de caixa previstos de um empréstimo, o indicador RAROC permite comparar os lucros previstos de uma operação de crédito com o nível de risco. Se necessário, é possível ajustar a taxa de juros de uma operação de crédito, conforme o risco, tornando a operação viável do ponto de vista do RAROC.</w:t>
      </w:r>
    </w:p>
    <w:p w14:paraId="102CBA96" w14:textId="77777777" w:rsidR="00A76200" w:rsidRPr="00B12D00" w:rsidRDefault="00A76200" w:rsidP="00A76200">
      <w:pPr>
        <w:rPr>
          <w:rFonts w:cstheme="minorHAnsi"/>
          <w:sz w:val="24"/>
          <w:szCs w:val="24"/>
        </w:rPr>
      </w:pPr>
    </w:p>
    <w:p w14:paraId="761904EA" w14:textId="01212EBC" w:rsidR="00262509" w:rsidRPr="00556779" w:rsidRDefault="006452F6" w:rsidP="00262509">
      <w:pPr>
        <w:rPr>
          <w:rFonts w:ascii="Arial" w:hAnsi="Arial" w:cs="Arial"/>
          <w:b/>
          <w:bCs/>
          <w:i/>
          <w:iCs/>
        </w:rPr>
      </w:pPr>
      <w:r>
        <w:rPr>
          <w:rFonts w:ascii="Arial" w:hAnsi="Arial" w:cs="Arial"/>
          <w:b/>
          <w:bCs/>
        </w:rPr>
        <w:t xml:space="preserve">1.4 </w:t>
      </w:r>
      <w:r w:rsidR="00262509" w:rsidRPr="00556779">
        <w:rPr>
          <w:rFonts w:ascii="Arial" w:hAnsi="Arial" w:cs="Arial"/>
          <w:b/>
          <w:bCs/>
        </w:rPr>
        <w:t xml:space="preserve">Definição Matemática </w:t>
      </w:r>
      <w:r>
        <w:rPr>
          <w:rFonts w:ascii="Arial" w:hAnsi="Arial" w:cs="Arial"/>
          <w:b/>
          <w:bCs/>
        </w:rPr>
        <w:t>do VaR</w:t>
      </w:r>
    </w:p>
    <w:p w14:paraId="57A0ED0F" w14:textId="77777777" w:rsidR="00262509" w:rsidRPr="00104754" w:rsidRDefault="00262509" w:rsidP="006452F6">
      <w:pPr>
        <w:ind w:firstLine="708"/>
        <w:jc w:val="both"/>
        <w:rPr>
          <w:rFonts w:cstheme="minorHAnsi"/>
        </w:rPr>
      </w:pPr>
      <w:r w:rsidRPr="00104754">
        <w:rPr>
          <w:rFonts w:cstheme="minorHAnsi"/>
        </w:rPr>
        <w:t xml:space="preserve">Dado um nível de confiança de p </w:t>
      </w:r>
      <w:r w:rsidRPr="00104754">
        <w:rPr>
          <w:rFonts w:ascii="Cambria Math" w:hAnsi="Cambria Math" w:cs="Cambria Math"/>
        </w:rPr>
        <w:t>∈</w:t>
      </w:r>
      <w:r w:rsidRPr="00104754">
        <w:rPr>
          <w:rFonts w:cstheme="minorHAnsi"/>
        </w:rPr>
        <w:t xml:space="preserve"> (0,1), no horizonte de tempo t e t+α, desejamos calcular a mudança na posição do no ativo financeiro ΔV(α) durante o período α. Seja Fα (x) a função de distribuição acumulada de ΔV(α). Uma vez que a posição financeira é ΔV(α)≤0, podemos definir o VaR de uma ativo no tempo α para um dado p como sendo:</w:t>
      </w:r>
    </w:p>
    <w:p w14:paraId="53B34EE9" w14:textId="6A23571F" w:rsidR="00262509" w:rsidRPr="00556779" w:rsidRDefault="006452F6" w:rsidP="00262509">
      <w:pPr>
        <w:rPr>
          <w:rFonts w:ascii="Arial" w:hAnsi="Arial" w:cs="Arial"/>
          <w:i/>
          <w:iCs/>
        </w:rPr>
      </w:pPr>
      <m:oMathPara>
        <m:oMath>
          <m:r>
            <w:rPr>
              <w:rFonts w:ascii="Cambria Math" w:hAnsi="Cambria Math" w:cs="Arial"/>
            </w:rPr>
            <m:t>p</m:t>
          </m:r>
          <m:r>
            <m:rPr>
              <m:scr m:val="double-struck"/>
            </m:rPr>
            <w:rPr>
              <w:rFonts w:ascii="Cambria Math" w:hAnsi="Cambria Math" w:cs="Arial"/>
            </w:rPr>
            <m:t>=P</m:t>
          </m:r>
          <m:d>
            <m:dPr>
              <m:begChr m:val="["/>
              <m:endChr m:val="]"/>
              <m:ctrlPr>
                <w:rPr>
                  <w:rFonts w:ascii="Cambria Math" w:hAnsi="Cambria Math" w:cs="Arial"/>
                  <w:i/>
                  <w:iCs/>
                </w:rPr>
              </m:ctrlPr>
            </m:dPr>
            <m:e>
              <m:r>
                <w:rPr>
                  <w:rFonts w:ascii="Cambria Math" w:hAnsi="Cambria Math" w:cs="Arial"/>
                </w:rPr>
                <m:t>∆V(α)≤VaR</m:t>
              </m:r>
            </m:e>
          </m:d>
          <m:r>
            <w:rPr>
              <w:rFonts w:ascii="Cambria Math" w:hAnsi="Cambria Math" w:cs="Arial"/>
            </w:rPr>
            <m:t>=</m:t>
          </m:r>
          <m:sSub>
            <m:sSubPr>
              <m:ctrlPr>
                <w:rPr>
                  <w:rFonts w:ascii="Cambria Math" w:hAnsi="Cambria Math" w:cs="Arial"/>
                  <w:i/>
                  <w:iCs/>
                </w:rPr>
              </m:ctrlPr>
            </m:sSubPr>
            <m:e>
              <m:r>
                <w:rPr>
                  <w:rFonts w:ascii="Cambria Math" w:hAnsi="Cambria Math" w:cs="Arial"/>
                </w:rPr>
                <m:t>F</m:t>
              </m:r>
            </m:e>
            <m:sub>
              <m:r>
                <w:rPr>
                  <w:rFonts w:ascii="Cambria Math" w:hAnsi="Cambria Math" w:cs="Arial"/>
                </w:rPr>
                <m:t>α</m:t>
              </m:r>
            </m:sub>
          </m:sSub>
          <m:r>
            <w:rPr>
              <w:rFonts w:ascii="Cambria Math" w:hAnsi="Cambria Math" w:cs="Arial"/>
            </w:rPr>
            <m:t>(x)</m:t>
          </m:r>
        </m:oMath>
      </m:oMathPara>
    </w:p>
    <w:p w14:paraId="7F5DA3A9" w14:textId="77777777" w:rsidR="009A26BC" w:rsidRDefault="009A26BC" w:rsidP="006452F6">
      <w:pPr>
        <w:ind w:firstLine="708"/>
        <w:jc w:val="both"/>
        <w:rPr>
          <w:rFonts w:cstheme="minorHAnsi"/>
          <w:sz w:val="24"/>
          <w:szCs w:val="24"/>
        </w:rPr>
      </w:pPr>
    </w:p>
    <w:p w14:paraId="4ED4B480" w14:textId="1E856AC4" w:rsidR="00262509" w:rsidRPr="009A26BC" w:rsidRDefault="00262509" w:rsidP="006452F6">
      <w:pPr>
        <w:ind w:firstLine="708"/>
        <w:jc w:val="both"/>
        <w:rPr>
          <w:rFonts w:cstheme="minorHAnsi"/>
          <w:sz w:val="24"/>
          <w:szCs w:val="24"/>
        </w:rPr>
      </w:pPr>
      <w:r w:rsidRPr="009A26BC">
        <w:rPr>
          <w:rFonts w:cstheme="minorHAnsi"/>
          <w:sz w:val="24"/>
          <w:szCs w:val="24"/>
        </w:rPr>
        <w:lastRenderedPageBreak/>
        <w:t xml:space="preserve">Considerando uma </w:t>
      </w:r>
      <w:r w:rsidR="006452F6" w:rsidRPr="009A26BC">
        <w:rPr>
          <w:rFonts w:cstheme="minorHAnsi"/>
          <w:sz w:val="24"/>
          <w:szCs w:val="24"/>
        </w:rPr>
        <w:t>ativo</w:t>
      </w:r>
      <w:r w:rsidRPr="009A26BC">
        <w:rPr>
          <w:rFonts w:cstheme="minorHAnsi"/>
          <w:sz w:val="24"/>
          <w:szCs w:val="24"/>
        </w:rPr>
        <w:t>, em um determinado tempo α com probabilidade p uma posição ΔV(α)≤0, o VaR é então definido como sendo:</w:t>
      </w:r>
    </w:p>
    <w:p w14:paraId="6A787EBC" w14:textId="78D46A20" w:rsidR="006452F6" w:rsidRPr="00556779" w:rsidRDefault="006452F6" w:rsidP="006452F6">
      <w:pPr>
        <w:rPr>
          <w:rFonts w:ascii="Arial" w:hAnsi="Arial" w:cs="Arial"/>
          <w:i/>
          <w:iCs/>
        </w:rPr>
      </w:pPr>
      <m:oMathPara>
        <m:oMath>
          <m:r>
            <w:rPr>
              <w:rFonts w:ascii="Cambria Math" w:hAnsi="Cambria Math" w:cs="Arial"/>
            </w:rPr>
            <m:t>p</m:t>
          </m:r>
          <m:r>
            <m:rPr>
              <m:scr m:val="double-struck"/>
            </m:rPr>
            <w:rPr>
              <w:rFonts w:ascii="Cambria Math" w:hAnsi="Cambria Math" w:cs="Arial"/>
            </w:rPr>
            <m:t>=P</m:t>
          </m:r>
          <m:d>
            <m:dPr>
              <m:begChr m:val="["/>
              <m:endChr m:val="]"/>
              <m:ctrlPr>
                <w:rPr>
                  <w:rFonts w:ascii="Cambria Math" w:hAnsi="Cambria Math" w:cs="Arial"/>
                  <w:i/>
                  <w:iCs/>
                </w:rPr>
              </m:ctrlPr>
            </m:dPr>
            <m:e>
              <m:r>
                <w:rPr>
                  <w:rFonts w:ascii="Cambria Math" w:hAnsi="Cambria Math" w:cs="Arial"/>
                </w:rPr>
                <m:t>∆V(α)≤VaR</m:t>
              </m:r>
            </m:e>
          </m:d>
          <m:r>
            <w:rPr>
              <w:rFonts w:ascii="Cambria Math" w:hAnsi="Cambria Math" w:cs="Arial"/>
            </w:rPr>
            <m:t>=</m:t>
          </m:r>
          <m:sSub>
            <m:sSubPr>
              <m:ctrlPr>
                <w:rPr>
                  <w:rFonts w:ascii="Cambria Math" w:hAnsi="Cambria Math" w:cs="Arial"/>
                  <w:i/>
                  <w:iCs/>
                </w:rPr>
              </m:ctrlPr>
            </m:sSubPr>
            <m:e>
              <m:r>
                <w:rPr>
                  <w:rFonts w:ascii="Cambria Math" w:hAnsi="Cambria Math" w:cs="Arial"/>
                </w:rPr>
                <m:t>F</m:t>
              </m:r>
            </m:e>
            <m:sub>
              <m:r>
                <w:rPr>
                  <w:rFonts w:ascii="Cambria Math" w:hAnsi="Cambria Math" w:cs="Arial"/>
                </w:rPr>
                <m:t>α</m:t>
              </m:r>
            </m:sub>
          </m:sSub>
          <m:d>
            <m:dPr>
              <m:ctrlPr>
                <w:rPr>
                  <w:rFonts w:ascii="Cambria Math" w:hAnsi="Cambria Math" w:cs="Arial"/>
                  <w:i/>
                  <w:iCs/>
                </w:rPr>
              </m:ctrlPr>
            </m:dPr>
            <m:e>
              <m:r>
                <w:rPr>
                  <w:rFonts w:ascii="Cambria Math" w:hAnsi="Cambria Math" w:cs="Arial"/>
                </w:rPr>
                <m:t>x</m:t>
              </m:r>
            </m:e>
          </m:d>
          <m:r>
            <w:rPr>
              <w:rFonts w:ascii="Cambria Math" w:hAnsi="Cambria Math" w:cs="Arial"/>
            </w:rPr>
            <m:t>=1-</m:t>
          </m:r>
          <m:r>
            <m:rPr>
              <m:scr m:val="double-struck"/>
            </m:rPr>
            <w:rPr>
              <w:rFonts w:ascii="Cambria Math" w:hAnsi="Cambria Math" w:cs="Arial"/>
            </w:rPr>
            <m:t>P</m:t>
          </m:r>
          <m:d>
            <m:dPr>
              <m:begChr m:val="["/>
              <m:endChr m:val="]"/>
              <m:ctrlPr>
                <w:rPr>
                  <w:rFonts w:ascii="Cambria Math" w:hAnsi="Cambria Math" w:cs="Arial"/>
                  <w:i/>
                  <w:iCs/>
                </w:rPr>
              </m:ctrlPr>
            </m:dPr>
            <m:e>
              <m:r>
                <w:rPr>
                  <w:rFonts w:ascii="Cambria Math" w:hAnsi="Cambria Math" w:cs="Arial"/>
                </w:rPr>
                <m:t>∆V</m:t>
              </m:r>
              <m:d>
                <m:dPr>
                  <m:ctrlPr>
                    <w:rPr>
                      <w:rFonts w:ascii="Cambria Math" w:hAnsi="Cambria Math" w:cs="Arial"/>
                      <w:i/>
                      <w:iCs/>
                    </w:rPr>
                  </m:ctrlPr>
                </m:dPr>
                <m:e>
                  <m:r>
                    <w:rPr>
                      <w:rFonts w:ascii="Cambria Math" w:hAnsi="Cambria Math" w:cs="Arial"/>
                    </w:rPr>
                    <m:t>α</m:t>
                  </m:r>
                </m:e>
              </m:d>
              <m:r>
                <w:rPr>
                  <w:rFonts w:ascii="Cambria Math" w:hAnsi="Cambria Math" w:cs="Arial"/>
                </w:rPr>
                <m:t>≤VaR</m:t>
              </m:r>
            </m:e>
          </m:d>
          <m:r>
            <w:rPr>
              <w:rFonts w:ascii="Cambria Math" w:hAnsi="Cambria Math" w:cs="Arial"/>
            </w:rPr>
            <m:t>=</m:t>
          </m:r>
          <m:sSub>
            <m:sSubPr>
              <m:ctrlPr>
                <w:rPr>
                  <w:rFonts w:ascii="Cambria Math" w:hAnsi="Cambria Math" w:cs="Arial"/>
                  <w:i/>
                  <w:iCs/>
                </w:rPr>
              </m:ctrlPr>
            </m:sSubPr>
            <m:e>
              <m:r>
                <w:rPr>
                  <w:rFonts w:ascii="Cambria Math" w:hAnsi="Cambria Math" w:cs="Arial"/>
                </w:rPr>
                <m:t>1-F</m:t>
              </m:r>
            </m:e>
            <m:sub>
              <m:r>
                <w:rPr>
                  <w:rFonts w:ascii="Cambria Math" w:hAnsi="Cambria Math" w:cs="Arial"/>
                </w:rPr>
                <m:t>α</m:t>
              </m:r>
            </m:sub>
          </m:sSub>
          <m:r>
            <w:rPr>
              <w:rFonts w:ascii="Cambria Math" w:hAnsi="Cambria Math" w:cs="Arial"/>
            </w:rPr>
            <m:t>(x)</m:t>
          </m:r>
        </m:oMath>
      </m:oMathPara>
    </w:p>
    <w:p w14:paraId="09A8D28B" w14:textId="77777777" w:rsidR="003B57BB" w:rsidRDefault="003B57BB" w:rsidP="006452F6">
      <w:pPr>
        <w:jc w:val="both"/>
        <w:rPr>
          <w:rFonts w:ascii="Arial" w:hAnsi="Arial" w:cs="Arial"/>
        </w:rPr>
      </w:pPr>
    </w:p>
    <w:p w14:paraId="213F3883" w14:textId="76730EA0" w:rsidR="003B57BB" w:rsidRDefault="003B57BB" w:rsidP="006452F6">
      <w:pPr>
        <w:jc w:val="both"/>
        <w:rPr>
          <w:rFonts w:ascii="Arial" w:hAnsi="Arial" w:cs="Arial"/>
        </w:rPr>
      </w:pPr>
      <w:r>
        <w:rPr>
          <w:rFonts w:ascii="Arial" w:hAnsi="Arial" w:cs="Arial"/>
        </w:rPr>
        <w:t xml:space="preserve">Seja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p</m:t>
            </m:r>
          </m:sub>
        </m:sSub>
      </m:oMath>
      <w:r>
        <w:rPr>
          <w:rFonts w:ascii="Arial" w:hAnsi="Arial" w:cs="Arial"/>
        </w:rPr>
        <w:t xml:space="preserve"> o percentil de </w:t>
      </w:r>
      <m:oMath>
        <m:sSub>
          <m:sSubPr>
            <m:ctrlPr>
              <w:rPr>
                <w:rFonts w:ascii="Cambria Math" w:hAnsi="Cambria Math" w:cs="Arial"/>
                <w:i/>
                <w:iCs/>
              </w:rPr>
            </m:ctrlPr>
          </m:sSubPr>
          <m:e>
            <m:r>
              <w:rPr>
                <w:rFonts w:ascii="Cambria Math" w:hAnsi="Cambria Math" w:cs="Arial"/>
              </w:rPr>
              <m:t>F</m:t>
            </m:r>
          </m:e>
          <m:sub>
            <m:r>
              <w:rPr>
                <w:rFonts w:ascii="Cambria Math" w:hAnsi="Cambria Math" w:cs="Arial"/>
              </w:rPr>
              <m:t>α</m:t>
            </m:r>
          </m:sub>
        </m:sSub>
        <m:r>
          <w:rPr>
            <w:rFonts w:ascii="Cambria Math" w:hAnsi="Cambria Math" w:cs="Arial"/>
          </w:rPr>
          <m:t>(x)</m:t>
        </m:r>
      </m:oMath>
      <w:r>
        <w:rPr>
          <w:rFonts w:ascii="Arial" w:eastAsiaTheme="minorEastAsia" w:hAnsi="Arial" w:cs="Arial"/>
          <w:iCs/>
        </w:rPr>
        <w:t xml:space="preserve">, o qual para cada nível de confiança </w:t>
      </w:r>
      <m:oMath>
        <m:r>
          <w:rPr>
            <w:rFonts w:ascii="Cambria Math" w:hAnsi="Cambria Math" w:cs="Arial"/>
          </w:rPr>
          <m:t>p∈</m:t>
        </m:r>
        <m:d>
          <m:dPr>
            <m:ctrlPr>
              <w:rPr>
                <w:rFonts w:ascii="Cambria Math" w:hAnsi="Cambria Math" w:cs="Arial"/>
                <w:i/>
                <w:iCs/>
              </w:rPr>
            </m:ctrlPr>
          </m:dPr>
          <m:e>
            <m:r>
              <w:rPr>
                <w:rFonts w:ascii="Cambria Math" w:hAnsi="Cambria Math" w:cs="Arial"/>
              </w:rPr>
              <m:t>0,1</m:t>
            </m:r>
          </m:e>
        </m:d>
        <m:r>
          <w:rPr>
            <w:rFonts w:ascii="Cambria Math" w:hAnsi="Cambria Math" w:cs="Arial"/>
          </w:rPr>
          <m:t>:0,1</m:t>
        </m:r>
      </m:oMath>
      <w:r>
        <w:rPr>
          <w:rFonts w:ascii="Arial" w:eastAsiaTheme="minorEastAsia" w:hAnsi="Arial" w:cs="Arial"/>
          <w:iCs/>
        </w:rPr>
        <w:t xml:space="preserve"> é dado por:</w:t>
      </w:r>
    </w:p>
    <w:p w14:paraId="779DD1D9" w14:textId="77777777" w:rsidR="003B57BB" w:rsidRDefault="00000000" w:rsidP="003B57BB">
      <w:pPr>
        <w:jc w:val="both"/>
        <w:rPr>
          <w:rFonts w:ascii="Arial" w:hAnsi="Arial" w:cs="Arial"/>
        </w:rPr>
      </w:pPr>
      <m:oMathPara>
        <m:oMath>
          <m:sSub>
            <m:sSubPr>
              <m:ctrlPr>
                <w:rPr>
                  <w:rFonts w:ascii="Cambria Math" w:hAnsi="Cambria Math" w:cs="Arial"/>
                  <w:i/>
                  <w:iCs/>
                </w:rPr>
              </m:ctrlPr>
            </m:sSubPr>
            <m:e>
              <m:r>
                <w:rPr>
                  <w:rFonts w:ascii="Cambria Math" w:hAnsi="Cambria Math" w:cs="Arial"/>
                </w:rPr>
                <m:t>VaR</m:t>
              </m:r>
            </m:e>
            <m:sub>
              <m:r>
                <w:rPr>
                  <w:rFonts w:ascii="Cambria Math" w:hAnsi="Cambria Math" w:cs="Arial"/>
                </w:rPr>
                <m:t>p</m:t>
              </m:r>
            </m:sub>
          </m:sSub>
          <m:r>
            <w:rPr>
              <w:rFonts w:ascii="Cambria Math" w:hAnsi="Cambria Math" w:cs="Arial"/>
            </w:rPr>
            <m:t>=</m:t>
          </m:r>
          <m:sSub>
            <m:sSubPr>
              <m:ctrlPr>
                <w:rPr>
                  <w:rFonts w:ascii="Cambria Math" w:hAnsi="Cambria Math" w:cs="Arial"/>
                  <w:i/>
                  <w:iCs/>
                </w:rPr>
              </m:ctrlPr>
            </m:sSubPr>
            <m:e>
              <m:r>
                <w:rPr>
                  <w:rFonts w:ascii="Cambria Math" w:hAnsi="Cambria Math" w:cs="Arial"/>
                </w:rPr>
                <m:t>x</m:t>
              </m:r>
            </m:e>
            <m:sub>
              <m:r>
                <w:rPr>
                  <w:rFonts w:ascii="Cambria Math" w:hAnsi="Cambria Math" w:cs="Arial"/>
                </w:rPr>
                <m:t>p</m:t>
              </m:r>
            </m:sub>
          </m:sSub>
          <m:r>
            <w:rPr>
              <w:rFonts w:ascii="Cambria Math" w:hAnsi="Cambria Math" w:cs="Arial"/>
            </w:rPr>
            <m:t>=</m:t>
          </m:r>
          <m:func>
            <m:funcPr>
              <m:ctrlPr>
                <w:rPr>
                  <w:rFonts w:ascii="Cambria Math" w:hAnsi="Cambria Math" w:cs="Arial"/>
                  <w:i/>
                  <w:iCs/>
                </w:rPr>
              </m:ctrlPr>
            </m:funcPr>
            <m:fName>
              <m:r>
                <m:rPr>
                  <m:sty m:val="p"/>
                </m:rPr>
                <w:rPr>
                  <w:rFonts w:ascii="Cambria Math" w:hAnsi="Cambria Math" w:cs="Arial"/>
                </w:rPr>
                <m:t>inf</m:t>
              </m:r>
            </m:fName>
            <m:e>
              <m:d>
                <m:dPr>
                  <m:begChr m:val="{"/>
                  <m:endChr m:val="|"/>
                  <m:ctrlPr>
                    <w:rPr>
                      <w:rFonts w:ascii="Cambria Math" w:hAnsi="Cambria Math" w:cs="Arial"/>
                      <w:i/>
                      <w:iCs/>
                    </w:rPr>
                  </m:ctrlPr>
                </m:dPr>
                <m:e>
                  <m:r>
                    <w:rPr>
                      <w:rFonts w:ascii="Cambria Math" w:hAnsi="Cambria Math" w:cs="Arial"/>
                    </w:rPr>
                    <m:t>x</m:t>
                  </m:r>
                </m:e>
              </m:d>
            </m:e>
          </m:func>
          <m:sSub>
            <m:sSubPr>
              <m:ctrlPr>
                <w:rPr>
                  <w:rFonts w:ascii="Cambria Math" w:hAnsi="Cambria Math" w:cs="Arial"/>
                  <w:i/>
                  <w:iCs/>
                </w:rPr>
              </m:ctrlPr>
            </m:sSubPr>
            <m:e>
              <m:r>
                <w:rPr>
                  <w:rFonts w:ascii="Cambria Math" w:hAnsi="Cambria Math" w:cs="Arial"/>
                </w:rPr>
                <m:t>F</m:t>
              </m:r>
            </m:e>
            <m:sub>
              <m:r>
                <w:rPr>
                  <w:rFonts w:ascii="Cambria Math" w:hAnsi="Cambria Math" w:cs="Arial"/>
                </w:rPr>
                <m:t>α</m:t>
              </m:r>
            </m:sub>
          </m:sSub>
          <m:d>
            <m:dPr>
              <m:ctrlPr>
                <w:rPr>
                  <w:rFonts w:ascii="Cambria Math" w:hAnsi="Cambria Math" w:cs="Arial"/>
                  <w:i/>
                  <w:iCs/>
                </w:rPr>
              </m:ctrlPr>
            </m:dPr>
            <m:e>
              <m:r>
                <w:rPr>
                  <w:rFonts w:ascii="Cambria Math" w:hAnsi="Cambria Math" w:cs="Arial"/>
                </w:rPr>
                <m:t>x</m:t>
              </m:r>
            </m:e>
          </m:d>
          <m:r>
            <w:rPr>
              <w:rFonts w:ascii="Cambria Math" w:hAnsi="Cambria Math" w:cs="Arial"/>
            </w:rPr>
            <m:t>&gt;p}</m:t>
          </m:r>
          <m:r>
            <w:rPr>
              <w:rFonts w:ascii="Cambria Math" w:hAnsi="Cambria Math" w:cs="Arial"/>
            </w:rPr>
            <w:br/>
          </m:r>
        </m:oMath>
      </m:oMathPara>
    </w:p>
    <w:p w14:paraId="10879B9C" w14:textId="10BF0E61" w:rsidR="00262509" w:rsidRPr="00104754" w:rsidRDefault="003B57BB" w:rsidP="009A26BC">
      <w:pPr>
        <w:ind w:firstLine="708"/>
        <w:jc w:val="both"/>
        <w:rPr>
          <w:rFonts w:cstheme="minorHAnsi"/>
        </w:rPr>
      </w:pPr>
      <w:r w:rsidRPr="00104754">
        <w:rPr>
          <w:rFonts w:cstheme="minorHAnsi"/>
        </w:rPr>
        <w:t xml:space="preserve">Assim, o comportamento de cauda de </w:t>
      </w:r>
      <m:oMath>
        <m:sSub>
          <m:sSubPr>
            <m:ctrlPr>
              <w:rPr>
                <w:rFonts w:ascii="Cambria Math" w:hAnsi="Cambria Math" w:cstheme="minorHAnsi"/>
              </w:rPr>
            </m:ctrlPr>
          </m:sSubPr>
          <m:e>
            <m:r>
              <w:rPr>
                <w:rFonts w:ascii="Cambria Math" w:hAnsi="Cambria Math" w:cstheme="minorHAnsi"/>
              </w:rPr>
              <m:t>F</m:t>
            </m:r>
          </m:e>
          <m:sub>
            <m:r>
              <w:rPr>
                <w:rFonts w:ascii="Cambria Math" w:hAnsi="Cambria Math" w:cstheme="minorHAnsi"/>
              </w:rPr>
              <m:t>α</m:t>
            </m:r>
          </m:sub>
        </m:sSub>
        <m:r>
          <m:rPr>
            <m:sty m:val="p"/>
          </m:rPr>
          <w:rPr>
            <w:rFonts w:ascii="Cambria Math" w:hAnsi="Cambria Math" w:cstheme="minorHAnsi"/>
          </w:rPr>
          <m:t>(</m:t>
        </m:r>
        <m:r>
          <w:rPr>
            <w:rFonts w:ascii="Cambria Math" w:hAnsi="Cambria Math" w:cstheme="minorHAnsi"/>
          </w:rPr>
          <m:t>x</m:t>
        </m:r>
        <m:r>
          <m:rPr>
            <m:sty m:val="p"/>
          </m:rPr>
          <w:rPr>
            <w:rFonts w:ascii="Cambria Math" w:hAnsi="Cambria Math" w:cstheme="minorHAnsi"/>
          </w:rPr>
          <m:t>)</m:t>
        </m:r>
      </m:oMath>
      <w:r w:rsidRPr="00104754">
        <w:rPr>
          <w:rFonts w:cstheme="minorHAnsi"/>
        </w:rPr>
        <w:t xml:space="preserve">, ou seja, os percentis, são necessários para o </w:t>
      </w:r>
      <w:r w:rsidR="00262509" w:rsidRPr="00104754">
        <w:rPr>
          <w:rFonts w:cstheme="minorHAnsi"/>
        </w:rPr>
        <w:t>cálculo aproximado do VaR.</w:t>
      </w:r>
      <w:r w:rsidRPr="00104754">
        <w:rPr>
          <w:rFonts w:cstheme="minorHAnsi"/>
        </w:rPr>
        <w:t xml:space="preserve"> </w:t>
      </w:r>
      <w:r w:rsidR="00262509" w:rsidRPr="00104754">
        <w:rPr>
          <w:rFonts w:cstheme="minorHAnsi"/>
        </w:rPr>
        <w:t xml:space="preserve">Além dos 03 fatores já mencionados, podemos adicionar </w:t>
      </w:r>
      <w:r w:rsidRPr="00104754">
        <w:rPr>
          <w:rFonts w:cstheme="minorHAnsi"/>
        </w:rPr>
        <w:t xml:space="preserve">a necessidade de determinar </w:t>
      </w:r>
      <w:r w:rsidR="00262509" w:rsidRPr="00104754">
        <w:rPr>
          <w:rFonts w:cstheme="minorHAnsi"/>
        </w:rPr>
        <w:t xml:space="preserve">a frequência </w:t>
      </w:r>
      <w:r w:rsidRPr="00104754">
        <w:rPr>
          <w:rFonts w:cstheme="minorHAnsi"/>
        </w:rPr>
        <w:t xml:space="preserve">empírica ou </w:t>
      </w:r>
      <w:r w:rsidR="00262509" w:rsidRPr="00104754">
        <w:rPr>
          <w:rFonts w:cstheme="minorHAnsi"/>
        </w:rPr>
        <w:t>a distribuição de probabilidade acumulada. Assim temos os elementos,</w:t>
      </w:r>
    </w:p>
    <w:p w14:paraId="0DBA49BE" w14:textId="77777777" w:rsidR="00262509" w:rsidRPr="00104754" w:rsidRDefault="00262509" w:rsidP="009A26BC">
      <w:pPr>
        <w:ind w:firstLine="708"/>
        <w:jc w:val="both"/>
        <w:rPr>
          <w:rFonts w:cstheme="minorHAnsi"/>
        </w:rPr>
      </w:pPr>
      <w:r w:rsidRPr="00104754">
        <w:rPr>
          <w:rFonts w:cstheme="minorHAnsi"/>
        </w:rPr>
        <w:t>1. Horizonte de tempo α.</w:t>
      </w:r>
    </w:p>
    <w:p w14:paraId="3EABA49D" w14:textId="77777777" w:rsidR="00262509" w:rsidRPr="00104754" w:rsidRDefault="00262509" w:rsidP="009A26BC">
      <w:pPr>
        <w:ind w:firstLine="708"/>
        <w:jc w:val="both"/>
        <w:rPr>
          <w:rFonts w:cstheme="minorHAnsi"/>
        </w:rPr>
      </w:pPr>
      <w:r w:rsidRPr="00104754">
        <w:rPr>
          <w:rFonts w:cstheme="minorHAnsi"/>
        </w:rPr>
        <w:t>2. Valor monetário do VaR.</w:t>
      </w:r>
    </w:p>
    <w:p w14:paraId="59D6E36A" w14:textId="77777777" w:rsidR="00262509" w:rsidRPr="00104754" w:rsidRDefault="00262509" w:rsidP="009A26BC">
      <w:pPr>
        <w:ind w:firstLine="708"/>
        <w:jc w:val="both"/>
        <w:rPr>
          <w:rFonts w:cstheme="minorHAnsi"/>
        </w:rPr>
      </w:pPr>
      <w:r w:rsidRPr="00104754">
        <w:rPr>
          <w:rFonts w:cstheme="minorHAnsi"/>
        </w:rPr>
        <w:t>3. Normalidade de mercado representada pelo intervalo de confiança.</w:t>
      </w:r>
    </w:p>
    <w:p w14:paraId="23DF452F" w14:textId="77777777" w:rsidR="00262509" w:rsidRPr="00104754" w:rsidRDefault="00262509" w:rsidP="009A26BC">
      <w:pPr>
        <w:ind w:firstLine="708"/>
        <w:jc w:val="both"/>
        <w:rPr>
          <w:rFonts w:cstheme="minorHAnsi"/>
        </w:rPr>
      </w:pPr>
      <w:r w:rsidRPr="00104754">
        <w:rPr>
          <w:rFonts w:cstheme="minorHAnsi"/>
        </w:rPr>
        <w:t>4. Frequência dos dados.</w:t>
      </w:r>
    </w:p>
    <w:p w14:paraId="476DD039" w14:textId="77777777" w:rsidR="00262509" w:rsidRPr="00104754" w:rsidRDefault="00262509" w:rsidP="009A26BC">
      <w:pPr>
        <w:ind w:firstLine="708"/>
        <w:jc w:val="both"/>
        <w:rPr>
          <w:rFonts w:cstheme="minorHAnsi"/>
        </w:rPr>
      </w:pPr>
      <w:r w:rsidRPr="00104754">
        <w:rPr>
          <w:rFonts w:cstheme="minorHAnsi"/>
        </w:rPr>
        <w:t>5. Distribuição de probabilidade acumulada Fα (x) e seus quantis.</w:t>
      </w:r>
    </w:p>
    <w:p w14:paraId="5ADA04BB" w14:textId="77777777" w:rsidR="00262509" w:rsidRPr="00104754" w:rsidRDefault="00262509" w:rsidP="009A26BC">
      <w:pPr>
        <w:ind w:firstLine="708"/>
        <w:jc w:val="both"/>
        <w:rPr>
          <w:rFonts w:cstheme="minorHAnsi"/>
        </w:rPr>
      </w:pPr>
    </w:p>
    <w:p w14:paraId="1E232FA7" w14:textId="171D5BEF" w:rsidR="00262509" w:rsidRPr="00104754" w:rsidRDefault="00262509" w:rsidP="003B57BB">
      <w:pPr>
        <w:ind w:firstLine="708"/>
        <w:jc w:val="both"/>
        <w:rPr>
          <w:rFonts w:cstheme="minorHAnsi"/>
        </w:rPr>
      </w:pPr>
      <w:r w:rsidRPr="00104754">
        <w:rPr>
          <w:rFonts w:cstheme="minorHAnsi"/>
        </w:rPr>
        <w:t xml:space="preserve">Embora conceitualmente simples, </w:t>
      </w:r>
      <w:r w:rsidR="003B57BB" w:rsidRPr="00104754">
        <w:rPr>
          <w:rFonts w:cstheme="minorHAnsi"/>
        </w:rPr>
        <w:t xml:space="preserve">forma de estimar </w:t>
      </w:r>
      <w:r w:rsidRPr="00104754">
        <w:rPr>
          <w:rFonts w:cstheme="minorHAnsi"/>
        </w:rPr>
        <w:t xml:space="preserve">VaR </w:t>
      </w:r>
      <w:r w:rsidR="003B57BB" w:rsidRPr="00104754">
        <w:rPr>
          <w:rFonts w:cstheme="minorHAnsi"/>
        </w:rPr>
        <w:t xml:space="preserve">a partir de dados reais </w:t>
      </w:r>
      <w:r w:rsidRPr="00104754">
        <w:rPr>
          <w:rFonts w:cstheme="minorHAnsi"/>
        </w:rPr>
        <w:t xml:space="preserve">têm tornaram-se sofisticados </w:t>
      </w:r>
      <w:r w:rsidR="003B57BB" w:rsidRPr="00104754">
        <w:rPr>
          <w:rFonts w:cstheme="minorHAnsi"/>
        </w:rPr>
        <w:t>nos últimos anos</w:t>
      </w:r>
      <w:r w:rsidRPr="00104754">
        <w:rPr>
          <w:rFonts w:cstheme="minorHAnsi"/>
        </w:rPr>
        <w:t>.</w:t>
      </w:r>
      <w:r w:rsidR="003B57BB" w:rsidRPr="00104754">
        <w:rPr>
          <w:rFonts w:cstheme="minorHAnsi"/>
        </w:rPr>
        <w:t xml:space="preserve"> </w:t>
      </w:r>
      <w:r w:rsidRPr="00104754">
        <w:rPr>
          <w:rFonts w:cstheme="minorHAnsi"/>
        </w:rPr>
        <w:t xml:space="preserve">De forma geral, os métodos de estimação do VaR podem ser organizados em três grandes categorias (Kim e Lee, 2016): </w:t>
      </w:r>
      <w:r w:rsidR="003B57BB" w:rsidRPr="00104754">
        <w:rPr>
          <w:rFonts w:cstheme="minorHAnsi"/>
        </w:rPr>
        <w:t>(i) M</w:t>
      </w:r>
      <w:r w:rsidRPr="00104754">
        <w:rPr>
          <w:rFonts w:cstheme="minorHAnsi"/>
        </w:rPr>
        <w:t xml:space="preserve">étodo paramétrico, </w:t>
      </w:r>
      <w:r w:rsidR="003B57BB" w:rsidRPr="00104754">
        <w:rPr>
          <w:rFonts w:cstheme="minorHAnsi"/>
        </w:rPr>
        <w:t>(ii) S</w:t>
      </w:r>
      <w:r w:rsidRPr="00104754">
        <w:rPr>
          <w:rFonts w:cstheme="minorHAnsi"/>
        </w:rPr>
        <w:t xml:space="preserve">emi-paramétrico e </w:t>
      </w:r>
      <w:r w:rsidR="003B57BB" w:rsidRPr="00104754">
        <w:rPr>
          <w:rFonts w:cstheme="minorHAnsi"/>
        </w:rPr>
        <w:t>(iii) N</w:t>
      </w:r>
      <w:r w:rsidRPr="00104754">
        <w:rPr>
          <w:rFonts w:cstheme="minorHAnsi"/>
        </w:rPr>
        <w:t>ão-paramétrico</w:t>
      </w:r>
      <w:r w:rsidR="003B57BB" w:rsidRPr="00104754">
        <w:rPr>
          <w:rFonts w:cstheme="minorHAnsi"/>
        </w:rPr>
        <w:t>.</w:t>
      </w:r>
    </w:p>
    <w:p w14:paraId="474B23E1" w14:textId="77777777" w:rsidR="00262509" w:rsidRPr="00104754" w:rsidRDefault="00262509" w:rsidP="009A26BC">
      <w:pPr>
        <w:ind w:firstLine="708"/>
        <w:jc w:val="both"/>
        <w:rPr>
          <w:rFonts w:cstheme="minorHAnsi"/>
        </w:rPr>
      </w:pPr>
      <w:r w:rsidRPr="00104754">
        <w:rPr>
          <w:rFonts w:cstheme="minorHAnsi"/>
        </w:rPr>
        <w:t xml:space="preserve">O método paramétrico consiste em gerar uma série de retornos monetários, onde os erros seguem uma distribuição específica. Por exemplo, o modelo Autorregressivo Condicionalmente Heteroscedástico e Generalizado (GARCH), que usa variação da série histórica para prever a volatilidade futura sob a hipótese de heterocedasticidade condicional. </w:t>
      </w:r>
    </w:p>
    <w:p w14:paraId="28AC4283" w14:textId="77777777" w:rsidR="00262509" w:rsidRPr="00104754" w:rsidRDefault="00262509" w:rsidP="009A26BC">
      <w:pPr>
        <w:ind w:firstLine="708"/>
        <w:jc w:val="both"/>
        <w:rPr>
          <w:rFonts w:cstheme="minorHAnsi"/>
        </w:rPr>
      </w:pPr>
      <w:r w:rsidRPr="00104754">
        <w:rPr>
          <w:rFonts w:cstheme="minorHAnsi"/>
        </w:rPr>
        <w:t xml:space="preserve">O método semi-paramétrico faz uso da regressão quantílica ou da Teoria do Valor Extremo (EVT) (Smith, 1989). O EVT permite modelar caudas extremas analisando a parte superior e quantis inferiores da distribuição correspondente, enquanto o método de regressão quantilica permite a estimação de quantis para representar perdas máximas. </w:t>
      </w:r>
    </w:p>
    <w:p w14:paraId="4CA23918" w14:textId="77777777" w:rsidR="009A26BC" w:rsidRPr="00104754" w:rsidRDefault="009A26BC" w:rsidP="009A26BC">
      <w:pPr>
        <w:ind w:firstLine="708"/>
        <w:jc w:val="both"/>
        <w:rPr>
          <w:rFonts w:cstheme="minorHAnsi"/>
        </w:rPr>
      </w:pPr>
      <w:r w:rsidRPr="00104754">
        <w:rPr>
          <w:rFonts w:cstheme="minorHAnsi"/>
        </w:rPr>
        <w:t>Um método não-paramétrico para calcular o Valor em Risco (VaR) consiste numa simulação histórica, onde o VaR é estimado com base no histórico de retornos do ativo ou da carteira em estudo, sem fazer suposições específicas sobre a distribuição de probabilidade dos retornos. Podemos resumir os passos do cálculo do VaR por simulação histórica nos seguintes passos:</w:t>
      </w:r>
    </w:p>
    <w:p w14:paraId="6D1E2931" w14:textId="77777777" w:rsidR="009A26BC" w:rsidRPr="00104754" w:rsidRDefault="009A26BC" w:rsidP="009A26BC">
      <w:pPr>
        <w:pStyle w:val="PargrafodaLista"/>
        <w:numPr>
          <w:ilvl w:val="0"/>
          <w:numId w:val="5"/>
        </w:numPr>
        <w:jc w:val="both"/>
        <w:rPr>
          <w:rFonts w:cstheme="minorHAnsi"/>
        </w:rPr>
      </w:pPr>
      <w:r w:rsidRPr="00104754">
        <w:rPr>
          <w:rFonts w:cstheme="minorHAnsi"/>
        </w:rPr>
        <w:t>Obter uma série histórica de retornos do ativo ou da carteira.</w:t>
      </w:r>
    </w:p>
    <w:p w14:paraId="28C653DB" w14:textId="77777777" w:rsidR="009A26BC" w:rsidRPr="00104754" w:rsidRDefault="009A26BC" w:rsidP="009A26BC">
      <w:pPr>
        <w:pStyle w:val="PargrafodaLista"/>
        <w:numPr>
          <w:ilvl w:val="0"/>
          <w:numId w:val="5"/>
        </w:numPr>
        <w:jc w:val="both"/>
        <w:rPr>
          <w:rFonts w:cstheme="minorHAnsi"/>
        </w:rPr>
      </w:pPr>
      <w:r w:rsidRPr="00104754">
        <w:rPr>
          <w:rFonts w:cstheme="minorHAnsi"/>
        </w:rPr>
        <w:t>Definir um nível de confiança desejado para o VaR, por exemplo, 95% ou 99%.</w:t>
      </w:r>
    </w:p>
    <w:p w14:paraId="6FDD02FE" w14:textId="77777777" w:rsidR="009A26BC" w:rsidRPr="00104754" w:rsidRDefault="009A26BC" w:rsidP="009A26BC">
      <w:pPr>
        <w:pStyle w:val="PargrafodaLista"/>
        <w:numPr>
          <w:ilvl w:val="0"/>
          <w:numId w:val="5"/>
        </w:numPr>
        <w:jc w:val="both"/>
        <w:rPr>
          <w:rFonts w:cstheme="minorHAnsi"/>
        </w:rPr>
      </w:pPr>
      <w:r w:rsidRPr="00104754">
        <w:rPr>
          <w:rFonts w:cstheme="minorHAnsi"/>
        </w:rPr>
        <w:lastRenderedPageBreak/>
        <w:t>Com base no nível de confiança, definir um ponto de corte correspondente. Por exemplo, se o nível de confiança for 95%, o ponto de corte será o valor abaixo do qual os 5% piores retornos ocorreram.</w:t>
      </w:r>
    </w:p>
    <w:p w14:paraId="1D0804FE" w14:textId="33D15260" w:rsidR="009A26BC" w:rsidRPr="00104754" w:rsidRDefault="009A26BC" w:rsidP="009A26BC">
      <w:pPr>
        <w:pStyle w:val="PargrafodaLista"/>
        <w:numPr>
          <w:ilvl w:val="0"/>
          <w:numId w:val="5"/>
        </w:numPr>
        <w:jc w:val="both"/>
        <w:rPr>
          <w:rFonts w:cstheme="minorHAnsi"/>
        </w:rPr>
      </w:pPr>
      <w:r w:rsidRPr="00104754">
        <w:rPr>
          <w:rFonts w:cstheme="minorHAnsi"/>
        </w:rPr>
        <w:t xml:space="preserve">Obter o VaR correspondente ao ponto de corte. </w:t>
      </w:r>
    </w:p>
    <w:p w14:paraId="70363908" w14:textId="77777777" w:rsidR="009A26BC" w:rsidRPr="00104754" w:rsidRDefault="009A26BC" w:rsidP="009A26BC">
      <w:pPr>
        <w:ind w:firstLine="708"/>
        <w:jc w:val="both"/>
        <w:rPr>
          <w:rFonts w:cstheme="minorHAnsi"/>
        </w:rPr>
      </w:pPr>
    </w:p>
    <w:p w14:paraId="65713616" w14:textId="74A45ABD" w:rsidR="009A26BC" w:rsidRPr="00104754" w:rsidRDefault="009A26BC" w:rsidP="009A26BC">
      <w:pPr>
        <w:ind w:firstLine="708"/>
        <w:jc w:val="both"/>
        <w:rPr>
          <w:rFonts w:cstheme="minorHAnsi"/>
        </w:rPr>
      </w:pPr>
      <w:r w:rsidRPr="00104754">
        <w:rPr>
          <w:rFonts w:cstheme="minorHAnsi"/>
        </w:rPr>
        <w:t xml:space="preserve">A desvantagem do método não-paramétrico é por não considerar eventos extremos que não ocorreram no período histórico analisado, ou seja, esses valores não existem na série histórica. </w:t>
      </w:r>
    </w:p>
    <w:p w14:paraId="0A1955B6" w14:textId="77777777" w:rsidR="007D1E3C" w:rsidRPr="00B12D00" w:rsidRDefault="007D1E3C" w:rsidP="00FC160E">
      <w:pPr>
        <w:jc w:val="both"/>
        <w:rPr>
          <w:rFonts w:cstheme="minorHAnsi"/>
          <w:sz w:val="24"/>
          <w:szCs w:val="24"/>
        </w:rPr>
      </w:pPr>
    </w:p>
    <w:p w14:paraId="6497C993" w14:textId="77777777" w:rsidR="00A76200" w:rsidRPr="00B12D00" w:rsidRDefault="00A76200" w:rsidP="00A76200">
      <w:pPr>
        <w:pStyle w:val="PargrafodaLista"/>
        <w:numPr>
          <w:ilvl w:val="0"/>
          <w:numId w:val="2"/>
        </w:numPr>
        <w:rPr>
          <w:rFonts w:cstheme="minorHAnsi"/>
          <w:b/>
          <w:bCs/>
          <w:lang w:val="en-US"/>
        </w:rPr>
      </w:pPr>
      <w:r w:rsidRPr="00B12D00">
        <w:rPr>
          <w:rFonts w:cstheme="minorHAnsi"/>
          <w:b/>
          <w:bCs/>
          <w:lang w:val="en-US"/>
        </w:rPr>
        <w:t>Base de dados</w:t>
      </w:r>
    </w:p>
    <w:p w14:paraId="27A25436" w14:textId="0996606B" w:rsidR="00A76200" w:rsidRPr="00104754" w:rsidRDefault="00A76200" w:rsidP="00FC160E">
      <w:pPr>
        <w:ind w:firstLine="360"/>
        <w:jc w:val="both"/>
        <w:rPr>
          <w:rFonts w:cstheme="minorHAnsi"/>
        </w:rPr>
      </w:pPr>
      <w:r w:rsidRPr="00104754">
        <w:rPr>
          <w:rFonts w:cstheme="minorHAnsi"/>
        </w:rPr>
        <w:t xml:space="preserve">A base de dados utilizada para a análise é composta de uma concatenação entre três diferentes fontes de informações: Relação Anual de Informações Sociais (RAIS/MTE), Estatísticas Bancárias Mensais (ESTBAN/BACEN), e Spread das Operações Indiretas de Empréstimos do BNDES (SPREAD/BACEN). </w:t>
      </w:r>
    </w:p>
    <w:p w14:paraId="19856AF8" w14:textId="77777777" w:rsidR="00A76200" w:rsidRPr="00104754" w:rsidRDefault="00A76200" w:rsidP="00FC160E">
      <w:pPr>
        <w:pStyle w:val="PargrafodaLista"/>
        <w:numPr>
          <w:ilvl w:val="0"/>
          <w:numId w:val="3"/>
        </w:numPr>
        <w:jc w:val="both"/>
        <w:rPr>
          <w:rFonts w:cstheme="minorHAnsi"/>
        </w:rPr>
      </w:pPr>
      <w:r w:rsidRPr="00104754">
        <w:rPr>
          <w:rFonts w:cstheme="minorHAnsi"/>
          <w:b/>
          <w:bCs/>
        </w:rPr>
        <w:t>Informações de Empresas (RAIS):</w:t>
      </w:r>
      <w:r w:rsidRPr="00104754">
        <w:rPr>
          <w:rFonts w:cstheme="minorHAnsi"/>
        </w:rPr>
        <w:t xml:space="preserve"> Pessoal ocupado total, Idade média, Massa salarial, Pessoal ocupado com nível superior, Taxa de rotatividade, Natureza jurídica, percentual de engenheiros e participação de mercado.</w:t>
      </w:r>
    </w:p>
    <w:p w14:paraId="2E656D48" w14:textId="77777777" w:rsidR="00A76200" w:rsidRPr="00104754" w:rsidRDefault="00A76200" w:rsidP="00FC160E">
      <w:pPr>
        <w:pStyle w:val="PargrafodaLista"/>
        <w:numPr>
          <w:ilvl w:val="0"/>
          <w:numId w:val="3"/>
        </w:numPr>
        <w:jc w:val="both"/>
        <w:rPr>
          <w:rFonts w:cstheme="minorHAnsi"/>
        </w:rPr>
      </w:pPr>
      <w:r w:rsidRPr="00104754">
        <w:rPr>
          <w:rFonts w:cstheme="minorHAnsi"/>
          <w:b/>
          <w:bCs/>
        </w:rPr>
        <w:t>Informações dos Bancos (ESTBAN):</w:t>
      </w:r>
      <w:r w:rsidRPr="00104754">
        <w:rPr>
          <w:rFonts w:cstheme="minorHAnsi"/>
        </w:rPr>
        <w:t xml:space="preserve"> Conglomerado, Segmento (B1, B2, B3, B4, N1), Ativo total, Carteira crédito do banco, Passivo circulante, Captações de mercado, Patrimônio líquido, Lucro líquido, Número agências bancárias e Número de Postos Atendimento.</w:t>
      </w:r>
    </w:p>
    <w:p w14:paraId="041E3E0C" w14:textId="77777777" w:rsidR="00A76200" w:rsidRPr="00B12D00" w:rsidRDefault="00A76200" w:rsidP="00A76200">
      <w:pPr>
        <w:pStyle w:val="PargrafodaLista"/>
        <w:rPr>
          <w:rFonts w:cstheme="minorHAnsi"/>
          <w:sz w:val="24"/>
          <w:szCs w:val="24"/>
        </w:rPr>
      </w:pPr>
    </w:p>
    <w:p w14:paraId="173F1280" w14:textId="007B85BF" w:rsidR="00A76200" w:rsidRPr="0063523E" w:rsidRDefault="00A76200" w:rsidP="00A76200">
      <w:pPr>
        <w:pStyle w:val="Legenda"/>
        <w:keepNext/>
        <w:rPr>
          <w:rFonts w:cstheme="minorHAnsi"/>
          <w:b/>
          <w:bCs/>
          <w:i w:val="0"/>
          <w:iCs w:val="0"/>
          <w:color w:val="auto"/>
          <w:sz w:val="22"/>
          <w:szCs w:val="22"/>
        </w:rPr>
      </w:pPr>
      <w:r w:rsidRPr="0063523E">
        <w:rPr>
          <w:rFonts w:cstheme="minorHAnsi"/>
          <w:b/>
          <w:bCs/>
          <w:i w:val="0"/>
          <w:iCs w:val="0"/>
          <w:color w:val="auto"/>
          <w:sz w:val="22"/>
          <w:szCs w:val="22"/>
        </w:rPr>
        <w:t xml:space="preserve">Tabela </w:t>
      </w:r>
      <w:r w:rsidRPr="0063523E">
        <w:rPr>
          <w:rFonts w:cstheme="minorHAnsi"/>
          <w:b/>
          <w:bCs/>
          <w:i w:val="0"/>
          <w:iCs w:val="0"/>
          <w:color w:val="auto"/>
          <w:sz w:val="22"/>
          <w:szCs w:val="22"/>
        </w:rPr>
        <w:fldChar w:fldCharType="begin"/>
      </w:r>
      <w:r w:rsidRPr="0063523E">
        <w:rPr>
          <w:rFonts w:cstheme="minorHAnsi"/>
          <w:b/>
          <w:bCs/>
          <w:i w:val="0"/>
          <w:iCs w:val="0"/>
          <w:color w:val="auto"/>
          <w:sz w:val="22"/>
          <w:szCs w:val="22"/>
        </w:rPr>
        <w:instrText xml:space="preserve"> SEQ Table \* ARABIC </w:instrText>
      </w:r>
      <w:r w:rsidRPr="0063523E">
        <w:rPr>
          <w:rFonts w:cstheme="minorHAnsi"/>
          <w:b/>
          <w:bCs/>
          <w:i w:val="0"/>
          <w:iCs w:val="0"/>
          <w:color w:val="auto"/>
          <w:sz w:val="22"/>
          <w:szCs w:val="22"/>
        </w:rPr>
        <w:fldChar w:fldCharType="separate"/>
      </w:r>
      <w:r w:rsidR="00104754">
        <w:rPr>
          <w:rFonts w:cstheme="minorHAnsi"/>
          <w:b/>
          <w:bCs/>
          <w:i w:val="0"/>
          <w:iCs w:val="0"/>
          <w:noProof/>
          <w:color w:val="auto"/>
          <w:sz w:val="22"/>
          <w:szCs w:val="22"/>
        </w:rPr>
        <w:t>1</w:t>
      </w:r>
      <w:r w:rsidRPr="0063523E">
        <w:rPr>
          <w:rFonts w:cstheme="minorHAnsi"/>
          <w:b/>
          <w:bCs/>
          <w:i w:val="0"/>
          <w:iCs w:val="0"/>
          <w:color w:val="auto"/>
          <w:sz w:val="22"/>
          <w:szCs w:val="22"/>
        </w:rPr>
        <w:fldChar w:fldCharType="end"/>
      </w:r>
      <w:r w:rsidRPr="0063523E">
        <w:rPr>
          <w:rFonts w:cstheme="minorHAnsi"/>
          <w:b/>
          <w:bCs/>
          <w:i w:val="0"/>
          <w:iCs w:val="0"/>
          <w:color w:val="auto"/>
          <w:sz w:val="22"/>
          <w:szCs w:val="22"/>
        </w:rPr>
        <w:t>: Quantidade de operações por segmento bancário das instituições financeiras.</w:t>
      </w:r>
    </w:p>
    <w:tbl>
      <w:tblPr>
        <w:tblW w:w="8505" w:type="dxa"/>
        <w:tblBorders>
          <w:top w:val="single" w:sz="4" w:space="0" w:color="auto"/>
          <w:bottom w:val="single" w:sz="4" w:space="0" w:color="auto"/>
        </w:tblBorders>
        <w:tblCellMar>
          <w:left w:w="0" w:type="dxa"/>
          <w:right w:w="0" w:type="dxa"/>
        </w:tblCellMar>
        <w:tblLook w:val="0600" w:firstRow="0" w:lastRow="0" w:firstColumn="0" w:lastColumn="0" w:noHBand="1" w:noVBand="1"/>
      </w:tblPr>
      <w:tblGrid>
        <w:gridCol w:w="2646"/>
        <w:gridCol w:w="2646"/>
        <w:gridCol w:w="3213"/>
      </w:tblGrid>
      <w:tr w:rsidR="00A76200" w:rsidRPr="00B12D00" w14:paraId="0C0F59D9" w14:textId="77777777" w:rsidTr="003C0818">
        <w:trPr>
          <w:trHeight w:val="261"/>
        </w:trPr>
        <w:tc>
          <w:tcPr>
            <w:tcW w:w="2646" w:type="dxa"/>
            <w:tcBorders>
              <w:top w:val="single" w:sz="4" w:space="0" w:color="auto"/>
              <w:bottom w:val="single" w:sz="4" w:space="0" w:color="auto"/>
            </w:tcBorders>
            <w:shd w:val="clear" w:color="auto" w:fill="auto"/>
            <w:tcMar>
              <w:top w:w="15" w:type="dxa"/>
              <w:left w:w="15" w:type="dxa"/>
              <w:bottom w:w="0" w:type="dxa"/>
              <w:right w:w="15" w:type="dxa"/>
            </w:tcMar>
            <w:vAlign w:val="center"/>
            <w:hideMark/>
          </w:tcPr>
          <w:p w14:paraId="69B57E8E" w14:textId="77777777" w:rsidR="00A76200" w:rsidRPr="00B12D00" w:rsidRDefault="00A76200" w:rsidP="003C0818">
            <w:pPr>
              <w:spacing w:after="0" w:line="240" w:lineRule="auto"/>
              <w:jc w:val="center"/>
              <w:rPr>
                <w:rFonts w:cstheme="minorHAnsi"/>
              </w:rPr>
            </w:pPr>
            <w:r w:rsidRPr="00B12D00">
              <w:rPr>
                <w:rFonts w:cstheme="minorHAnsi"/>
              </w:rPr>
              <w:t>TCB</w:t>
            </w:r>
          </w:p>
        </w:tc>
        <w:tc>
          <w:tcPr>
            <w:tcW w:w="2646" w:type="dxa"/>
            <w:tcBorders>
              <w:top w:val="single" w:sz="4" w:space="0" w:color="auto"/>
              <w:bottom w:val="single" w:sz="4" w:space="0" w:color="auto"/>
            </w:tcBorders>
            <w:shd w:val="clear" w:color="auto" w:fill="auto"/>
            <w:tcMar>
              <w:top w:w="15" w:type="dxa"/>
              <w:left w:w="15" w:type="dxa"/>
              <w:bottom w:w="0" w:type="dxa"/>
              <w:right w:w="15" w:type="dxa"/>
            </w:tcMar>
            <w:vAlign w:val="center"/>
            <w:hideMark/>
          </w:tcPr>
          <w:p w14:paraId="72C5076B" w14:textId="77777777" w:rsidR="00A76200" w:rsidRPr="00B12D00" w:rsidRDefault="00A76200" w:rsidP="003C0818">
            <w:pPr>
              <w:spacing w:after="0" w:line="240" w:lineRule="auto"/>
              <w:jc w:val="center"/>
              <w:rPr>
                <w:rFonts w:cstheme="minorHAnsi"/>
              </w:rPr>
            </w:pPr>
            <w:r w:rsidRPr="00B12D00">
              <w:rPr>
                <w:rFonts w:cstheme="minorHAnsi"/>
              </w:rPr>
              <w:t>Frequência</w:t>
            </w:r>
          </w:p>
        </w:tc>
        <w:tc>
          <w:tcPr>
            <w:tcW w:w="3213" w:type="dxa"/>
            <w:tcBorders>
              <w:top w:val="single" w:sz="4" w:space="0" w:color="auto"/>
              <w:bottom w:val="single" w:sz="4" w:space="0" w:color="auto"/>
            </w:tcBorders>
            <w:shd w:val="clear" w:color="auto" w:fill="auto"/>
            <w:tcMar>
              <w:top w:w="15" w:type="dxa"/>
              <w:left w:w="15" w:type="dxa"/>
              <w:bottom w:w="0" w:type="dxa"/>
              <w:right w:w="15" w:type="dxa"/>
            </w:tcMar>
            <w:vAlign w:val="center"/>
            <w:hideMark/>
          </w:tcPr>
          <w:p w14:paraId="0BBA7B0D" w14:textId="77777777" w:rsidR="00A76200" w:rsidRPr="00B12D00" w:rsidRDefault="00A76200" w:rsidP="003C0818">
            <w:pPr>
              <w:spacing w:after="0" w:line="240" w:lineRule="auto"/>
              <w:jc w:val="center"/>
              <w:rPr>
                <w:rFonts w:cstheme="minorHAnsi"/>
              </w:rPr>
            </w:pPr>
            <w:r w:rsidRPr="00B12D00">
              <w:rPr>
                <w:rFonts w:cstheme="minorHAnsi"/>
              </w:rPr>
              <w:t>%</w:t>
            </w:r>
          </w:p>
        </w:tc>
      </w:tr>
      <w:tr w:rsidR="00A76200" w:rsidRPr="00B12D00" w14:paraId="46F48B36" w14:textId="77777777" w:rsidTr="003C0818">
        <w:trPr>
          <w:trHeight w:val="300"/>
        </w:trPr>
        <w:tc>
          <w:tcPr>
            <w:tcW w:w="2646" w:type="dxa"/>
            <w:tcBorders>
              <w:top w:val="single" w:sz="4" w:space="0" w:color="auto"/>
            </w:tcBorders>
            <w:shd w:val="clear" w:color="auto" w:fill="auto"/>
            <w:tcMar>
              <w:top w:w="15" w:type="dxa"/>
              <w:left w:w="15" w:type="dxa"/>
              <w:bottom w:w="0" w:type="dxa"/>
              <w:right w:w="15" w:type="dxa"/>
            </w:tcMar>
            <w:vAlign w:val="center"/>
            <w:hideMark/>
          </w:tcPr>
          <w:p w14:paraId="43F68F2E" w14:textId="77777777" w:rsidR="00A76200" w:rsidRPr="00B12D00" w:rsidRDefault="00A76200" w:rsidP="003C0818">
            <w:pPr>
              <w:spacing w:after="0" w:line="240" w:lineRule="auto"/>
              <w:jc w:val="center"/>
              <w:rPr>
                <w:rFonts w:cstheme="minorHAnsi"/>
              </w:rPr>
            </w:pPr>
            <w:r w:rsidRPr="00B12D00">
              <w:rPr>
                <w:rFonts w:cstheme="minorHAnsi"/>
              </w:rPr>
              <w:t>b1</w:t>
            </w:r>
          </w:p>
        </w:tc>
        <w:tc>
          <w:tcPr>
            <w:tcW w:w="2646" w:type="dxa"/>
            <w:tcBorders>
              <w:top w:val="single" w:sz="4" w:space="0" w:color="auto"/>
            </w:tcBorders>
            <w:shd w:val="clear" w:color="auto" w:fill="auto"/>
            <w:tcMar>
              <w:top w:w="15" w:type="dxa"/>
              <w:left w:w="15" w:type="dxa"/>
              <w:bottom w:w="0" w:type="dxa"/>
              <w:right w:w="15" w:type="dxa"/>
            </w:tcMar>
            <w:vAlign w:val="center"/>
            <w:hideMark/>
          </w:tcPr>
          <w:p w14:paraId="64DFBE23" w14:textId="77777777" w:rsidR="00A76200" w:rsidRPr="00B12D00" w:rsidRDefault="00A76200" w:rsidP="003C0818">
            <w:pPr>
              <w:spacing w:after="0" w:line="240" w:lineRule="auto"/>
              <w:jc w:val="center"/>
              <w:rPr>
                <w:rFonts w:cstheme="minorHAnsi"/>
              </w:rPr>
            </w:pPr>
            <w:r w:rsidRPr="00B12D00">
              <w:rPr>
                <w:rFonts w:cstheme="minorHAnsi"/>
              </w:rPr>
              <w:t>34.647</w:t>
            </w:r>
          </w:p>
        </w:tc>
        <w:tc>
          <w:tcPr>
            <w:tcW w:w="3213" w:type="dxa"/>
            <w:tcBorders>
              <w:top w:val="single" w:sz="4" w:space="0" w:color="auto"/>
            </w:tcBorders>
            <w:shd w:val="clear" w:color="auto" w:fill="auto"/>
            <w:tcMar>
              <w:top w:w="15" w:type="dxa"/>
              <w:left w:w="15" w:type="dxa"/>
              <w:bottom w:w="0" w:type="dxa"/>
              <w:right w:w="15" w:type="dxa"/>
            </w:tcMar>
            <w:vAlign w:val="center"/>
            <w:hideMark/>
          </w:tcPr>
          <w:p w14:paraId="768E2A2A" w14:textId="77777777" w:rsidR="00A76200" w:rsidRPr="00B12D00" w:rsidRDefault="00A76200" w:rsidP="003C0818">
            <w:pPr>
              <w:spacing w:after="0" w:line="240" w:lineRule="auto"/>
              <w:jc w:val="center"/>
              <w:rPr>
                <w:rFonts w:cstheme="minorHAnsi"/>
              </w:rPr>
            </w:pPr>
            <w:r w:rsidRPr="00B12D00">
              <w:rPr>
                <w:rFonts w:cstheme="minorHAnsi"/>
              </w:rPr>
              <w:t>58,63</w:t>
            </w:r>
          </w:p>
        </w:tc>
      </w:tr>
      <w:tr w:rsidR="00A76200" w:rsidRPr="00B12D00" w14:paraId="2919592B" w14:textId="77777777" w:rsidTr="003C0818">
        <w:trPr>
          <w:trHeight w:val="300"/>
        </w:trPr>
        <w:tc>
          <w:tcPr>
            <w:tcW w:w="2646" w:type="dxa"/>
            <w:shd w:val="clear" w:color="auto" w:fill="auto"/>
            <w:tcMar>
              <w:top w:w="15" w:type="dxa"/>
              <w:left w:w="15" w:type="dxa"/>
              <w:bottom w:w="0" w:type="dxa"/>
              <w:right w:w="15" w:type="dxa"/>
            </w:tcMar>
            <w:vAlign w:val="center"/>
            <w:hideMark/>
          </w:tcPr>
          <w:p w14:paraId="2E8D7D7F" w14:textId="77777777" w:rsidR="00A76200" w:rsidRPr="00B12D00" w:rsidRDefault="00A76200" w:rsidP="003C0818">
            <w:pPr>
              <w:spacing w:after="0" w:line="240" w:lineRule="auto"/>
              <w:jc w:val="center"/>
              <w:rPr>
                <w:rFonts w:cstheme="minorHAnsi"/>
              </w:rPr>
            </w:pPr>
            <w:r w:rsidRPr="00B12D00">
              <w:rPr>
                <w:rFonts w:cstheme="minorHAnsi"/>
              </w:rPr>
              <w:t>b2</w:t>
            </w:r>
          </w:p>
        </w:tc>
        <w:tc>
          <w:tcPr>
            <w:tcW w:w="2646" w:type="dxa"/>
            <w:shd w:val="clear" w:color="auto" w:fill="auto"/>
            <w:tcMar>
              <w:top w:w="15" w:type="dxa"/>
              <w:left w:w="15" w:type="dxa"/>
              <w:bottom w:w="0" w:type="dxa"/>
              <w:right w:w="15" w:type="dxa"/>
            </w:tcMar>
            <w:vAlign w:val="center"/>
            <w:hideMark/>
          </w:tcPr>
          <w:p w14:paraId="051433AD" w14:textId="77777777" w:rsidR="00A76200" w:rsidRPr="00B12D00" w:rsidRDefault="00A76200" w:rsidP="003C0818">
            <w:pPr>
              <w:spacing w:after="0" w:line="240" w:lineRule="auto"/>
              <w:jc w:val="center"/>
              <w:rPr>
                <w:rFonts w:cstheme="minorHAnsi"/>
              </w:rPr>
            </w:pPr>
            <w:r w:rsidRPr="00B12D00">
              <w:rPr>
                <w:rFonts w:cstheme="minorHAnsi"/>
              </w:rPr>
              <w:t>22.218</w:t>
            </w:r>
          </w:p>
        </w:tc>
        <w:tc>
          <w:tcPr>
            <w:tcW w:w="3213" w:type="dxa"/>
            <w:shd w:val="clear" w:color="auto" w:fill="auto"/>
            <w:tcMar>
              <w:top w:w="15" w:type="dxa"/>
              <w:left w:w="15" w:type="dxa"/>
              <w:bottom w:w="0" w:type="dxa"/>
              <w:right w:w="15" w:type="dxa"/>
            </w:tcMar>
            <w:vAlign w:val="center"/>
            <w:hideMark/>
          </w:tcPr>
          <w:p w14:paraId="730F32B6" w14:textId="77777777" w:rsidR="00A76200" w:rsidRPr="00B12D00" w:rsidRDefault="00A76200" w:rsidP="003C0818">
            <w:pPr>
              <w:spacing w:after="0" w:line="240" w:lineRule="auto"/>
              <w:jc w:val="center"/>
              <w:rPr>
                <w:rFonts w:cstheme="minorHAnsi"/>
              </w:rPr>
            </w:pPr>
            <w:r w:rsidRPr="00B12D00">
              <w:rPr>
                <w:rFonts w:cstheme="minorHAnsi"/>
              </w:rPr>
              <w:t>37,60</w:t>
            </w:r>
          </w:p>
        </w:tc>
      </w:tr>
      <w:tr w:rsidR="00A76200" w:rsidRPr="00B12D00" w14:paraId="53FEAB07" w14:textId="77777777" w:rsidTr="003C0818">
        <w:trPr>
          <w:trHeight w:val="300"/>
        </w:trPr>
        <w:tc>
          <w:tcPr>
            <w:tcW w:w="2646" w:type="dxa"/>
            <w:shd w:val="clear" w:color="auto" w:fill="auto"/>
            <w:tcMar>
              <w:top w:w="15" w:type="dxa"/>
              <w:left w:w="15" w:type="dxa"/>
              <w:bottom w:w="0" w:type="dxa"/>
              <w:right w:w="15" w:type="dxa"/>
            </w:tcMar>
            <w:vAlign w:val="center"/>
            <w:hideMark/>
          </w:tcPr>
          <w:p w14:paraId="4C7E9392" w14:textId="77777777" w:rsidR="00A76200" w:rsidRPr="00B12D00" w:rsidRDefault="00A76200" w:rsidP="003C0818">
            <w:pPr>
              <w:spacing w:after="0" w:line="240" w:lineRule="auto"/>
              <w:jc w:val="center"/>
              <w:rPr>
                <w:rFonts w:cstheme="minorHAnsi"/>
              </w:rPr>
            </w:pPr>
            <w:r w:rsidRPr="00B12D00">
              <w:rPr>
                <w:rFonts w:cstheme="minorHAnsi"/>
              </w:rPr>
              <w:t>b3</w:t>
            </w:r>
          </w:p>
        </w:tc>
        <w:tc>
          <w:tcPr>
            <w:tcW w:w="2646" w:type="dxa"/>
            <w:shd w:val="clear" w:color="auto" w:fill="auto"/>
            <w:tcMar>
              <w:top w:w="15" w:type="dxa"/>
              <w:left w:w="15" w:type="dxa"/>
              <w:bottom w:w="0" w:type="dxa"/>
              <w:right w:w="15" w:type="dxa"/>
            </w:tcMar>
            <w:vAlign w:val="center"/>
            <w:hideMark/>
          </w:tcPr>
          <w:p w14:paraId="2EF036C9" w14:textId="77777777" w:rsidR="00A76200" w:rsidRPr="00B12D00" w:rsidRDefault="00A76200" w:rsidP="003C0818">
            <w:pPr>
              <w:spacing w:after="0" w:line="240" w:lineRule="auto"/>
              <w:jc w:val="center"/>
              <w:rPr>
                <w:rFonts w:cstheme="minorHAnsi"/>
              </w:rPr>
            </w:pPr>
            <w:r w:rsidRPr="00B12D00">
              <w:rPr>
                <w:rFonts w:cstheme="minorHAnsi"/>
              </w:rPr>
              <w:t>229</w:t>
            </w:r>
          </w:p>
        </w:tc>
        <w:tc>
          <w:tcPr>
            <w:tcW w:w="3213" w:type="dxa"/>
            <w:shd w:val="clear" w:color="auto" w:fill="auto"/>
            <w:tcMar>
              <w:top w:w="15" w:type="dxa"/>
              <w:left w:w="15" w:type="dxa"/>
              <w:bottom w:w="0" w:type="dxa"/>
              <w:right w:w="15" w:type="dxa"/>
            </w:tcMar>
            <w:vAlign w:val="center"/>
            <w:hideMark/>
          </w:tcPr>
          <w:p w14:paraId="50728254" w14:textId="77777777" w:rsidR="00A76200" w:rsidRPr="00B12D00" w:rsidRDefault="00A76200" w:rsidP="003C0818">
            <w:pPr>
              <w:spacing w:after="0" w:line="240" w:lineRule="auto"/>
              <w:jc w:val="center"/>
              <w:rPr>
                <w:rFonts w:cstheme="minorHAnsi"/>
              </w:rPr>
            </w:pPr>
            <w:r w:rsidRPr="00B12D00">
              <w:rPr>
                <w:rFonts w:cstheme="minorHAnsi"/>
              </w:rPr>
              <w:t>0,39</w:t>
            </w:r>
          </w:p>
        </w:tc>
      </w:tr>
      <w:tr w:rsidR="00A76200" w:rsidRPr="00B12D00" w14:paraId="6655520D" w14:textId="77777777" w:rsidTr="003C0818">
        <w:trPr>
          <w:trHeight w:val="287"/>
        </w:trPr>
        <w:tc>
          <w:tcPr>
            <w:tcW w:w="2646" w:type="dxa"/>
            <w:shd w:val="clear" w:color="auto" w:fill="auto"/>
            <w:tcMar>
              <w:top w:w="15" w:type="dxa"/>
              <w:left w:w="15" w:type="dxa"/>
              <w:bottom w:w="0" w:type="dxa"/>
              <w:right w:w="15" w:type="dxa"/>
            </w:tcMar>
            <w:vAlign w:val="center"/>
            <w:hideMark/>
          </w:tcPr>
          <w:p w14:paraId="6BF41590" w14:textId="77777777" w:rsidR="00A76200" w:rsidRPr="00B12D00" w:rsidRDefault="00A76200" w:rsidP="003C0818">
            <w:pPr>
              <w:spacing w:after="0" w:line="240" w:lineRule="auto"/>
              <w:jc w:val="center"/>
              <w:rPr>
                <w:rFonts w:cstheme="minorHAnsi"/>
              </w:rPr>
            </w:pPr>
            <w:r w:rsidRPr="00B12D00">
              <w:rPr>
                <w:rFonts w:cstheme="minorHAnsi"/>
              </w:rPr>
              <w:t>b4</w:t>
            </w:r>
          </w:p>
        </w:tc>
        <w:tc>
          <w:tcPr>
            <w:tcW w:w="2646" w:type="dxa"/>
            <w:shd w:val="clear" w:color="auto" w:fill="auto"/>
            <w:tcMar>
              <w:top w:w="15" w:type="dxa"/>
              <w:left w:w="15" w:type="dxa"/>
              <w:bottom w:w="0" w:type="dxa"/>
              <w:right w:w="15" w:type="dxa"/>
            </w:tcMar>
            <w:vAlign w:val="center"/>
            <w:hideMark/>
          </w:tcPr>
          <w:p w14:paraId="0DEC3658" w14:textId="77777777" w:rsidR="00A76200" w:rsidRPr="00B12D00" w:rsidRDefault="00A76200" w:rsidP="003C0818">
            <w:pPr>
              <w:spacing w:after="0" w:line="240" w:lineRule="auto"/>
              <w:jc w:val="center"/>
              <w:rPr>
                <w:rFonts w:cstheme="minorHAnsi"/>
              </w:rPr>
            </w:pPr>
            <w:r w:rsidRPr="00B12D00">
              <w:rPr>
                <w:rFonts w:cstheme="minorHAnsi"/>
              </w:rPr>
              <w:t>1.447</w:t>
            </w:r>
          </w:p>
        </w:tc>
        <w:tc>
          <w:tcPr>
            <w:tcW w:w="3213" w:type="dxa"/>
            <w:shd w:val="clear" w:color="auto" w:fill="auto"/>
            <w:tcMar>
              <w:top w:w="15" w:type="dxa"/>
              <w:left w:w="15" w:type="dxa"/>
              <w:bottom w:w="0" w:type="dxa"/>
              <w:right w:w="15" w:type="dxa"/>
            </w:tcMar>
            <w:vAlign w:val="center"/>
            <w:hideMark/>
          </w:tcPr>
          <w:p w14:paraId="39ED795A" w14:textId="77777777" w:rsidR="00A76200" w:rsidRPr="00B12D00" w:rsidRDefault="00A76200" w:rsidP="003C0818">
            <w:pPr>
              <w:spacing w:after="0" w:line="240" w:lineRule="auto"/>
              <w:jc w:val="center"/>
              <w:rPr>
                <w:rFonts w:cstheme="minorHAnsi"/>
              </w:rPr>
            </w:pPr>
            <w:r w:rsidRPr="00B12D00">
              <w:rPr>
                <w:rFonts w:cstheme="minorHAnsi"/>
              </w:rPr>
              <w:t>2,45</w:t>
            </w:r>
          </w:p>
        </w:tc>
      </w:tr>
      <w:tr w:rsidR="00A76200" w:rsidRPr="00B12D00" w14:paraId="4BA449A6" w14:textId="77777777" w:rsidTr="003C0818">
        <w:trPr>
          <w:trHeight w:val="300"/>
        </w:trPr>
        <w:tc>
          <w:tcPr>
            <w:tcW w:w="2646" w:type="dxa"/>
            <w:shd w:val="clear" w:color="auto" w:fill="auto"/>
            <w:tcMar>
              <w:top w:w="15" w:type="dxa"/>
              <w:left w:w="15" w:type="dxa"/>
              <w:bottom w:w="0" w:type="dxa"/>
              <w:right w:w="15" w:type="dxa"/>
            </w:tcMar>
            <w:vAlign w:val="center"/>
            <w:hideMark/>
          </w:tcPr>
          <w:p w14:paraId="7239AD30" w14:textId="77777777" w:rsidR="00A76200" w:rsidRPr="00B12D00" w:rsidRDefault="00A76200" w:rsidP="003C0818">
            <w:pPr>
              <w:spacing w:after="0" w:line="240" w:lineRule="auto"/>
              <w:jc w:val="center"/>
              <w:rPr>
                <w:rFonts w:cstheme="minorHAnsi"/>
              </w:rPr>
            </w:pPr>
            <w:r w:rsidRPr="00B12D00">
              <w:rPr>
                <w:rFonts w:cstheme="minorHAnsi"/>
              </w:rPr>
              <w:t>n1</w:t>
            </w:r>
          </w:p>
        </w:tc>
        <w:tc>
          <w:tcPr>
            <w:tcW w:w="2646" w:type="dxa"/>
            <w:shd w:val="clear" w:color="auto" w:fill="auto"/>
            <w:tcMar>
              <w:top w:w="15" w:type="dxa"/>
              <w:left w:w="15" w:type="dxa"/>
              <w:bottom w:w="0" w:type="dxa"/>
              <w:right w:w="15" w:type="dxa"/>
            </w:tcMar>
            <w:vAlign w:val="center"/>
            <w:hideMark/>
          </w:tcPr>
          <w:p w14:paraId="29B5FCEE" w14:textId="77777777" w:rsidR="00A76200" w:rsidRPr="00B12D00" w:rsidRDefault="00A76200" w:rsidP="003C0818">
            <w:pPr>
              <w:spacing w:after="0" w:line="240" w:lineRule="auto"/>
              <w:jc w:val="center"/>
              <w:rPr>
                <w:rFonts w:cstheme="minorHAnsi"/>
              </w:rPr>
            </w:pPr>
            <w:r w:rsidRPr="00B12D00">
              <w:rPr>
                <w:rFonts w:cstheme="minorHAnsi"/>
              </w:rPr>
              <w:t>556</w:t>
            </w:r>
          </w:p>
        </w:tc>
        <w:tc>
          <w:tcPr>
            <w:tcW w:w="3213" w:type="dxa"/>
            <w:shd w:val="clear" w:color="auto" w:fill="auto"/>
            <w:tcMar>
              <w:top w:w="15" w:type="dxa"/>
              <w:left w:w="15" w:type="dxa"/>
              <w:bottom w:w="0" w:type="dxa"/>
              <w:right w:w="15" w:type="dxa"/>
            </w:tcMar>
            <w:vAlign w:val="center"/>
            <w:hideMark/>
          </w:tcPr>
          <w:p w14:paraId="45B4FEEB" w14:textId="77777777" w:rsidR="00A76200" w:rsidRPr="00B12D00" w:rsidRDefault="00A76200" w:rsidP="003C0818">
            <w:pPr>
              <w:spacing w:after="0" w:line="240" w:lineRule="auto"/>
              <w:jc w:val="center"/>
              <w:rPr>
                <w:rFonts w:cstheme="minorHAnsi"/>
              </w:rPr>
            </w:pPr>
            <w:r w:rsidRPr="00B12D00">
              <w:rPr>
                <w:rFonts w:cstheme="minorHAnsi"/>
              </w:rPr>
              <w:t>0,94</w:t>
            </w:r>
          </w:p>
        </w:tc>
      </w:tr>
    </w:tbl>
    <w:p w14:paraId="78AA3BB2" w14:textId="77777777" w:rsidR="00A76200" w:rsidRPr="00B12D00" w:rsidRDefault="00A76200" w:rsidP="00A76200">
      <w:pPr>
        <w:jc w:val="both"/>
        <w:rPr>
          <w:rFonts w:cstheme="minorHAnsi"/>
        </w:rPr>
      </w:pPr>
      <w:r w:rsidRPr="00B12D00">
        <w:rPr>
          <w:rFonts w:cstheme="minorHAnsi"/>
        </w:rPr>
        <w:t>Fonte: Elaboração dos autores a partir dos dados da ESTBAN.</w:t>
      </w:r>
    </w:p>
    <w:p w14:paraId="35C10610" w14:textId="77777777" w:rsidR="00A76200" w:rsidRPr="00B12D00" w:rsidRDefault="00A76200" w:rsidP="00A76200">
      <w:pPr>
        <w:rPr>
          <w:rFonts w:cstheme="minorHAnsi"/>
          <w:sz w:val="24"/>
          <w:szCs w:val="24"/>
        </w:rPr>
      </w:pPr>
    </w:p>
    <w:p w14:paraId="49126AF4" w14:textId="77777777" w:rsidR="00A76200" w:rsidRPr="00B12D00" w:rsidRDefault="00A76200" w:rsidP="00A76200">
      <w:pPr>
        <w:pStyle w:val="PargrafodaLista"/>
        <w:numPr>
          <w:ilvl w:val="0"/>
          <w:numId w:val="3"/>
        </w:numPr>
        <w:rPr>
          <w:rFonts w:cstheme="minorHAnsi"/>
          <w:sz w:val="24"/>
          <w:szCs w:val="24"/>
        </w:rPr>
      </w:pPr>
      <w:r w:rsidRPr="00B12D00">
        <w:rPr>
          <w:rFonts w:cstheme="minorHAnsi"/>
          <w:b/>
          <w:bCs/>
          <w:sz w:val="24"/>
          <w:szCs w:val="24"/>
        </w:rPr>
        <w:t xml:space="preserve">Informações das Operações (SPREAD): </w:t>
      </w:r>
      <w:r w:rsidRPr="00B12D00">
        <w:rPr>
          <w:rFonts w:cstheme="minorHAnsi"/>
          <w:sz w:val="24"/>
          <w:szCs w:val="24"/>
        </w:rPr>
        <w:t>Valor da Operação de Crédito, Spread BNDES, Spread das Instituições financeiras (target), Taxa de Juros, Prazo de Amortização e Prazo de Carência.</w:t>
      </w:r>
    </w:p>
    <w:p w14:paraId="629DF5FE" w14:textId="77777777" w:rsidR="00A76200" w:rsidRPr="00B12D00" w:rsidRDefault="00A76200" w:rsidP="00A76200">
      <w:pPr>
        <w:rPr>
          <w:rFonts w:cstheme="minorHAnsi"/>
        </w:rPr>
      </w:pPr>
    </w:p>
    <w:p w14:paraId="60F30BEE" w14:textId="77777777" w:rsidR="00A76200" w:rsidRPr="00104754" w:rsidRDefault="00A76200" w:rsidP="00A76200">
      <w:pPr>
        <w:ind w:firstLine="360"/>
        <w:jc w:val="both"/>
        <w:rPr>
          <w:rFonts w:cstheme="minorHAnsi"/>
        </w:rPr>
      </w:pPr>
      <w:r w:rsidRPr="00104754">
        <w:rPr>
          <w:rFonts w:cstheme="minorHAnsi"/>
        </w:rPr>
        <w:t xml:space="preserve">As informações da RAIS e ESTBAN abrangem mais que 10 anos de cobertura. Entretanto o período utilizado na análise é limitado pelos dados de Spread-BNDES, cuja cobertura abrange os anos 2016 e 2017. </w:t>
      </w:r>
    </w:p>
    <w:p w14:paraId="671D908F" w14:textId="77777777" w:rsidR="00A76200" w:rsidRPr="00104754" w:rsidRDefault="00A76200" w:rsidP="00A76200">
      <w:pPr>
        <w:ind w:firstLine="360"/>
        <w:jc w:val="both"/>
        <w:rPr>
          <w:rFonts w:cstheme="minorHAnsi"/>
        </w:rPr>
      </w:pPr>
      <w:r w:rsidRPr="00104754">
        <w:rPr>
          <w:rFonts w:cstheme="minorHAnsi"/>
        </w:rPr>
        <w:t xml:space="preserve">Os dados de Spread BNDES possuem somente as operações indiretas, as quais possuem uma instituição financeira intermediadora. Apesar dos recursos serem do BNDES, essas instituições atribuem uma avaliação de risco, assumem algum um risco de inadimplência na intermediação </w:t>
      </w:r>
      <w:r w:rsidRPr="00104754">
        <w:rPr>
          <w:rFonts w:cstheme="minorHAnsi"/>
        </w:rPr>
        <w:lastRenderedPageBreak/>
        <w:t xml:space="preserve">financeira, e cobram seu respectivo spread bancário. Por consequência os dados contêm o spread do BNDES e o spread das instituições financeiras. Os dados de spread bancário do BNDES podem ser concatenados com as informações dos bancos (ESTBAN) através do CNPJ da instituição intermediadora disponível em ambos os bancos de dados. </w:t>
      </w:r>
    </w:p>
    <w:p w14:paraId="743FBBC0" w14:textId="77777777" w:rsidR="00A76200" w:rsidRPr="00104754" w:rsidRDefault="00A76200" w:rsidP="00A76200">
      <w:pPr>
        <w:ind w:firstLine="360"/>
        <w:jc w:val="both"/>
        <w:rPr>
          <w:rFonts w:cstheme="minorHAnsi"/>
        </w:rPr>
      </w:pPr>
      <w:r w:rsidRPr="00104754">
        <w:rPr>
          <w:rFonts w:cstheme="minorHAnsi"/>
        </w:rPr>
        <w:t>As variáveis explicativas (</w:t>
      </w:r>
      <w:r w:rsidRPr="00104754">
        <w:rPr>
          <w:rFonts w:cstheme="minorHAnsi"/>
          <w:i/>
          <w:iCs/>
        </w:rPr>
        <w:t>features</w:t>
      </w:r>
      <w:r w:rsidRPr="00104754">
        <w:rPr>
          <w:rFonts w:cstheme="minorHAnsi"/>
        </w:rPr>
        <w:t xml:space="preserve">) são todas as demais informações descritas em cada conjunto de dados, sendo incluído também interações entre as variáveis explicativas. Entretanto não fizemos interações entre variáveis de conjunto de dados diferentes. Isto porque nosso objetivo é verificar qual conjunto de informações (firmas, bancos, operações) mais contribui na predição do spread. Finalmente, aplicamos logaritmo natural nas variáveis quantitativas e </w:t>
      </w:r>
      <w:r w:rsidRPr="00104754">
        <w:rPr>
          <w:rFonts w:cstheme="minorHAnsi"/>
          <w:i/>
          <w:iCs/>
        </w:rPr>
        <w:t>encoding</w:t>
      </w:r>
      <w:r w:rsidRPr="00104754">
        <w:rPr>
          <w:rFonts w:cstheme="minorHAnsi"/>
        </w:rPr>
        <w:t xml:space="preserve"> de frequência nas variáveis de nominais (segmento bancário, conglomerado e natureza jurídica). </w:t>
      </w:r>
    </w:p>
    <w:p w14:paraId="0116A3EA" w14:textId="77777777" w:rsidR="00A76200" w:rsidRPr="003B0B69" w:rsidRDefault="00A76200" w:rsidP="00A76200">
      <w:pPr>
        <w:rPr>
          <w:rFonts w:cstheme="minorHAnsi"/>
        </w:rPr>
      </w:pPr>
    </w:p>
    <w:p w14:paraId="5C9AFD48" w14:textId="007387AF" w:rsidR="00A76200" w:rsidRPr="00B65A8F" w:rsidRDefault="00B65A8F" w:rsidP="00A76200">
      <w:pPr>
        <w:pStyle w:val="PargrafodaLista"/>
        <w:numPr>
          <w:ilvl w:val="0"/>
          <w:numId w:val="2"/>
        </w:numPr>
        <w:jc w:val="both"/>
        <w:rPr>
          <w:rFonts w:cstheme="minorHAnsi"/>
          <w:b/>
          <w:bCs/>
        </w:rPr>
      </w:pPr>
      <w:r w:rsidRPr="00B65A8F">
        <w:rPr>
          <w:rFonts w:cstheme="minorHAnsi"/>
          <w:b/>
          <w:bCs/>
        </w:rPr>
        <w:t>Modelo de Aprendizado de M</w:t>
      </w:r>
      <w:r>
        <w:rPr>
          <w:rFonts w:cstheme="minorHAnsi"/>
          <w:b/>
          <w:bCs/>
        </w:rPr>
        <w:t>áquina para Spread Bancário</w:t>
      </w:r>
    </w:p>
    <w:p w14:paraId="40F3929E" w14:textId="77777777" w:rsidR="00A76200" w:rsidRPr="00104754" w:rsidRDefault="00A76200" w:rsidP="00A76200">
      <w:pPr>
        <w:ind w:firstLine="360"/>
        <w:jc w:val="both"/>
        <w:rPr>
          <w:rFonts w:cstheme="minorHAnsi"/>
        </w:rPr>
      </w:pPr>
      <w:r w:rsidRPr="00104754">
        <w:rPr>
          <w:rFonts w:cstheme="minorHAnsi"/>
        </w:rPr>
        <w:t xml:space="preserve">Para comparação dos algoritmos vamos utilizar as métricas de acurácia: Escore da Variância Explicada (EVS), R-Quadrado (R2), e Erro Médio Absoluto, além de reportar o tempo de estimação necessário. As métricas de acurácia são dadas pelas expressões: </w:t>
      </w:r>
    </w:p>
    <w:p w14:paraId="5B4C8612" w14:textId="77777777" w:rsidR="00A76200" w:rsidRPr="00B12D00" w:rsidRDefault="00A76200" w:rsidP="00A76200">
      <w:pPr>
        <w:ind w:firstLine="360"/>
        <w:jc w:val="both"/>
        <w:rPr>
          <w:rFonts w:cstheme="minorHAnsi"/>
          <w:sz w:val="24"/>
          <w:szCs w:val="24"/>
        </w:rPr>
      </w:pPr>
    </w:p>
    <w:p w14:paraId="21C0561B" w14:textId="77777777" w:rsidR="00A76200" w:rsidRPr="00B12D00" w:rsidRDefault="00A76200" w:rsidP="00A76200">
      <w:pPr>
        <w:ind w:firstLine="708"/>
        <w:jc w:val="both"/>
        <w:rPr>
          <w:rFonts w:cstheme="minorHAnsi"/>
          <w:sz w:val="24"/>
          <w:szCs w:val="24"/>
          <w:lang w:val="en-US"/>
        </w:rPr>
      </w:pPr>
      <m:oMathPara>
        <m:oMath>
          <m:r>
            <w:rPr>
              <w:rFonts w:ascii="Cambria Math" w:hAnsi="Cambria Math" w:cstheme="minorHAnsi"/>
              <w:sz w:val="24"/>
              <w:szCs w:val="24"/>
              <w:lang w:val="en-US"/>
            </w:rPr>
            <m:t>EVS=1-</m:t>
          </m:r>
          <m:f>
            <m:fPr>
              <m:ctrlPr>
                <w:rPr>
                  <w:rFonts w:ascii="Cambria Math" w:hAnsi="Cambria Math" w:cstheme="minorHAnsi"/>
                  <w:i/>
                  <w:sz w:val="24"/>
                  <w:szCs w:val="24"/>
                  <w:lang w:val="en-US"/>
                </w:rPr>
              </m:ctrlPr>
            </m:fPr>
            <m:num>
              <m:r>
                <w:rPr>
                  <w:rFonts w:ascii="Cambria Math" w:hAnsi="Cambria Math" w:cstheme="minorHAnsi"/>
                  <w:sz w:val="24"/>
                  <w:szCs w:val="24"/>
                  <w:lang w:val="en-US"/>
                </w:rPr>
                <m:t>VAR(</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y</m:t>
                  </m:r>
                </m:e>
                <m:sub>
                  <m:r>
                    <w:rPr>
                      <w:rFonts w:ascii="Cambria Math" w:hAnsi="Cambria Math" w:cstheme="minorHAnsi"/>
                      <w:sz w:val="24"/>
                      <w:szCs w:val="24"/>
                      <w:lang w:val="en-US"/>
                    </w:rPr>
                    <m:t>i</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acc>
                    <m:accPr>
                      <m:ctrlPr>
                        <w:rPr>
                          <w:rFonts w:ascii="Cambria Math" w:hAnsi="Cambria Math" w:cstheme="minorHAnsi"/>
                          <w:i/>
                          <w:sz w:val="24"/>
                          <w:szCs w:val="24"/>
                          <w:lang w:val="en-US"/>
                        </w:rPr>
                      </m:ctrlPr>
                    </m:accPr>
                    <m:e>
                      <m:r>
                        <w:rPr>
                          <w:rFonts w:ascii="Cambria Math" w:hAnsi="Cambria Math" w:cstheme="minorHAnsi"/>
                          <w:sz w:val="24"/>
                          <w:szCs w:val="24"/>
                          <w:lang w:val="en-US"/>
                        </w:rPr>
                        <m:t>y</m:t>
                      </m:r>
                    </m:e>
                  </m:acc>
                </m:e>
                <m:sub>
                  <m:r>
                    <w:rPr>
                      <w:rFonts w:ascii="Cambria Math" w:hAnsi="Cambria Math" w:cstheme="minorHAnsi"/>
                      <w:sz w:val="24"/>
                      <w:szCs w:val="24"/>
                      <w:lang w:val="en-US"/>
                    </w:rPr>
                    <m:t>i</m:t>
                  </m:r>
                </m:sub>
              </m:sSub>
              <m:r>
                <w:rPr>
                  <w:rFonts w:ascii="Cambria Math" w:hAnsi="Cambria Math" w:cstheme="minorHAnsi"/>
                  <w:sz w:val="24"/>
                  <w:szCs w:val="24"/>
                  <w:lang w:val="en-US"/>
                </w:rPr>
                <m:t>)</m:t>
              </m:r>
            </m:num>
            <m:den>
              <m:r>
                <w:rPr>
                  <w:rFonts w:ascii="Cambria Math" w:hAnsi="Cambria Math" w:cstheme="minorHAnsi"/>
                  <w:sz w:val="24"/>
                  <w:szCs w:val="24"/>
                  <w:lang w:val="en-US"/>
                </w:rPr>
                <m:t>VAR(</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y</m:t>
                  </m:r>
                </m:e>
                <m:sub>
                  <m:r>
                    <w:rPr>
                      <w:rFonts w:ascii="Cambria Math" w:hAnsi="Cambria Math" w:cstheme="minorHAnsi"/>
                      <w:sz w:val="24"/>
                      <w:szCs w:val="24"/>
                      <w:lang w:val="en-US"/>
                    </w:rPr>
                    <m:t>i</m:t>
                  </m:r>
                </m:sub>
              </m:sSub>
              <m:r>
                <w:rPr>
                  <w:rFonts w:ascii="Cambria Math" w:hAnsi="Cambria Math" w:cstheme="minorHAnsi"/>
                  <w:sz w:val="24"/>
                  <w:szCs w:val="24"/>
                  <w:lang w:val="en-US"/>
                </w:rPr>
                <m:t>)</m:t>
              </m:r>
            </m:den>
          </m:f>
        </m:oMath>
      </m:oMathPara>
    </w:p>
    <w:p w14:paraId="6AB3FD0F" w14:textId="77777777" w:rsidR="00A76200" w:rsidRPr="00B12D00" w:rsidRDefault="00000000" w:rsidP="00A76200">
      <w:pPr>
        <w:ind w:firstLine="708"/>
        <w:jc w:val="both"/>
        <w:rPr>
          <w:rFonts w:cstheme="minorHAnsi"/>
          <w:sz w:val="24"/>
          <w:szCs w:val="24"/>
          <w:lang w:val="en-US"/>
        </w:rPr>
      </w:pPr>
      <m:oMathPara>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R</m:t>
              </m:r>
            </m:e>
            <m:sup>
              <m:r>
                <w:rPr>
                  <w:rFonts w:ascii="Cambria Math" w:hAnsi="Cambria Math" w:cstheme="minorHAnsi"/>
                  <w:sz w:val="24"/>
                  <w:szCs w:val="24"/>
                  <w:lang w:val="en-US"/>
                </w:rPr>
                <m:t>2</m:t>
              </m:r>
            </m:sup>
          </m:sSup>
          <m:r>
            <w:rPr>
              <w:rFonts w:ascii="Cambria Math" w:hAnsi="Cambria Math" w:cstheme="minorHAnsi"/>
              <w:sz w:val="24"/>
              <w:szCs w:val="24"/>
              <w:lang w:val="en-US"/>
            </w:rPr>
            <m:t>=1-</m:t>
          </m:r>
          <m:f>
            <m:fPr>
              <m:ctrlPr>
                <w:rPr>
                  <w:rFonts w:ascii="Cambria Math" w:hAnsi="Cambria Math" w:cstheme="minorHAnsi"/>
                  <w:i/>
                  <w:sz w:val="24"/>
                  <w:szCs w:val="24"/>
                  <w:lang w:val="en-US"/>
                </w:rPr>
              </m:ctrlPr>
            </m:fPr>
            <m:num>
              <m:nary>
                <m:naryPr>
                  <m:chr m:val="∑"/>
                  <m:limLoc m:val="undOvr"/>
                  <m:ctrlPr>
                    <w:rPr>
                      <w:rFonts w:ascii="Cambria Math" w:hAnsi="Cambria Math" w:cstheme="minorHAnsi"/>
                      <w:i/>
                      <w:sz w:val="24"/>
                      <w:szCs w:val="24"/>
                      <w:lang w:val="en-US"/>
                    </w:rPr>
                  </m:ctrlPr>
                </m:naryPr>
                <m:sub>
                  <m:r>
                    <w:rPr>
                      <w:rFonts w:ascii="Cambria Math" w:hAnsi="Cambria Math" w:cstheme="minorHAnsi"/>
                      <w:sz w:val="24"/>
                      <w:szCs w:val="24"/>
                      <w:lang w:val="en-US"/>
                    </w:rPr>
                    <m:t>i=1</m:t>
                  </m:r>
                </m:sub>
                <m:sup>
                  <m:r>
                    <w:rPr>
                      <w:rFonts w:ascii="Cambria Math" w:hAnsi="Cambria Math" w:cstheme="minorHAnsi"/>
                      <w:sz w:val="24"/>
                      <w:szCs w:val="24"/>
                      <w:lang w:val="en-US"/>
                    </w:rPr>
                    <m:t>n</m:t>
                  </m:r>
                </m:sup>
                <m:e>
                  <m:sSup>
                    <m:sSupPr>
                      <m:ctrlPr>
                        <w:rPr>
                          <w:rFonts w:ascii="Cambria Math" w:hAnsi="Cambria Math" w:cstheme="minorHAnsi"/>
                          <w:i/>
                          <w:sz w:val="24"/>
                          <w:szCs w:val="24"/>
                          <w:lang w:val="en-US"/>
                        </w:rPr>
                      </m:ctrlPr>
                    </m:sSupPr>
                    <m:e>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y</m:t>
                          </m:r>
                        </m:e>
                        <m:sub>
                          <m:r>
                            <w:rPr>
                              <w:rFonts w:ascii="Cambria Math" w:hAnsi="Cambria Math" w:cstheme="minorHAnsi"/>
                              <w:sz w:val="24"/>
                              <w:szCs w:val="24"/>
                              <w:lang w:val="en-US"/>
                            </w:rPr>
                            <m:t>i</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acc>
                            <m:accPr>
                              <m:ctrlPr>
                                <w:rPr>
                                  <w:rFonts w:ascii="Cambria Math" w:hAnsi="Cambria Math" w:cstheme="minorHAnsi"/>
                                  <w:i/>
                                  <w:sz w:val="24"/>
                                  <w:szCs w:val="24"/>
                                  <w:lang w:val="en-US"/>
                                </w:rPr>
                              </m:ctrlPr>
                            </m:accPr>
                            <m:e>
                              <m:r>
                                <w:rPr>
                                  <w:rFonts w:ascii="Cambria Math" w:hAnsi="Cambria Math" w:cstheme="minorHAnsi"/>
                                  <w:sz w:val="24"/>
                                  <w:szCs w:val="24"/>
                                  <w:lang w:val="en-US"/>
                                </w:rPr>
                                <m:t>y</m:t>
                              </m:r>
                            </m:e>
                          </m:acc>
                        </m:e>
                        <m:sub>
                          <m:r>
                            <w:rPr>
                              <w:rFonts w:ascii="Cambria Math" w:hAnsi="Cambria Math" w:cstheme="minorHAnsi"/>
                              <w:sz w:val="24"/>
                              <w:szCs w:val="24"/>
                              <w:lang w:val="en-US"/>
                            </w:rPr>
                            <m:t>i</m:t>
                          </m:r>
                        </m:sub>
                      </m:sSub>
                      <m:r>
                        <w:rPr>
                          <w:rFonts w:ascii="Cambria Math" w:hAnsi="Cambria Math" w:cstheme="minorHAnsi"/>
                          <w:sz w:val="24"/>
                          <w:szCs w:val="24"/>
                          <w:lang w:val="en-US"/>
                        </w:rPr>
                        <m:t>)</m:t>
                      </m:r>
                    </m:e>
                    <m:sup>
                      <m:r>
                        <w:rPr>
                          <w:rFonts w:ascii="Cambria Math" w:hAnsi="Cambria Math" w:cstheme="minorHAnsi"/>
                          <w:sz w:val="24"/>
                          <w:szCs w:val="24"/>
                          <w:lang w:val="en-US"/>
                        </w:rPr>
                        <m:t>2</m:t>
                      </m:r>
                    </m:sup>
                  </m:sSup>
                </m:e>
              </m:nary>
            </m:num>
            <m:den>
              <m:nary>
                <m:naryPr>
                  <m:chr m:val="∑"/>
                  <m:limLoc m:val="undOvr"/>
                  <m:ctrlPr>
                    <w:rPr>
                      <w:rFonts w:ascii="Cambria Math" w:hAnsi="Cambria Math" w:cstheme="minorHAnsi"/>
                      <w:i/>
                      <w:sz w:val="24"/>
                      <w:szCs w:val="24"/>
                      <w:lang w:val="en-US"/>
                    </w:rPr>
                  </m:ctrlPr>
                </m:naryPr>
                <m:sub>
                  <m:r>
                    <w:rPr>
                      <w:rFonts w:ascii="Cambria Math" w:hAnsi="Cambria Math" w:cstheme="minorHAnsi"/>
                      <w:sz w:val="24"/>
                      <w:szCs w:val="24"/>
                      <w:lang w:val="en-US"/>
                    </w:rPr>
                    <m:t>i=1</m:t>
                  </m:r>
                </m:sub>
                <m:sup>
                  <m:r>
                    <w:rPr>
                      <w:rFonts w:ascii="Cambria Math" w:hAnsi="Cambria Math" w:cstheme="minorHAnsi"/>
                      <w:sz w:val="24"/>
                      <w:szCs w:val="24"/>
                      <w:lang w:val="en-US"/>
                    </w:rPr>
                    <m:t>n</m:t>
                  </m:r>
                </m:sup>
                <m:e>
                  <m:sSup>
                    <m:sSupPr>
                      <m:ctrlPr>
                        <w:rPr>
                          <w:rFonts w:ascii="Cambria Math" w:hAnsi="Cambria Math" w:cstheme="minorHAnsi"/>
                          <w:i/>
                          <w:sz w:val="24"/>
                          <w:szCs w:val="24"/>
                          <w:lang w:val="en-US"/>
                        </w:rPr>
                      </m:ctrlPr>
                    </m:sSupPr>
                    <m:e>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y</m:t>
                          </m:r>
                        </m:e>
                        <m:sub>
                          <m:r>
                            <w:rPr>
                              <w:rFonts w:ascii="Cambria Math" w:hAnsi="Cambria Math" w:cstheme="minorHAnsi"/>
                              <w:sz w:val="24"/>
                              <w:szCs w:val="24"/>
                              <w:lang w:val="en-US"/>
                            </w:rPr>
                            <m:t>i</m:t>
                          </m:r>
                        </m:sub>
                      </m:sSub>
                      <m:r>
                        <w:rPr>
                          <w:rFonts w:ascii="Cambria Math" w:hAnsi="Cambria Math" w:cstheme="minorHAnsi"/>
                          <w:sz w:val="24"/>
                          <w:szCs w:val="24"/>
                          <w:lang w:val="en-US"/>
                        </w:rPr>
                        <m:t>-</m:t>
                      </m:r>
                      <m:acc>
                        <m:accPr>
                          <m:chr m:val="̅"/>
                          <m:ctrlPr>
                            <w:rPr>
                              <w:rFonts w:ascii="Cambria Math" w:hAnsi="Cambria Math" w:cstheme="minorHAnsi"/>
                              <w:i/>
                              <w:sz w:val="24"/>
                              <w:szCs w:val="24"/>
                              <w:lang w:val="en-US"/>
                            </w:rPr>
                          </m:ctrlPr>
                        </m:accPr>
                        <m:e>
                          <m:r>
                            <w:rPr>
                              <w:rFonts w:ascii="Cambria Math" w:hAnsi="Cambria Math" w:cstheme="minorHAnsi"/>
                              <w:sz w:val="24"/>
                              <w:szCs w:val="24"/>
                              <w:lang w:val="en-US"/>
                            </w:rPr>
                            <m:t>y</m:t>
                          </m:r>
                        </m:e>
                      </m:acc>
                      <m:r>
                        <w:rPr>
                          <w:rFonts w:ascii="Cambria Math" w:hAnsi="Cambria Math" w:cstheme="minorHAnsi"/>
                          <w:sz w:val="24"/>
                          <w:szCs w:val="24"/>
                          <w:lang w:val="en-US"/>
                        </w:rPr>
                        <m:t>)</m:t>
                      </m:r>
                    </m:e>
                    <m:sup>
                      <m:r>
                        <w:rPr>
                          <w:rFonts w:ascii="Cambria Math" w:hAnsi="Cambria Math" w:cstheme="minorHAnsi"/>
                          <w:sz w:val="24"/>
                          <w:szCs w:val="24"/>
                          <w:lang w:val="en-US"/>
                        </w:rPr>
                        <m:t>2</m:t>
                      </m:r>
                    </m:sup>
                  </m:sSup>
                </m:e>
              </m:nary>
            </m:den>
          </m:f>
        </m:oMath>
      </m:oMathPara>
    </w:p>
    <w:p w14:paraId="16000B95" w14:textId="77777777" w:rsidR="00A76200" w:rsidRPr="00B12D00" w:rsidRDefault="00A76200" w:rsidP="00A76200">
      <w:pPr>
        <w:ind w:firstLine="708"/>
        <w:jc w:val="both"/>
        <w:rPr>
          <w:rFonts w:cstheme="minorHAnsi"/>
          <w:sz w:val="24"/>
          <w:szCs w:val="24"/>
          <w:lang w:val="en-US"/>
        </w:rPr>
      </w:pPr>
      <m:oMathPara>
        <m:oMath>
          <m:r>
            <w:rPr>
              <w:rFonts w:ascii="Cambria Math" w:hAnsi="Cambria Math" w:cstheme="minorHAnsi"/>
              <w:sz w:val="24"/>
              <w:szCs w:val="24"/>
              <w:lang w:val="en-US"/>
            </w:rPr>
            <m:t>MAE=1-</m:t>
          </m:r>
          <m:nary>
            <m:naryPr>
              <m:chr m:val="∑"/>
              <m:limLoc m:val="undOvr"/>
              <m:ctrlPr>
                <w:rPr>
                  <w:rFonts w:ascii="Cambria Math" w:hAnsi="Cambria Math" w:cstheme="minorHAnsi"/>
                  <w:i/>
                  <w:sz w:val="24"/>
                  <w:szCs w:val="24"/>
                  <w:lang w:val="en-US"/>
                </w:rPr>
              </m:ctrlPr>
            </m:naryPr>
            <m:sub>
              <m:r>
                <w:rPr>
                  <w:rFonts w:ascii="Cambria Math" w:hAnsi="Cambria Math" w:cstheme="minorHAnsi"/>
                  <w:sz w:val="24"/>
                  <w:szCs w:val="24"/>
                  <w:lang w:val="en-US"/>
                </w:rPr>
                <m:t>i=1</m:t>
              </m:r>
            </m:sub>
            <m:sup>
              <m:r>
                <w:rPr>
                  <w:rFonts w:ascii="Cambria Math" w:hAnsi="Cambria Math" w:cstheme="minorHAnsi"/>
                  <w:sz w:val="24"/>
                  <w:szCs w:val="24"/>
                  <w:lang w:val="en-US"/>
                </w:rPr>
                <m:t>n</m:t>
              </m:r>
            </m:sup>
            <m:e>
              <m:d>
                <m:dPr>
                  <m:begChr m:val="|"/>
                  <m:endChr m:val="|"/>
                  <m:ctrlPr>
                    <w:rPr>
                      <w:rFonts w:ascii="Cambria Math" w:hAnsi="Cambria Math" w:cstheme="minorHAnsi"/>
                      <w:i/>
                      <w:sz w:val="24"/>
                      <w:szCs w:val="24"/>
                      <w:lang w:val="en-US"/>
                    </w:rPr>
                  </m:ctrlPr>
                </m:d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y</m:t>
                      </m:r>
                    </m:e>
                    <m:sub>
                      <m:r>
                        <w:rPr>
                          <w:rFonts w:ascii="Cambria Math" w:hAnsi="Cambria Math" w:cstheme="minorHAnsi"/>
                          <w:sz w:val="24"/>
                          <w:szCs w:val="24"/>
                          <w:lang w:val="en-US"/>
                        </w:rPr>
                        <m:t>i</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acc>
                        <m:accPr>
                          <m:ctrlPr>
                            <w:rPr>
                              <w:rFonts w:ascii="Cambria Math" w:hAnsi="Cambria Math" w:cstheme="minorHAnsi"/>
                              <w:i/>
                              <w:sz w:val="24"/>
                              <w:szCs w:val="24"/>
                              <w:lang w:val="en-US"/>
                            </w:rPr>
                          </m:ctrlPr>
                        </m:accPr>
                        <m:e>
                          <m:r>
                            <w:rPr>
                              <w:rFonts w:ascii="Cambria Math" w:hAnsi="Cambria Math" w:cstheme="minorHAnsi"/>
                              <w:sz w:val="24"/>
                              <w:szCs w:val="24"/>
                              <w:lang w:val="en-US"/>
                            </w:rPr>
                            <m:t>y</m:t>
                          </m:r>
                        </m:e>
                      </m:acc>
                    </m:e>
                    <m:sub>
                      <m:r>
                        <w:rPr>
                          <w:rFonts w:ascii="Cambria Math" w:hAnsi="Cambria Math" w:cstheme="minorHAnsi"/>
                          <w:sz w:val="24"/>
                          <w:szCs w:val="24"/>
                          <w:lang w:val="en-US"/>
                        </w:rPr>
                        <m:t>i</m:t>
                      </m:r>
                    </m:sub>
                  </m:sSub>
                </m:e>
              </m:d>
            </m:e>
          </m:nary>
        </m:oMath>
      </m:oMathPara>
    </w:p>
    <w:p w14:paraId="1AC91285" w14:textId="77777777" w:rsidR="00A76200" w:rsidRPr="00104754" w:rsidRDefault="00A76200" w:rsidP="00A76200">
      <w:pPr>
        <w:ind w:firstLine="708"/>
        <w:jc w:val="both"/>
        <w:rPr>
          <w:rFonts w:cstheme="minorHAnsi"/>
        </w:rPr>
      </w:pPr>
      <w:r w:rsidRPr="00104754">
        <w:rPr>
          <w:rFonts w:cstheme="minorHAnsi"/>
        </w:rPr>
        <w:t xml:space="preserve">A métrica MAE captura os resíduos gerados pelo modelo, enquanto o R2 representa a proporção da variância na variável </w:t>
      </w:r>
      <w:r w:rsidRPr="00104754">
        <w:rPr>
          <w:rFonts w:cstheme="minorHAnsi"/>
          <w:i/>
          <w:iCs/>
        </w:rPr>
        <w:t>target</w:t>
      </w:r>
      <w:r w:rsidRPr="00104754">
        <w:rPr>
          <w:rFonts w:cstheme="minorHAnsi"/>
        </w:rPr>
        <w:t xml:space="preserve"> explicada pelo modelo. Por sua vez o escore EVS mensura a proporção da variância explicada pelo modelo. Esta é uma métrica interessante para complementar as demais métricas, pois não utiliza o valor médio do </w:t>
      </w:r>
      <w:r w:rsidRPr="00104754">
        <w:rPr>
          <w:rFonts w:cstheme="minorHAnsi"/>
          <w:i/>
          <w:iCs/>
        </w:rPr>
        <w:t>target</w:t>
      </w:r>
      <w:r w:rsidRPr="00104754">
        <w:rPr>
          <w:rFonts w:cstheme="minorHAnsi"/>
        </w:rPr>
        <w:t xml:space="preserve"> (</w:t>
      </w:r>
      <m:oMath>
        <m:acc>
          <m:accPr>
            <m:chr m:val="̅"/>
            <m:ctrlPr>
              <w:rPr>
                <w:rFonts w:ascii="Cambria Math" w:hAnsi="Cambria Math" w:cstheme="minorHAnsi"/>
                <w:i/>
                <w:lang w:val="en-US"/>
              </w:rPr>
            </m:ctrlPr>
          </m:accPr>
          <m:e>
            <m:r>
              <w:rPr>
                <w:rFonts w:ascii="Cambria Math" w:hAnsi="Cambria Math" w:cstheme="minorHAnsi"/>
                <w:lang w:val="en-US"/>
              </w:rPr>
              <m:t>y</m:t>
            </m:r>
          </m:e>
        </m:acc>
      </m:oMath>
      <w:r w:rsidRPr="00104754">
        <w:rPr>
          <w:rFonts w:cstheme="minorHAnsi"/>
        </w:rPr>
        <w:t xml:space="preserve"> ̅), não sendo influenciado por valores extremos.</w:t>
      </w:r>
    </w:p>
    <w:p w14:paraId="2ED8456B" w14:textId="77777777" w:rsidR="00A76200" w:rsidRPr="00104754" w:rsidRDefault="00A76200" w:rsidP="00A76200">
      <w:pPr>
        <w:ind w:firstLine="708"/>
        <w:jc w:val="both"/>
        <w:rPr>
          <w:rFonts w:cstheme="minorHAnsi"/>
        </w:rPr>
      </w:pPr>
      <w:r w:rsidRPr="00104754">
        <w:rPr>
          <w:rFonts w:cstheme="minorHAnsi"/>
        </w:rPr>
        <w:t xml:space="preserve">A Tabela 3 mostra as métricas EVS, R2, MAE e o tempo de treinamento para os métodos de otimização </w:t>
      </w:r>
      <w:r w:rsidRPr="00104754">
        <w:rPr>
          <w:rFonts w:cstheme="minorHAnsi"/>
          <w:i/>
          <w:iCs/>
        </w:rPr>
        <w:t xml:space="preserve">random </w:t>
      </w:r>
      <w:r w:rsidRPr="00104754">
        <w:rPr>
          <w:rFonts w:cstheme="minorHAnsi"/>
        </w:rPr>
        <w:t>e</w:t>
      </w:r>
      <w:r w:rsidRPr="00104754">
        <w:rPr>
          <w:rFonts w:cstheme="minorHAnsi"/>
          <w:i/>
          <w:iCs/>
        </w:rPr>
        <w:t xml:space="preserve"> grid search</w:t>
      </w:r>
      <w:r w:rsidRPr="00104754">
        <w:rPr>
          <w:rFonts w:cstheme="minorHAnsi"/>
        </w:rPr>
        <w:t>. Conforme esperado, os tempos de treinamento utilizando otimização exaustiva (</w:t>
      </w:r>
      <w:r w:rsidRPr="00104754">
        <w:rPr>
          <w:rFonts w:cstheme="minorHAnsi"/>
          <w:i/>
          <w:iCs/>
        </w:rPr>
        <w:t>grid search</w:t>
      </w:r>
      <w:r w:rsidRPr="00104754">
        <w:rPr>
          <w:rFonts w:cstheme="minorHAnsi"/>
        </w:rPr>
        <w:t xml:space="preserve">) é sempre maior do que quando utilizamos </w:t>
      </w:r>
      <w:r w:rsidRPr="00104754">
        <w:rPr>
          <w:rFonts w:cstheme="minorHAnsi"/>
          <w:i/>
          <w:iCs/>
        </w:rPr>
        <w:t>random search</w:t>
      </w:r>
      <w:r w:rsidRPr="00104754">
        <w:rPr>
          <w:rFonts w:cstheme="minorHAnsi"/>
        </w:rPr>
        <w:t>. Mesmo quando a métrica EVS é maior para o método de otimização</w:t>
      </w:r>
      <w:r w:rsidRPr="00104754">
        <w:rPr>
          <w:rFonts w:cstheme="minorHAnsi"/>
          <w:i/>
          <w:iCs/>
        </w:rPr>
        <w:t xml:space="preserve"> grid search</w:t>
      </w:r>
      <w:r w:rsidRPr="00104754">
        <w:rPr>
          <w:rFonts w:cstheme="minorHAnsi"/>
        </w:rPr>
        <w:t xml:space="preserve">, ainda assim é possível argumentar que o ganho de precisão não recompensa o tempo de treinamento. Para o método de otimização </w:t>
      </w:r>
      <w:r w:rsidRPr="00104754">
        <w:rPr>
          <w:rFonts w:cstheme="minorHAnsi"/>
          <w:i/>
          <w:iCs/>
        </w:rPr>
        <w:t>random Search</w:t>
      </w:r>
      <w:r w:rsidRPr="00104754">
        <w:rPr>
          <w:rFonts w:cstheme="minorHAnsi"/>
        </w:rPr>
        <w:t xml:space="preserve"> os algoritmos </w:t>
      </w:r>
      <w:bookmarkStart w:id="2" w:name="_Hlk89724990"/>
      <w:r w:rsidRPr="00104754">
        <w:rPr>
          <w:rFonts w:cstheme="minorHAnsi"/>
        </w:rPr>
        <w:t>XGBoost, Lasso, Multi-Task</w:t>
      </w:r>
      <w:bookmarkEnd w:id="2"/>
      <w:r w:rsidRPr="00104754">
        <w:rPr>
          <w:rFonts w:cstheme="minorHAnsi"/>
        </w:rPr>
        <w:t>, Bayes, Ridge e LARS apresentaram resultados bem satisfatórios. Particularmente a otimização de hiperparâmetros do algoritmo Ridge produziu as melhores métricas de precisão EVS e R2, enquanto o LARS produziu a melhor estatística MAE.</w:t>
      </w:r>
    </w:p>
    <w:p w14:paraId="39EBF030" w14:textId="77777777" w:rsidR="00A76200" w:rsidRPr="00B12D00" w:rsidRDefault="00A76200" w:rsidP="00A76200">
      <w:pPr>
        <w:ind w:firstLine="708"/>
        <w:jc w:val="both"/>
        <w:rPr>
          <w:rFonts w:cstheme="minorHAnsi"/>
          <w:sz w:val="24"/>
          <w:szCs w:val="24"/>
        </w:rPr>
      </w:pPr>
    </w:p>
    <w:p w14:paraId="2B6A44DE" w14:textId="7E6BBEF4" w:rsidR="00A76200" w:rsidRPr="00FC160E" w:rsidRDefault="00A76200" w:rsidP="00A76200">
      <w:pPr>
        <w:jc w:val="both"/>
        <w:rPr>
          <w:rFonts w:cstheme="minorHAnsi"/>
          <w:b/>
          <w:bCs/>
        </w:rPr>
      </w:pPr>
      <w:r w:rsidRPr="00FC160E">
        <w:rPr>
          <w:rFonts w:cstheme="minorHAnsi"/>
          <w:b/>
          <w:bCs/>
        </w:rPr>
        <w:t xml:space="preserve">Tabela </w:t>
      </w:r>
      <w:r w:rsidRPr="00FC160E">
        <w:rPr>
          <w:rFonts w:cstheme="minorHAnsi"/>
          <w:b/>
          <w:bCs/>
        </w:rPr>
        <w:fldChar w:fldCharType="begin"/>
      </w:r>
      <w:r w:rsidRPr="00FC160E">
        <w:rPr>
          <w:rFonts w:cstheme="minorHAnsi"/>
          <w:b/>
          <w:bCs/>
        </w:rPr>
        <w:instrText xml:space="preserve"> SEQ Table \* ARABIC </w:instrText>
      </w:r>
      <w:r w:rsidRPr="00FC160E">
        <w:rPr>
          <w:rFonts w:cstheme="minorHAnsi"/>
          <w:b/>
          <w:bCs/>
        </w:rPr>
        <w:fldChar w:fldCharType="separate"/>
      </w:r>
      <w:r w:rsidR="00104754">
        <w:rPr>
          <w:rFonts w:cstheme="minorHAnsi"/>
          <w:b/>
          <w:bCs/>
          <w:noProof/>
        </w:rPr>
        <w:t>2</w:t>
      </w:r>
      <w:r w:rsidRPr="00FC160E">
        <w:rPr>
          <w:rFonts w:cstheme="minorHAnsi"/>
          <w:b/>
          <w:bCs/>
          <w:noProof/>
        </w:rPr>
        <w:fldChar w:fldCharType="end"/>
      </w:r>
      <w:r w:rsidRPr="00FC160E">
        <w:rPr>
          <w:rFonts w:cstheme="minorHAnsi"/>
          <w:b/>
          <w:bCs/>
        </w:rPr>
        <w:t>: Métricas EVS, R2, MAE e tempo de treinamento</w:t>
      </w:r>
    </w:p>
    <w:tbl>
      <w:tblPr>
        <w:tblW w:w="8420" w:type="dxa"/>
        <w:jc w:val="center"/>
        <w:tblCellMar>
          <w:left w:w="70" w:type="dxa"/>
          <w:right w:w="70" w:type="dxa"/>
        </w:tblCellMar>
        <w:tblLook w:val="04A0" w:firstRow="1" w:lastRow="0" w:firstColumn="1" w:lastColumn="0" w:noHBand="0" w:noVBand="1"/>
      </w:tblPr>
      <w:tblGrid>
        <w:gridCol w:w="1194"/>
        <w:gridCol w:w="830"/>
        <w:gridCol w:w="830"/>
        <w:gridCol w:w="830"/>
        <w:gridCol w:w="1083"/>
        <w:gridCol w:w="830"/>
        <w:gridCol w:w="830"/>
        <w:gridCol w:w="803"/>
        <w:gridCol w:w="1190"/>
      </w:tblGrid>
      <w:tr w:rsidR="00A76200" w:rsidRPr="00B12D00" w14:paraId="54B3F3E5" w14:textId="77777777" w:rsidTr="003C0818">
        <w:trPr>
          <w:trHeight w:val="300"/>
          <w:jc w:val="center"/>
        </w:trPr>
        <w:tc>
          <w:tcPr>
            <w:tcW w:w="1194" w:type="dxa"/>
            <w:tcBorders>
              <w:top w:val="single" w:sz="4" w:space="0" w:color="auto"/>
              <w:bottom w:val="single" w:sz="4" w:space="0" w:color="auto"/>
              <w:right w:val="single" w:sz="4" w:space="0" w:color="auto"/>
            </w:tcBorders>
            <w:shd w:val="clear" w:color="auto" w:fill="auto"/>
            <w:noWrap/>
            <w:vAlign w:val="center"/>
            <w:hideMark/>
          </w:tcPr>
          <w:p w14:paraId="26E0D3EA" w14:textId="77777777" w:rsidR="00A76200" w:rsidRPr="00B12D00" w:rsidRDefault="00A76200" w:rsidP="003C0818">
            <w:pPr>
              <w:spacing w:after="0" w:line="240" w:lineRule="auto"/>
              <w:jc w:val="center"/>
              <w:rPr>
                <w:rFonts w:eastAsia="Times New Roman" w:cstheme="minorHAnsi"/>
                <w:color w:val="000000"/>
                <w:lang w:eastAsia="pt-BR"/>
              </w:rPr>
            </w:pPr>
            <w:bookmarkStart w:id="3" w:name="_Hlk89724322"/>
            <w:r w:rsidRPr="00B12D00">
              <w:rPr>
                <w:rFonts w:eastAsia="Times New Roman" w:cstheme="minorHAnsi"/>
                <w:color w:val="000000"/>
                <w:lang w:eastAsia="pt-BR"/>
              </w:rPr>
              <w:lastRenderedPageBreak/>
              <w:t> </w:t>
            </w:r>
          </w:p>
        </w:tc>
        <w:tc>
          <w:tcPr>
            <w:tcW w:w="3573" w:type="dxa"/>
            <w:gridSpan w:val="4"/>
            <w:tcBorders>
              <w:top w:val="single" w:sz="4" w:space="0" w:color="auto"/>
              <w:left w:val="nil"/>
              <w:bottom w:val="single" w:sz="4" w:space="0" w:color="auto"/>
              <w:right w:val="single" w:sz="4" w:space="0" w:color="auto"/>
            </w:tcBorders>
            <w:shd w:val="clear" w:color="auto" w:fill="auto"/>
            <w:noWrap/>
            <w:vAlign w:val="center"/>
            <w:hideMark/>
          </w:tcPr>
          <w:p w14:paraId="1A2E74A1"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Random Search</w:t>
            </w:r>
          </w:p>
        </w:tc>
        <w:tc>
          <w:tcPr>
            <w:tcW w:w="3653" w:type="dxa"/>
            <w:gridSpan w:val="4"/>
            <w:tcBorders>
              <w:top w:val="single" w:sz="4" w:space="0" w:color="auto"/>
              <w:left w:val="nil"/>
              <w:bottom w:val="single" w:sz="4" w:space="0" w:color="auto"/>
            </w:tcBorders>
            <w:shd w:val="clear" w:color="auto" w:fill="auto"/>
            <w:noWrap/>
            <w:vAlign w:val="center"/>
            <w:hideMark/>
          </w:tcPr>
          <w:p w14:paraId="033CF5F2"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Grid Search</w:t>
            </w:r>
          </w:p>
        </w:tc>
      </w:tr>
      <w:bookmarkEnd w:id="3"/>
      <w:tr w:rsidR="00A76200" w:rsidRPr="00B12D00" w14:paraId="765272FF" w14:textId="77777777" w:rsidTr="003C0818">
        <w:trPr>
          <w:trHeight w:val="300"/>
          <w:jc w:val="center"/>
        </w:trPr>
        <w:tc>
          <w:tcPr>
            <w:tcW w:w="1194" w:type="dxa"/>
            <w:tcBorders>
              <w:top w:val="single" w:sz="4" w:space="0" w:color="auto"/>
              <w:bottom w:val="single" w:sz="4" w:space="0" w:color="auto"/>
              <w:right w:val="single" w:sz="4" w:space="0" w:color="auto"/>
            </w:tcBorders>
            <w:shd w:val="clear" w:color="auto" w:fill="auto"/>
            <w:noWrap/>
            <w:vAlign w:val="center"/>
            <w:hideMark/>
          </w:tcPr>
          <w:p w14:paraId="16A06DC4"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Algorithmo</w:t>
            </w:r>
          </w:p>
        </w:tc>
        <w:tc>
          <w:tcPr>
            <w:tcW w:w="830" w:type="dxa"/>
            <w:tcBorders>
              <w:top w:val="single" w:sz="4" w:space="0" w:color="auto"/>
              <w:left w:val="nil"/>
              <w:bottom w:val="single" w:sz="4" w:space="0" w:color="auto"/>
            </w:tcBorders>
            <w:shd w:val="clear" w:color="auto" w:fill="auto"/>
            <w:noWrap/>
            <w:vAlign w:val="center"/>
            <w:hideMark/>
          </w:tcPr>
          <w:p w14:paraId="239FACF4"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EVS</w:t>
            </w:r>
          </w:p>
        </w:tc>
        <w:tc>
          <w:tcPr>
            <w:tcW w:w="830" w:type="dxa"/>
            <w:tcBorders>
              <w:top w:val="single" w:sz="4" w:space="0" w:color="auto"/>
              <w:bottom w:val="single" w:sz="4" w:space="0" w:color="auto"/>
            </w:tcBorders>
            <w:shd w:val="clear" w:color="auto" w:fill="auto"/>
            <w:noWrap/>
            <w:vAlign w:val="center"/>
            <w:hideMark/>
          </w:tcPr>
          <w:p w14:paraId="3FBAE1A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R</w:t>
            </w:r>
            <w:r w:rsidRPr="00B12D00">
              <w:rPr>
                <w:rFonts w:eastAsia="Times New Roman" w:cstheme="minorHAnsi"/>
                <w:color w:val="000000"/>
                <w:vertAlign w:val="superscript"/>
                <w:lang w:eastAsia="pt-BR"/>
              </w:rPr>
              <w:t>2</w:t>
            </w:r>
          </w:p>
        </w:tc>
        <w:tc>
          <w:tcPr>
            <w:tcW w:w="830" w:type="dxa"/>
            <w:tcBorders>
              <w:top w:val="single" w:sz="4" w:space="0" w:color="auto"/>
              <w:bottom w:val="single" w:sz="4" w:space="0" w:color="auto"/>
            </w:tcBorders>
            <w:shd w:val="clear" w:color="auto" w:fill="auto"/>
            <w:noWrap/>
            <w:vAlign w:val="center"/>
            <w:hideMark/>
          </w:tcPr>
          <w:p w14:paraId="7F70D6A1"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MAE</w:t>
            </w:r>
          </w:p>
        </w:tc>
        <w:tc>
          <w:tcPr>
            <w:tcW w:w="1083" w:type="dxa"/>
            <w:tcBorders>
              <w:top w:val="single" w:sz="4" w:space="0" w:color="auto"/>
              <w:bottom w:val="single" w:sz="4" w:space="0" w:color="auto"/>
              <w:right w:val="single" w:sz="4" w:space="0" w:color="auto"/>
            </w:tcBorders>
            <w:shd w:val="clear" w:color="auto" w:fill="auto"/>
            <w:noWrap/>
            <w:vAlign w:val="center"/>
            <w:hideMark/>
          </w:tcPr>
          <w:p w14:paraId="26E6D973"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Time</w:t>
            </w:r>
          </w:p>
        </w:tc>
        <w:tc>
          <w:tcPr>
            <w:tcW w:w="830" w:type="dxa"/>
            <w:tcBorders>
              <w:top w:val="single" w:sz="4" w:space="0" w:color="auto"/>
              <w:left w:val="nil"/>
              <w:bottom w:val="single" w:sz="4" w:space="0" w:color="auto"/>
            </w:tcBorders>
            <w:shd w:val="clear" w:color="auto" w:fill="auto"/>
            <w:noWrap/>
            <w:vAlign w:val="center"/>
            <w:hideMark/>
          </w:tcPr>
          <w:p w14:paraId="0130C71B"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EVS</w:t>
            </w:r>
          </w:p>
        </w:tc>
        <w:tc>
          <w:tcPr>
            <w:tcW w:w="830" w:type="dxa"/>
            <w:tcBorders>
              <w:top w:val="single" w:sz="4" w:space="0" w:color="auto"/>
              <w:bottom w:val="single" w:sz="4" w:space="0" w:color="auto"/>
            </w:tcBorders>
            <w:shd w:val="clear" w:color="auto" w:fill="auto"/>
            <w:noWrap/>
            <w:vAlign w:val="center"/>
            <w:hideMark/>
          </w:tcPr>
          <w:p w14:paraId="4752FE5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R</w:t>
            </w:r>
            <w:r w:rsidRPr="00B12D00">
              <w:rPr>
                <w:rFonts w:eastAsia="Times New Roman" w:cstheme="minorHAnsi"/>
                <w:color w:val="000000"/>
                <w:vertAlign w:val="superscript"/>
                <w:lang w:eastAsia="pt-BR"/>
              </w:rPr>
              <w:t>2</w:t>
            </w:r>
          </w:p>
        </w:tc>
        <w:tc>
          <w:tcPr>
            <w:tcW w:w="803" w:type="dxa"/>
            <w:tcBorders>
              <w:top w:val="single" w:sz="4" w:space="0" w:color="auto"/>
              <w:bottom w:val="single" w:sz="4" w:space="0" w:color="auto"/>
            </w:tcBorders>
            <w:shd w:val="clear" w:color="auto" w:fill="auto"/>
            <w:noWrap/>
            <w:vAlign w:val="center"/>
            <w:hideMark/>
          </w:tcPr>
          <w:p w14:paraId="55F558C1"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MAE</w:t>
            </w:r>
          </w:p>
        </w:tc>
        <w:tc>
          <w:tcPr>
            <w:tcW w:w="1190" w:type="dxa"/>
            <w:tcBorders>
              <w:top w:val="single" w:sz="4" w:space="0" w:color="auto"/>
              <w:bottom w:val="single" w:sz="4" w:space="0" w:color="auto"/>
            </w:tcBorders>
            <w:shd w:val="clear" w:color="auto" w:fill="auto"/>
            <w:noWrap/>
            <w:vAlign w:val="center"/>
            <w:hideMark/>
          </w:tcPr>
          <w:p w14:paraId="405ACC0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Time</w:t>
            </w:r>
          </w:p>
        </w:tc>
      </w:tr>
      <w:tr w:rsidR="00A76200" w:rsidRPr="00B12D00" w14:paraId="738DC10F" w14:textId="77777777" w:rsidTr="003C0818">
        <w:trPr>
          <w:trHeight w:val="300"/>
          <w:jc w:val="center"/>
        </w:trPr>
        <w:tc>
          <w:tcPr>
            <w:tcW w:w="1194" w:type="dxa"/>
            <w:tcBorders>
              <w:top w:val="single" w:sz="4" w:space="0" w:color="auto"/>
              <w:bottom w:val="dotted" w:sz="4" w:space="0" w:color="auto"/>
              <w:right w:val="single" w:sz="4" w:space="0" w:color="auto"/>
            </w:tcBorders>
            <w:shd w:val="clear" w:color="auto" w:fill="auto"/>
            <w:noWrap/>
            <w:vAlign w:val="center"/>
            <w:hideMark/>
          </w:tcPr>
          <w:p w14:paraId="541298E5"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XGBoost</w:t>
            </w:r>
          </w:p>
        </w:tc>
        <w:tc>
          <w:tcPr>
            <w:tcW w:w="830" w:type="dxa"/>
            <w:tcBorders>
              <w:top w:val="single" w:sz="4" w:space="0" w:color="auto"/>
              <w:left w:val="single" w:sz="4" w:space="0" w:color="auto"/>
              <w:bottom w:val="dotted" w:sz="4" w:space="0" w:color="auto"/>
            </w:tcBorders>
            <w:shd w:val="clear" w:color="auto" w:fill="auto"/>
            <w:noWrap/>
            <w:vAlign w:val="center"/>
            <w:hideMark/>
          </w:tcPr>
          <w:p w14:paraId="6880778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0.9958</w:t>
            </w:r>
          </w:p>
        </w:tc>
        <w:tc>
          <w:tcPr>
            <w:tcW w:w="830" w:type="dxa"/>
            <w:tcBorders>
              <w:top w:val="single" w:sz="4" w:space="0" w:color="auto"/>
              <w:bottom w:val="dotted" w:sz="4" w:space="0" w:color="auto"/>
            </w:tcBorders>
            <w:shd w:val="clear" w:color="auto" w:fill="auto"/>
            <w:noWrap/>
            <w:vAlign w:val="center"/>
            <w:hideMark/>
          </w:tcPr>
          <w:p w14:paraId="2377982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0.9958</w:t>
            </w:r>
          </w:p>
        </w:tc>
        <w:tc>
          <w:tcPr>
            <w:tcW w:w="830" w:type="dxa"/>
            <w:tcBorders>
              <w:top w:val="single" w:sz="4" w:space="0" w:color="auto"/>
              <w:bottom w:val="dotted" w:sz="4" w:space="0" w:color="auto"/>
            </w:tcBorders>
            <w:shd w:val="clear" w:color="auto" w:fill="auto"/>
            <w:noWrap/>
            <w:vAlign w:val="center"/>
            <w:hideMark/>
          </w:tcPr>
          <w:p w14:paraId="3E148C3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0.1197</w:t>
            </w:r>
          </w:p>
        </w:tc>
        <w:tc>
          <w:tcPr>
            <w:tcW w:w="1083" w:type="dxa"/>
            <w:tcBorders>
              <w:top w:val="single" w:sz="4" w:space="0" w:color="auto"/>
              <w:bottom w:val="dotted" w:sz="4" w:space="0" w:color="auto"/>
              <w:right w:val="single" w:sz="4" w:space="0" w:color="auto"/>
            </w:tcBorders>
            <w:shd w:val="clear" w:color="auto" w:fill="auto"/>
            <w:noWrap/>
            <w:vAlign w:val="center"/>
            <w:hideMark/>
          </w:tcPr>
          <w:p w14:paraId="3553425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1h5min5s</w:t>
            </w:r>
          </w:p>
        </w:tc>
        <w:tc>
          <w:tcPr>
            <w:tcW w:w="830" w:type="dxa"/>
            <w:tcBorders>
              <w:top w:val="single" w:sz="4" w:space="0" w:color="auto"/>
              <w:left w:val="nil"/>
              <w:bottom w:val="dotted" w:sz="4" w:space="0" w:color="auto"/>
            </w:tcBorders>
            <w:shd w:val="clear" w:color="auto" w:fill="auto"/>
            <w:noWrap/>
            <w:vAlign w:val="center"/>
            <w:hideMark/>
          </w:tcPr>
          <w:p w14:paraId="5623E35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0.9482</w:t>
            </w:r>
          </w:p>
        </w:tc>
        <w:tc>
          <w:tcPr>
            <w:tcW w:w="830" w:type="dxa"/>
            <w:tcBorders>
              <w:top w:val="single" w:sz="4" w:space="0" w:color="auto"/>
              <w:bottom w:val="dotted" w:sz="4" w:space="0" w:color="auto"/>
            </w:tcBorders>
            <w:shd w:val="clear" w:color="auto" w:fill="auto"/>
            <w:noWrap/>
            <w:vAlign w:val="center"/>
            <w:hideMark/>
          </w:tcPr>
          <w:p w14:paraId="39D51FC7"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0.9482</w:t>
            </w:r>
          </w:p>
        </w:tc>
        <w:tc>
          <w:tcPr>
            <w:tcW w:w="803" w:type="dxa"/>
            <w:tcBorders>
              <w:top w:val="single" w:sz="4" w:space="0" w:color="auto"/>
              <w:bottom w:val="dotted" w:sz="4" w:space="0" w:color="auto"/>
            </w:tcBorders>
            <w:shd w:val="clear" w:color="auto" w:fill="auto"/>
            <w:noWrap/>
            <w:vAlign w:val="center"/>
            <w:hideMark/>
          </w:tcPr>
          <w:p w14:paraId="4030DE59"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0.0152</w:t>
            </w:r>
          </w:p>
        </w:tc>
        <w:tc>
          <w:tcPr>
            <w:tcW w:w="1190" w:type="dxa"/>
            <w:tcBorders>
              <w:top w:val="single" w:sz="4" w:space="0" w:color="auto"/>
              <w:bottom w:val="dotted" w:sz="4" w:space="0" w:color="auto"/>
            </w:tcBorders>
            <w:shd w:val="clear" w:color="auto" w:fill="auto"/>
            <w:noWrap/>
            <w:vAlign w:val="center"/>
          </w:tcPr>
          <w:p w14:paraId="2DCED9FE"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8h9min36s</w:t>
            </w:r>
          </w:p>
        </w:tc>
      </w:tr>
      <w:tr w:rsidR="00A76200" w:rsidRPr="00B12D00" w14:paraId="7D9E3EE3"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203449D9"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Lasso</w:t>
            </w:r>
          </w:p>
        </w:tc>
        <w:tc>
          <w:tcPr>
            <w:tcW w:w="830" w:type="dxa"/>
            <w:tcBorders>
              <w:top w:val="dotted" w:sz="4" w:space="0" w:color="auto"/>
              <w:left w:val="single" w:sz="4" w:space="0" w:color="auto"/>
              <w:bottom w:val="dotted" w:sz="4" w:space="0" w:color="auto"/>
            </w:tcBorders>
            <w:shd w:val="clear" w:color="auto" w:fill="auto"/>
            <w:noWrap/>
            <w:vAlign w:val="center"/>
            <w:hideMark/>
          </w:tcPr>
          <w:p w14:paraId="1101C4CE"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0.9076</w:t>
            </w:r>
          </w:p>
        </w:tc>
        <w:tc>
          <w:tcPr>
            <w:tcW w:w="830" w:type="dxa"/>
            <w:tcBorders>
              <w:top w:val="dotted" w:sz="4" w:space="0" w:color="auto"/>
              <w:bottom w:val="dotted" w:sz="4" w:space="0" w:color="auto"/>
            </w:tcBorders>
            <w:shd w:val="clear" w:color="auto" w:fill="auto"/>
            <w:noWrap/>
            <w:vAlign w:val="center"/>
            <w:hideMark/>
          </w:tcPr>
          <w:p w14:paraId="0BE7C47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0.9035</w:t>
            </w:r>
          </w:p>
        </w:tc>
        <w:tc>
          <w:tcPr>
            <w:tcW w:w="830" w:type="dxa"/>
            <w:tcBorders>
              <w:top w:val="dotted" w:sz="4" w:space="0" w:color="auto"/>
              <w:bottom w:val="dotted" w:sz="4" w:space="0" w:color="auto"/>
            </w:tcBorders>
            <w:shd w:val="clear" w:color="auto" w:fill="auto"/>
            <w:noWrap/>
            <w:vAlign w:val="center"/>
            <w:hideMark/>
          </w:tcPr>
          <w:p w14:paraId="5567DFF7"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0.0332</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0D07FA6C"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39.8s</w:t>
            </w:r>
          </w:p>
        </w:tc>
        <w:tc>
          <w:tcPr>
            <w:tcW w:w="830" w:type="dxa"/>
            <w:tcBorders>
              <w:top w:val="dotted" w:sz="4" w:space="0" w:color="auto"/>
              <w:left w:val="nil"/>
              <w:bottom w:val="dotted" w:sz="4" w:space="0" w:color="auto"/>
            </w:tcBorders>
            <w:shd w:val="clear" w:color="auto" w:fill="auto"/>
            <w:noWrap/>
            <w:vAlign w:val="center"/>
            <w:hideMark/>
          </w:tcPr>
          <w:p w14:paraId="061EC619"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0.9540</w:t>
            </w:r>
          </w:p>
        </w:tc>
        <w:tc>
          <w:tcPr>
            <w:tcW w:w="830" w:type="dxa"/>
            <w:tcBorders>
              <w:top w:val="dotted" w:sz="4" w:space="0" w:color="auto"/>
              <w:bottom w:val="dotted" w:sz="4" w:space="0" w:color="auto"/>
            </w:tcBorders>
            <w:shd w:val="clear" w:color="auto" w:fill="auto"/>
            <w:noWrap/>
            <w:vAlign w:val="center"/>
            <w:hideMark/>
          </w:tcPr>
          <w:p w14:paraId="65A25DC9"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0.9540</w:t>
            </w:r>
          </w:p>
        </w:tc>
        <w:tc>
          <w:tcPr>
            <w:tcW w:w="803" w:type="dxa"/>
            <w:tcBorders>
              <w:top w:val="dotted" w:sz="4" w:space="0" w:color="auto"/>
              <w:bottom w:val="dotted" w:sz="4" w:space="0" w:color="auto"/>
            </w:tcBorders>
            <w:shd w:val="clear" w:color="auto" w:fill="auto"/>
            <w:noWrap/>
            <w:vAlign w:val="center"/>
            <w:hideMark/>
          </w:tcPr>
          <w:p w14:paraId="20F4C469"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0.0915</w:t>
            </w:r>
          </w:p>
        </w:tc>
        <w:tc>
          <w:tcPr>
            <w:tcW w:w="1190" w:type="dxa"/>
            <w:tcBorders>
              <w:top w:val="dotted" w:sz="4" w:space="0" w:color="auto"/>
              <w:bottom w:val="dotted" w:sz="4" w:space="0" w:color="auto"/>
            </w:tcBorders>
            <w:shd w:val="clear" w:color="auto" w:fill="auto"/>
            <w:noWrap/>
            <w:vAlign w:val="center"/>
            <w:hideMark/>
          </w:tcPr>
          <w:p w14:paraId="691FA23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25min44s</w:t>
            </w:r>
          </w:p>
        </w:tc>
      </w:tr>
      <w:tr w:rsidR="00A76200" w:rsidRPr="00B12D00" w14:paraId="575B2CAE"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tcPr>
          <w:p w14:paraId="3ADF8BCB" w14:textId="77777777" w:rsidR="00A76200" w:rsidRPr="00B12D00" w:rsidRDefault="00A76200" w:rsidP="003C0818">
            <w:pPr>
              <w:spacing w:after="0" w:line="240" w:lineRule="auto"/>
              <w:rPr>
                <w:rFonts w:eastAsia="Times New Roman" w:cstheme="minorHAnsi"/>
                <w:color w:val="000000"/>
                <w:lang w:eastAsia="pt-BR"/>
              </w:rPr>
            </w:pPr>
            <w:bookmarkStart w:id="4" w:name="_Hlk89727864"/>
            <w:r w:rsidRPr="00B12D00">
              <w:rPr>
                <w:rFonts w:eastAsia="Times New Roman" w:cstheme="minorHAnsi"/>
                <w:color w:val="000000"/>
                <w:lang w:eastAsia="pt-BR"/>
              </w:rPr>
              <w:t>Multi-Task</w:t>
            </w:r>
          </w:p>
        </w:tc>
        <w:tc>
          <w:tcPr>
            <w:tcW w:w="830" w:type="dxa"/>
            <w:tcBorders>
              <w:top w:val="dotted" w:sz="4" w:space="0" w:color="auto"/>
              <w:left w:val="single" w:sz="4" w:space="0" w:color="auto"/>
              <w:bottom w:val="dotted" w:sz="4" w:space="0" w:color="auto"/>
            </w:tcBorders>
            <w:shd w:val="clear" w:color="auto" w:fill="auto"/>
            <w:noWrap/>
            <w:vAlign w:val="center"/>
          </w:tcPr>
          <w:p w14:paraId="2D02B20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0.9913</w:t>
            </w:r>
          </w:p>
        </w:tc>
        <w:tc>
          <w:tcPr>
            <w:tcW w:w="830" w:type="dxa"/>
            <w:tcBorders>
              <w:top w:val="dotted" w:sz="4" w:space="0" w:color="auto"/>
              <w:bottom w:val="dotted" w:sz="4" w:space="0" w:color="auto"/>
            </w:tcBorders>
            <w:shd w:val="clear" w:color="auto" w:fill="auto"/>
            <w:noWrap/>
            <w:vAlign w:val="center"/>
          </w:tcPr>
          <w:p w14:paraId="5B73A03C"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0.9913</w:t>
            </w:r>
          </w:p>
        </w:tc>
        <w:tc>
          <w:tcPr>
            <w:tcW w:w="830" w:type="dxa"/>
            <w:tcBorders>
              <w:top w:val="dotted" w:sz="4" w:space="0" w:color="auto"/>
              <w:bottom w:val="dotted" w:sz="4" w:space="0" w:color="auto"/>
            </w:tcBorders>
            <w:shd w:val="clear" w:color="auto" w:fill="auto"/>
            <w:noWrap/>
            <w:vAlign w:val="center"/>
          </w:tcPr>
          <w:p w14:paraId="7DD70FC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0.0868</w:t>
            </w:r>
          </w:p>
        </w:tc>
        <w:tc>
          <w:tcPr>
            <w:tcW w:w="1083" w:type="dxa"/>
            <w:tcBorders>
              <w:top w:val="dotted" w:sz="4" w:space="0" w:color="auto"/>
              <w:bottom w:val="dotted" w:sz="4" w:space="0" w:color="auto"/>
              <w:right w:val="single" w:sz="4" w:space="0" w:color="auto"/>
            </w:tcBorders>
            <w:shd w:val="clear" w:color="auto" w:fill="auto"/>
            <w:noWrap/>
            <w:vAlign w:val="center"/>
          </w:tcPr>
          <w:p w14:paraId="3E84903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1min3s</w:t>
            </w:r>
          </w:p>
        </w:tc>
        <w:tc>
          <w:tcPr>
            <w:tcW w:w="830" w:type="dxa"/>
            <w:tcBorders>
              <w:top w:val="dotted" w:sz="4" w:space="0" w:color="auto"/>
              <w:left w:val="nil"/>
              <w:bottom w:val="dotted" w:sz="4" w:space="0" w:color="auto"/>
            </w:tcBorders>
            <w:shd w:val="clear" w:color="auto" w:fill="auto"/>
            <w:noWrap/>
            <w:vAlign w:val="center"/>
          </w:tcPr>
          <w:p w14:paraId="7E9E83A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0.9607</w:t>
            </w:r>
          </w:p>
        </w:tc>
        <w:tc>
          <w:tcPr>
            <w:tcW w:w="830" w:type="dxa"/>
            <w:tcBorders>
              <w:top w:val="dotted" w:sz="4" w:space="0" w:color="auto"/>
              <w:bottom w:val="dotted" w:sz="4" w:space="0" w:color="auto"/>
            </w:tcBorders>
            <w:shd w:val="clear" w:color="auto" w:fill="auto"/>
            <w:noWrap/>
            <w:vAlign w:val="center"/>
          </w:tcPr>
          <w:p w14:paraId="222D4B14"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0.9606</w:t>
            </w:r>
          </w:p>
        </w:tc>
        <w:tc>
          <w:tcPr>
            <w:tcW w:w="803" w:type="dxa"/>
            <w:tcBorders>
              <w:top w:val="dotted" w:sz="4" w:space="0" w:color="auto"/>
              <w:bottom w:val="dotted" w:sz="4" w:space="0" w:color="auto"/>
            </w:tcBorders>
            <w:shd w:val="clear" w:color="auto" w:fill="auto"/>
            <w:noWrap/>
            <w:vAlign w:val="center"/>
          </w:tcPr>
          <w:p w14:paraId="3EA5F4BD"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0.0802</w:t>
            </w:r>
          </w:p>
        </w:tc>
        <w:tc>
          <w:tcPr>
            <w:tcW w:w="1190" w:type="dxa"/>
            <w:tcBorders>
              <w:top w:val="dotted" w:sz="4" w:space="0" w:color="auto"/>
              <w:bottom w:val="dotted" w:sz="4" w:space="0" w:color="auto"/>
            </w:tcBorders>
            <w:shd w:val="clear" w:color="auto" w:fill="auto"/>
            <w:noWrap/>
            <w:vAlign w:val="center"/>
          </w:tcPr>
          <w:p w14:paraId="7FAAD28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36min13s</w:t>
            </w:r>
          </w:p>
        </w:tc>
      </w:tr>
      <w:bookmarkEnd w:id="4"/>
      <w:tr w:rsidR="00A76200" w:rsidRPr="00B12D00" w14:paraId="56EB560C"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5FCDEC7F"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Bayes</w:t>
            </w:r>
          </w:p>
        </w:tc>
        <w:tc>
          <w:tcPr>
            <w:tcW w:w="830" w:type="dxa"/>
            <w:tcBorders>
              <w:top w:val="dotted" w:sz="4" w:space="0" w:color="auto"/>
              <w:left w:val="single" w:sz="4" w:space="0" w:color="auto"/>
              <w:bottom w:val="dotted" w:sz="4" w:space="0" w:color="auto"/>
            </w:tcBorders>
            <w:shd w:val="clear" w:color="auto" w:fill="auto"/>
            <w:noWrap/>
            <w:vAlign w:val="center"/>
            <w:hideMark/>
          </w:tcPr>
          <w:p w14:paraId="79F6A37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0.9917</w:t>
            </w:r>
          </w:p>
        </w:tc>
        <w:tc>
          <w:tcPr>
            <w:tcW w:w="830" w:type="dxa"/>
            <w:tcBorders>
              <w:top w:val="dotted" w:sz="4" w:space="0" w:color="auto"/>
              <w:bottom w:val="dotted" w:sz="4" w:space="0" w:color="auto"/>
            </w:tcBorders>
            <w:shd w:val="clear" w:color="auto" w:fill="auto"/>
            <w:noWrap/>
            <w:vAlign w:val="center"/>
            <w:hideMark/>
          </w:tcPr>
          <w:p w14:paraId="05E9280E"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0.9917</w:t>
            </w:r>
          </w:p>
        </w:tc>
        <w:tc>
          <w:tcPr>
            <w:tcW w:w="830" w:type="dxa"/>
            <w:tcBorders>
              <w:top w:val="dotted" w:sz="4" w:space="0" w:color="auto"/>
              <w:bottom w:val="dotted" w:sz="4" w:space="0" w:color="auto"/>
            </w:tcBorders>
            <w:shd w:val="clear" w:color="auto" w:fill="auto"/>
            <w:noWrap/>
            <w:vAlign w:val="center"/>
            <w:hideMark/>
          </w:tcPr>
          <w:p w14:paraId="5CB25A4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0.0183</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413D6028"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2min38s</w:t>
            </w:r>
          </w:p>
        </w:tc>
        <w:tc>
          <w:tcPr>
            <w:tcW w:w="830" w:type="dxa"/>
            <w:tcBorders>
              <w:top w:val="dotted" w:sz="4" w:space="0" w:color="auto"/>
              <w:left w:val="nil"/>
              <w:bottom w:val="dotted" w:sz="4" w:space="0" w:color="auto"/>
            </w:tcBorders>
            <w:shd w:val="clear" w:color="auto" w:fill="auto"/>
            <w:noWrap/>
            <w:vAlign w:val="center"/>
            <w:hideMark/>
          </w:tcPr>
          <w:p w14:paraId="6A9EB1A0"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0.9559</w:t>
            </w:r>
          </w:p>
        </w:tc>
        <w:tc>
          <w:tcPr>
            <w:tcW w:w="830" w:type="dxa"/>
            <w:tcBorders>
              <w:top w:val="dotted" w:sz="4" w:space="0" w:color="auto"/>
              <w:bottom w:val="dotted" w:sz="4" w:space="0" w:color="auto"/>
            </w:tcBorders>
            <w:shd w:val="clear" w:color="auto" w:fill="auto"/>
            <w:noWrap/>
            <w:vAlign w:val="center"/>
            <w:hideMark/>
          </w:tcPr>
          <w:p w14:paraId="651131D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0.9559</w:t>
            </w:r>
          </w:p>
        </w:tc>
        <w:tc>
          <w:tcPr>
            <w:tcW w:w="803" w:type="dxa"/>
            <w:tcBorders>
              <w:top w:val="dotted" w:sz="4" w:space="0" w:color="auto"/>
              <w:bottom w:val="dotted" w:sz="4" w:space="0" w:color="auto"/>
            </w:tcBorders>
            <w:shd w:val="clear" w:color="auto" w:fill="auto"/>
            <w:noWrap/>
            <w:vAlign w:val="center"/>
            <w:hideMark/>
          </w:tcPr>
          <w:p w14:paraId="5FB1384D"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0.0847</w:t>
            </w:r>
          </w:p>
        </w:tc>
        <w:tc>
          <w:tcPr>
            <w:tcW w:w="1190" w:type="dxa"/>
            <w:tcBorders>
              <w:top w:val="dotted" w:sz="4" w:space="0" w:color="auto"/>
              <w:bottom w:val="dotted" w:sz="4" w:space="0" w:color="auto"/>
            </w:tcBorders>
            <w:shd w:val="clear" w:color="auto" w:fill="auto"/>
            <w:noWrap/>
            <w:vAlign w:val="center"/>
            <w:hideMark/>
          </w:tcPr>
          <w:p w14:paraId="2CC9DB3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4h2min4s</w:t>
            </w:r>
          </w:p>
        </w:tc>
      </w:tr>
      <w:tr w:rsidR="00A76200" w:rsidRPr="00B12D00" w14:paraId="4B1B4059"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1D50E360" w14:textId="77777777" w:rsidR="00A76200" w:rsidRPr="00B12D00" w:rsidRDefault="00A76200" w:rsidP="003C0818">
            <w:pPr>
              <w:spacing w:after="0" w:line="240" w:lineRule="auto"/>
              <w:rPr>
                <w:rFonts w:eastAsia="Times New Roman" w:cstheme="minorHAnsi"/>
                <w:color w:val="000000"/>
                <w:lang w:eastAsia="pt-BR"/>
              </w:rPr>
            </w:pPr>
            <w:bookmarkStart w:id="5" w:name="_Hlk71534625"/>
            <w:r w:rsidRPr="00B12D00">
              <w:rPr>
                <w:rFonts w:eastAsia="Times New Roman" w:cstheme="minorHAnsi"/>
                <w:color w:val="000000"/>
                <w:lang w:eastAsia="pt-BR"/>
              </w:rPr>
              <w:t>Elastic Net</w:t>
            </w:r>
          </w:p>
        </w:tc>
        <w:tc>
          <w:tcPr>
            <w:tcW w:w="830" w:type="dxa"/>
            <w:tcBorders>
              <w:top w:val="dotted" w:sz="4" w:space="0" w:color="auto"/>
              <w:left w:val="single" w:sz="4" w:space="0" w:color="auto"/>
              <w:bottom w:val="dotted" w:sz="4" w:space="0" w:color="auto"/>
            </w:tcBorders>
            <w:shd w:val="clear" w:color="auto" w:fill="auto"/>
            <w:noWrap/>
            <w:vAlign w:val="center"/>
            <w:hideMark/>
          </w:tcPr>
          <w:p w14:paraId="432FAB9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0.6567</w:t>
            </w:r>
          </w:p>
        </w:tc>
        <w:tc>
          <w:tcPr>
            <w:tcW w:w="830" w:type="dxa"/>
            <w:tcBorders>
              <w:top w:val="dotted" w:sz="4" w:space="0" w:color="auto"/>
              <w:bottom w:val="dotted" w:sz="4" w:space="0" w:color="auto"/>
            </w:tcBorders>
            <w:shd w:val="clear" w:color="auto" w:fill="auto"/>
            <w:noWrap/>
            <w:vAlign w:val="center"/>
            <w:hideMark/>
          </w:tcPr>
          <w:p w14:paraId="16D7D31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0.6556</w:t>
            </w:r>
          </w:p>
        </w:tc>
        <w:tc>
          <w:tcPr>
            <w:tcW w:w="830" w:type="dxa"/>
            <w:tcBorders>
              <w:top w:val="dotted" w:sz="4" w:space="0" w:color="auto"/>
              <w:bottom w:val="dotted" w:sz="4" w:space="0" w:color="auto"/>
            </w:tcBorders>
            <w:shd w:val="clear" w:color="auto" w:fill="auto"/>
            <w:noWrap/>
            <w:vAlign w:val="center"/>
            <w:hideMark/>
          </w:tcPr>
          <w:p w14:paraId="70CB165D"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0.0745</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3A25E047"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15.3s</w:t>
            </w:r>
          </w:p>
        </w:tc>
        <w:tc>
          <w:tcPr>
            <w:tcW w:w="830" w:type="dxa"/>
            <w:tcBorders>
              <w:top w:val="dotted" w:sz="4" w:space="0" w:color="auto"/>
              <w:left w:val="nil"/>
              <w:bottom w:val="dotted" w:sz="4" w:space="0" w:color="auto"/>
            </w:tcBorders>
            <w:shd w:val="clear" w:color="auto" w:fill="auto"/>
            <w:noWrap/>
            <w:vAlign w:val="center"/>
            <w:hideMark/>
          </w:tcPr>
          <w:p w14:paraId="5A19CC3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0.5572</w:t>
            </w:r>
          </w:p>
        </w:tc>
        <w:tc>
          <w:tcPr>
            <w:tcW w:w="830" w:type="dxa"/>
            <w:tcBorders>
              <w:top w:val="dotted" w:sz="4" w:space="0" w:color="auto"/>
              <w:bottom w:val="dotted" w:sz="4" w:space="0" w:color="auto"/>
            </w:tcBorders>
            <w:shd w:val="clear" w:color="auto" w:fill="auto"/>
            <w:noWrap/>
            <w:vAlign w:val="center"/>
            <w:hideMark/>
          </w:tcPr>
          <w:p w14:paraId="2ABD7F87"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0.5701</w:t>
            </w:r>
          </w:p>
        </w:tc>
        <w:tc>
          <w:tcPr>
            <w:tcW w:w="803" w:type="dxa"/>
            <w:tcBorders>
              <w:top w:val="dotted" w:sz="4" w:space="0" w:color="auto"/>
              <w:bottom w:val="dotted" w:sz="4" w:space="0" w:color="auto"/>
            </w:tcBorders>
            <w:shd w:val="clear" w:color="auto" w:fill="auto"/>
            <w:noWrap/>
            <w:vAlign w:val="center"/>
            <w:hideMark/>
          </w:tcPr>
          <w:p w14:paraId="42D2346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0.0750</w:t>
            </w:r>
          </w:p>
        </w:tc>
        <w:tc>
          <w:tcPr>
            <w:tcW w:w="1190" w:type="dxa"/>
            <w:tcBorders>
              <w:top w:val="dotted" w:sz="4" w:space="0" w:color="auto"/>
              <w:bottom w:val="dotted" w:sz="4" w:space="0" w:color="auto"/>
            </w:tcBorders>
            <w:shd w:val="clear" w:color="auto" w:fill="auto"/>
            <w:noWrap/>
            <w:vAlign w:val="center"/>
            <w:hideMark/>
          </w:tcPr>
          <w:p w14:paraId="153270BA"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6h47min1s</w:t>
            </w:r>
          </w:p>
        </w:tc>
      </w:tr>
      <w:bookmarkEnd w:id="5"/>
      <w:tr w:rsidR="00A76200" w:rsidRPr="00B12D00" w14:paraId="2AF185B6"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6F8079AF"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Ridge</w:t>
            </w:r>
          </w:p>
        </w:tc>
        <w:tc>
          <w:tcPr>
            <w:tcW w:w="830" w:type="dxa"/>
            <w:tcBorders>
              <w:top w:val="dotted" w:sz="4" w:space="0" w:color="auto"/>
              <w:left w:val="single" w:sz="4" w:space="0" w:color="auto"/>
              <w:bottom w:val="dotted" w:sz="4" w:space="0" w:color="auto"/>
            </w:tcBorders>
            <w:shd w:val="clear" w:color="auto" w:fill="auto"/>
            <w:noWrap/>
            <w:vAlign w:val="center"/>
            <w:hideMark/>
          </w:tcPr>
          <w:p w14:paraId="2EC9293C"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0.9917</w:t>
            </w:r>
          </w:p>
        </w:tc>
        <w:tc>
          <w:tcPr>
            <w:tcW w:w="830" w:type="dxa"/>
            <w:tcBorders>
              <w:top w:val="dotted" w:sz="4" w:space="0" w:color="auto"/>
              <w:bottom w:val="dotted" w:sz="4" w:space="0" w:color="auto"/>
            </w:tcBorders>
            <w:shd w:val="clear" w:color="auto" w:fill="auto"/>
            <w:noWrap/>
            <w:vAlign w:val="center"/>
            <w:hideMark/>
          </w:tcPr>
          <w:p w14:paraId="763FA39B"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0.9917</w:t>
            </w:r>
          </w:p>
        </w:tc>
        <w:tc>
          <w:tcPr>
            <w:tcW w:w="830" w:type="dxa"/>
            <w:tcBorders>
              <w:top w:val="dotted" w:sz="4" w:space="0" w:color="auto"/>
              <w:bottom w:val="dotted" w:sz="4" w:space="0" w:color="auto"/>
            </w:tcBorders>
            <w:shd w:val="clear" w:color="auto" w:fill="auto"/>
            <w:noWrap/>
            <w:vAlign w:val="center"/>
            <w:hideMark/>
          </w:tcPr>
          <w:p w14:paraId="02747616"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0.2164</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48E2D85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7.25s</w:t>
            </w:r>
          </w:p>
        </w:tc>
        <w:tc>
          <w:tcPr>
            <w:tcW w:w="830" w:type="dxa"/>
            <w:tcBorders>
              <w:top w:val="dotted" w:sz="4" w:space="0" w:color="auto"/>
              <w:left w:val="nil"/>
              <w:bottom w:val="dotted" w:sz="4" w:space="0" w:color="auto"/>
            </w:tcBorders>
            <w:shd w:val="clear" w:color="auto" w:fill="auto"/>
            <w:noWrap/>
            <w:vAlign w:val="center"/>
            <w:hideMark/>
          </w:tcPr>
          <w:p w14:paraId="41939F10"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0.9538</w:t>
            </w:r>
          </w:p>
        </w:tc>
        <w:tc>
          <w:tcPr>
            <w:tcW w:w="830" w:type="dxa"/>
            <w:tcBorders>
              <w:top w:val="dotted" w:sz="4" w:space="0" w:color="auto"/>
              <w:bottom w:val="dotted" w:sz="4" w:space="0" w:color="auto"/>
            </w:tcBorders>
            <w:shd w:val="clear" w:color="auto" w:fill="auto"/>
            <w:noWrap/>
            <w:vAlign w:val="center"/>
            <w:hideMark/>
          </w:tcPr>
          <w:p w14:paraId="5749FE88"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0.9538</w:t>
            </w:r>
          </w:p>
        </w:tc>
        <w:tc>
          <w:tcPr>
            <w:tcW w:w="803" w:type="dxa"/>
            <w:tcBorders>
              <w:top w:val="dotted" w:sz="4" w:space="0" w:color="auto"/>
              <w:bottom w:val="dotted" w:sz="4" w:space="0" w:color="auto"/>
            </w:tcBorders>
            <w:shd w:val="clear" w:color="auto" w:fill="auto"/>
            <w:noWrap/>
            <w:vAlign w:val="center"/>
            <w:hideMark/>
          </w:tcPr>
          <w:p w14:paraId="4CB67974"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0.0192</w:t>
            </w:r>
          </w:p>
        </w:tc>
        <w:tc>
          <w:tcPr>
            <w:tcW w:w="1190" w:type="dxa"/>
            <w:tcBorders>
              <w:top w:val="dotted" w:sz="4" w:space="0" w:color="auto"/>
              <w:bottom w:val="dotted" w:sz="4" w:space="0" w:color="auto"/>
            </w:tcBorders>
            <w:shd w:val="clear" w:color="auto" w:fill="auto"/>
            <w:noWrap/>
            <w:vAlign w:val="center"/>
            <w:hideMark/>
          </w:tcPr>
          <w:p w14:paraId="0F5E2D03"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1min30s</w:t>
            </w:r>
          </w:p>
        </w:tc>
      </w:tr>
      <w:tr w:rsidR="00A76200" w:rsidRPr="00B12D00" w14:paraId="2954A2AF"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0EA364BF"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LARS</w:t>
            </w:r>
          </w:p>
        </w:tc>
        <w:tc>
          <w:tcPr>
            <w:tcW w:w="830" w:type="dxa"/>
            <w:tcBorders>
              <w:top w:val="dotted" w:sz="4" w:space="0" w:color="auto"/>
              <w:left w:val="single" w:sz="4" w:space="0" w:color="auto"/>
              <w:bottom w:val="dotted" w:sz="4" w:space="0" w:color="auto"/>
            </w:tcBorders>
            <w:shd w:val="clear" w:color="auto" w:fill="auto"/>
            <w:noWrap/>
            <w:vAlign w:val="center"/>
            <w:hideMark/>
          </w:tcPr>
          <w:p w14:paraId="2D5CADC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0.9909</w:t>
            </w:r>
          </w:p>
        </w:tc>
        <w:tc>
          <w:tcPr>
            <w:tcW w:w="830" w:type="dxa"/>
            <w:tcBorders>
              <w:top w:val="dotted" w:sz="4" w:space="0" w:color="auto"/>
              <w:bottom w:val="dotted" w:sz="4" w:space="0" w:color="auto"/>
            </w:tcBorders>
            <w:shd w:val="clear" w:color="auto" w:fill="auto"/>
            <w:noWrap/>
            <w:vAlign w:val="center"/>
            <w:hideMark/>
          </w:tcPr>
          <w:p w14:paraId="5782B20F"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0.9909</w:t>
            </w:r>
          </w:p>
        </w:tc>
        <w:tc>
          <w:tcPr>
            <w:tcW w:w="830" w:type="dxa"/>
            <w:tcBorders>
              <w:top w:val="dotted" w:sz="4" w:space="0" w:color="auto"/>
              <w:bottom w:val="dotted" w:sz="4" w:space="0" w:color="auto"/>
            </w:tcBorders>
            <w:shd w:val="clear" w:color="auto" w:fill="auto"/>
            <w:noWrap/>
            <w:vAlign w:val="center"/>
            <w:hideMark/>
          </w:tcPr>
          <w:p w14:paraId="4BF5C75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0.2269</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2EECF893"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49.8s</w:t>
            </w:r>
          </w:p>
        </w:tc>
        <w:tc>
          <w:tcPr>
            <w:tcW w:w="830" w:type="dxa"/>
            <w:tcBorders>
              <w:top w:val="dotted" w:sz="4" w:space="0" w:color="auto"/>
              <w:left w:val="nil"/>
              <w:bottom w:val="dotted" w:sz="4" w:space="0" w:color="auto"/>
            </w:tcBorders>
            <w:shd w:val="clear" w:color="auto" w:fill="auto"/>
            <w:noWrap/>
            <w:vAlign w:val="center"/>
            <w:hideMark/>
          </w:tcPr>
          <w:p w14:paraId="5408DA1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0.1247</w:t>
            </w:r>
          </w:p>
        </w:tc>
        <w:tc>
          <w:tcPr>
            <w:tcW w:w="830" w:type="dxa"/>
            <w:tcBorders>
              <w:top w:val="dotted" w:sz="4" w:space="0" w:color="auto"/>
              <w:bottom w:val="dotted" w:sz="4" w:space="0" w:color="auto"/>
            </w:tcBorders>
            <w:shd w:val="clear" w:color="auto" w:fill="auto"/>
            <w:noWrap/>
            <w:vAlign w:val="center"/>
            <w:hideMark/>
          </w:tcPr>
          <w:p w14:paraId="72A2C6FE"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0.1247</w:t>
            </w:r>
          </w:p>
        </w:tc>
        <w:tc>
          <w:tcPr>
            <w:tcW w:w="803" w:type="dxa"/>
            <w:tcBorders>
              <w:top w:val="dotted" w:sz="4" w:space="0" w:color="auto"/>
              <w:bottom w:val="dotted" w:sz="4" w:space="0" w:color="auto"/>
            </w:tcBorders>
            <w:shd w:val="clear" w:color="auto" w:fill="auto"/>
            <w:noWrap/>
            <w:vAlign w:val="center"/>
            <w:hideMark/>
          </w:tcPr>
          <w:p w14:paraId="69B8F209"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0.0262</w:t>
            </w:r>
          </w:p>
        </w:tc>
        <w:tc>
          <w:tcPr>
            <w:tcW w:w="1190" w:type="dxa"/>
            <w:tcBorders>
              <w:top w:val="dotted" w:sz="4" w:space="0" w:color="auto"/>
              <w:bottom w:val="dotted" w:sz="4" w:space="0" w:color="auto"/>
            </w:tcBorders>
            <w:shd w:val="clear" w:color="auto" w:fill="auto"/>
            <w:noWrap/>
            <w:vAlign w:val="center"/>
            <w:hideMark/>
          </w:tcPr>
          <w:p w14:paraId="772A3588"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2h9min2s</w:t>
            </w:r>
          </w:p>
        </w:tc>
      </w:tr>
      <w:tr w:rsidR="00A76200" w:rsidRPr="00B12D00" w14:paraId="5E8769D3" w14:textId="77777777" w:rsidTr="003C0818">
        <w:trPr>
          <w:trHeight w:val="300"/>
          <w:jc w:val="center"/>
        </w:trPr>
        <w:tc>
          <w:tcPr>
            <w:tcW w:w="1194" w:type="dxa"/>
            <w:tcBorders>
              <w:top w:val="dotted" w:sz="4" w:space="0" w:color="auto"/>
              <w:bottom w:val="dotted" w:sz="4" w:space="0" w:color="auto"/>
              <w:right w:val="single" w:sz="4" w:space="0" w:color="auto"/>
            </w:tcBorders>
            <w:shd w:val="clear" w:color="auto" w:fill="auto"/>
            <w:noWrap/>
            <w:vAlign w:val="center"/>
            <w:hideMark/>
          </w:tcPr>
          <w:p w14:paraId="2EF1EC37"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SGD</w:t>
            </w:r>
          </w:p>
        </w:tc>
        <w:tc>
          <w:tcPr>
            <w:tcW w:w="830" w:type="dxa"/>
            <w:tcBorders>
              <w:top w:val="dotted" w:sz="4" w:space="0" w:color="auto"/>
              <w:left w:val="single" w:sz="4" w:space="0" w:color="auto"/>
              <w:bottom w:val="dotted" w:sz="4" w:space="0" w:color="auto"/>
            </w:tcBorders>
            <w:shd w:val="clear" w:color="auto" w:fill="auto"/>
            <w:noWrap/>
            <w:vAlign w:val="center"/>
            <w:hideMark/>
          </w:tcPr>
          <w:p w14:paraId="11FFCF4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0.3301</w:t>
            </w:r>
          </w:p>
        </w:tc>
        <w:tc>
          <w:tcPr>
            <w:tcW w:w="830" w:type="dxa"/>
            <w:tcBorders>
              <w:top w:val="dotted" w:sz="4" w:space="0" w:color="auto"/>
              <w:bottom w:val="dotted" w:sz="4" w:space="0" w:color="auto"/>
            </w:tcBorders>
            <w:shd w:val="clear" w:color="auto" w:fill="auto"/>
            <w:noWrap/>
            <w:vAlign w:val="center"/>
            <w:hideMark/>
          </w:tcPr>
          <w:p w14:paraId="1DBE98DA"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0.3301</w:t>
            </w:r>
          </w:p>
        </w:tc>
        <w:tc>
          <w:tcPr>
            <w:tcW w:w="830" w:type="dxa"/>
            <w:tcBorders>
              <w:top w:val="dotted" w:sz="4" w:space="0" w:color="auto"/>
              <w:bottom w:val="dotted" w:sz="4" w:space="0" w:color="auto"/>
            </w:tcBorders>
            <w:shd w:val="clear" w:color="auto" w:fill="auto"/>
            <w:noWrap/>
            <w:vAlign w:val="center"/>
            <w:hideMark/>
          </w:tcPr>
          <w:p w14:paraId="33FAAB6D"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0.0983</w:t>
            </w:r>
          </w:p>
        </w:tc>
        <w:tc>
          <w:tcPr>
            <w:tcW w:w="1083" w:type="dxa"/>
            <w:tcBorders>
              <w:top w:val="dotted" w:sz="4" w:space="0" w:color="auto"/>
              <w:bottom w:val="dotted" w:sz="4" w:space="0" w:color="auto"/>
              <w:right w:val="single" w:sz="4" w:space="0" w:color="auto"/>
            </w:tcBorders>
            <w:shd w:val="clear" w:color="auto" w:fill="auto"/>
            <w:noWrap/>
            <w:vAlign w:val="center"/>
            <w:hideMark/>
          </w:tcPr>
          <w:p w14:paraId="328F5256"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1min55s</w:t>
            </w:r>
          </w:p>
        </w:tc>
        <w:tc>
          <w:tcPr>
            <w:tcW w:w="830" w:type="dxa"/>
            <w:tcBorders>
              <w:top w:val="dotted" w:sz="4" w:space="0" w:color="auto"/>
              <w:left w:val="nil"/>
              <w:bottom w:val="dotted" w:sz="4" w:space="0" w:color="auto"/>
            </w:tcBorders>
            <w:shd w:val="clear" w:color="auto" w:fill="auto"/>
            <w:noWrap/>
            <w:vAlign w:val="center"/>
            <w:hideMark/>
          </w:tcPr>
          <w:p w14:paraId="3F5669A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0.4832</w:t>
            </w:r>
          </w:p>
        </w:tc>
        <w:tc>
          <w:tcPr>
            <w:tcW w:w="830" w:type="dxa"/>
            <w:tcBorders>
              <w:top w:val="dotted" w:sz="4" w:space="0" w:color="auto"/>
              <w:bottom w:val="dotted" w:sz="4" w:space="0" w:color="auto"/>
            </w:tcBorders>
            <w:shd w:val="clear" w:color="auto" w:fill="auto"/>
            <w:noWrap/>
            <w:vAlign w:val="center"/>
            <w:hideMark/>
          </w:tcPr>
          <w:p w14:paraId="711F5520"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0.4498</w:t>
            </w:r>
          </w:p>
        </w:tc>
        <w:tc>
          <w:tcPr>
            <w:tcW w:w="803" w:type="dxa"/>
            <w:tcBorders>
              <w:top w:val="dotted" w:sz="4" w:space="0" w:color="auto"/>
              <w:bottom w:val="dotted" w:sz="4" w:space="0" w:color="auto"/>
            </w:tcBorders>
            <w:shd w:val="clear" w:color="auto" w:fill="auto"/>
            <w:noWrap/>
            <w:vAlign w:val="center"/>
            <w:hideMark/>
          </w:tcPr>
          <w:p w14:paraId="5A118E5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0.0876</w:t>
            </w:r>
          </w:p>
        </w:tc>
        <w:tc>
          <w:tcPr>
            <w:tcW w:w="1190" w:type="dxa"/>
            <w:tcBorders>
              <w:top w:val="dotted" w:sz="4" w:space="0" w:color="auto"/>
              <w:bottom w:val="dotted" w:sz="4" w:space="0" w:color="auto"/>
            </w:tcBorders>
            <w:shd w:val="clear" w:color="auto" w:fill="auto"/>
            <w:noWrap/>
            <w:vAlign w:val="center"/>
            <w:hideMark/>
          </w:tcPr>
          <w:p w14:paraId="6E8E275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2h4min41s</w:t>
            </w:r>
          </w:p>
        </w:tc>
      </w:tr>
      <w:tr w:rsidR="00A76200" w:rsidRPr="00B12D00" w14:paraId="35E42C0E" w14:textId="77777777" w:rsidTr="003C0818">
        <w:trPr>
          <w:trHeight w:val="300"/>
          <w:jc w:val="center"/>
        </w:trPr>
        <w:tc>
          <w:tcPr>
            <w:tcW w:w="1194" w:type="dxa"/>
            <w:tcBorders>
              <w:top w:val="dotted" w:sz="4" w:space="0" w:color="auto"/>
              <w:bottom w:val="single" w:sz="4" w:space="0" w:color="auto"/>
              <w:right w:val="single" w:sz="4" w:space="0" w:color="auto"/>
            </w:tcBorders>
            <w:shd w:val="clear" w:color="auto" w:fill="auto"/>
            <w:noWrap/>
            <w:vAlign w:val="center"/>
            <w:hideMark/>
          </w:tcPr>
          <w:p w14:paraId="0BF3B95E" w14:textId="77777777" w:rsidR="00A76200" w:rsidRPr="00B12D00" w:rsidRDefault="00A76200" w:rsidP="003C0818">
            <w:pPr>
              <w:spacing w:after="0" w:line="240" w:lineRule="auto"/>
              <w:rPr>
                <w:rFonts w:eastAsia="Times New Roman" w:cstheme="minorHAnsi"/>
                <w:color w:val="000000"/>
                <w:lang w:eastAsia="pt-BR"/>
              </w:rPr>
            </w:pPr>
            <w:r w:rsidRPr="00B12D00">
              <w:rPr>
                <w:rFonts w:eastAsia="Times New Roman" w:cstheme="minorHAnsi"/>
                <w:color w:val="000000"/>
                <w:lang w:eastAsia="pt-BR"/>
              </w:rPr>
              <w:t>KNN</w:t>
            </w:r>
          </w:p>
        </w:tc>
        <w:tc>
          <w:tcPr>
            <w:tcW w:w="830" w:type="dxa"/>
            <w:tcBorders>
              <w:top w:val="dotted" w:sz="4" w:space="0" w:color="auto"/>
              <w:left w:val="single" w:sz="4" w:space="0" w:color="auto"/>
              <w:bottom w:val="single" w:sz="4" w:space="0" w:color="auto"/>
            </w:tcBorders>
            <w:shd w:val="clear" w:color="auto" w:fill="auto"/>
            <w:noWrap/>
            <w:vAlign w:val="center"/>
            <w:hideMark/>
          </w:tcPr>
          <w:p w14:paraId="201B0C57"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0.7552</w:t>
            </w:r>
          </w:p>
        </w:tc>
        <w:tc>
          <w:tcPr>
            <w:tcW w:w="830" w:type="dxa"/>
            <w:tcBorders>
              <w:top w:val="dotted" w:sz="4" w:space="0" w:color="auto"/>
              <w:bottom w:val="single" w:sz="4" w:space="0" w:color="auto"/>
            </w:tcBorders>
            <w:shd w:val="clear" w:color="auto" w:fill="auto"/>
            <w:noWrap/>
            <w:vAlign w:val="center"/>
            <w:hideMark/>
          </w:tcPr>
          <w:p w14:paraId="48B51A21"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0.7210</w:t>
            </w:r>
          </w:p>
        </w:tc>
        <w:tc>
          <w:tcPr>
            <w:tcW w:w="830" w:type="dxa"/>
            <w:tcBorders>
              <w:top w:val="dotted" w:sz="4" w:space="0" w:color="auto"/>
              <w:bottom w:val="single" w:sz="4" w:space="0" w:color="auto"/>
            </w:tcBorders>
            <w:shd w:val="clear" w:color="auto" w:fill="auto"/>
            <w:noWrap/>
            <w:vAlign w:val="center"/>
            <w:hideMark/>
          </w:tcPr>
          <w:p w14:paraId="66B84A7D"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0.0193</w:t>
            </w:r>
          </w:p>
        </w:tc>
        <w:tc>
          <w:tcPr>
            <w:tcW w:w="1083" w:type="dxa"/>
            <w:tcBorders>
              <w:top w:val="dotted" w:sz="4" w:space="0" w:color="auto"/>
              <w:bottom w:val="single" w:sz="4" w:space="0" w:color="auto"/>
              <w:right w:val="single" w:sz="4" w:space="0" w:color="auto"/>
            </w:tcBorders>
            <w:shd w:val="clear" w:color="auto" w:fill="auto"/>
            <w:noWrap/>
            <w:vAlign w:val="center"/>
            <w:hideMark/>
          </w:tcPr>
          <w:p w14:paraId="470E89D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3min35s</w:t>
            </w:r>
          </w:p>
        </w:tc>
        <w:tc>
          <w:tcPr>
            <w:tcW w:w="830" w:type="dxa"/>
            <w:tcBorders>
              <w:top w:val="dotted" w:sz="4" w:space="0" w:color="auto"/>
              <w:left w:val="nil"/>
              <w:bottom w:val="single" w:sz="4" w:space="0" w:color="auto"/>
            </w:tcBorders>
            <w:shd w:val="clear" w:color="auto" w:fill="auto"/>
            <w:noWrap/>
            <w:vAlign w:val="center"/>
            <w:hideMark/>
          </w:tcPr>
          <w:p w14:paraId="13CA83DA"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0.9510</w:t>
            </w:r>
          </w:p>
        </w:tc>
        <w:tc>
          <w:tcPr>
            <w:tcW w:w="830" w:type="dxa"/>
            <w:tcBorders>
              <w:top w:val="dotted" w:sz="4" w:space="0" w:color="auto"/>
              <w:bottom w:val="single" w:sz="4" w:space="0" w:color="auto"/>
            </w:tcBorders>
            <w:shd w:val="clear" w:color="auto" w:fill="auto"/>
            <w:noWrap/>
            <w:vAlign w:val="center"/>
            <w:hideMark/>
          </w:tcPr>
          <w:p w14:paraId="5B310302"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0.9507</w:t>
            </w:r>
          </w:p>
        </w:tc>
        <w:tc>
          <w:tcPr>
            <w:tcW w:w="803" w:type="dxa"/>
            <w:tcBorders>
              <w:top w:val="dotted" w:sz="4" w:space="0" w:color="auto"/>
              <w:bottom w:val="single" w:sz="4" w:space="0" w:color="auto"/>
            </w:tcBorders>
            <w:shd w:val="clear" w:color="auto" w:fill="auto"/>
            <w:noWrap/>
            <w:vAlign w:val="center"/>
            <w:hideMark/>
          </w:tcPr>
          <w:p w14:paraId="024D4224"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0.0951</w:t>
            </w:r>
          </w:p>
        </w:tc>
        <w:tc>
          <w:tcPr>
            <w:tcW w:w="1190" w:type="dxa"/>
            <w:tcBorders>
              <w:top w:val="dotted" w:sz="4" w:space="0" w:color="auto"/>
              <w:bottom w:val="single" w:sz="4" w:space="0" w:color="auto"/>
            </w:tcBorders>
            <w:shd w:val="clear" w:color="auto" w:fill="auto"/>
            <w:noWrap/>
            <w:vAlign w:val="center"/>
            <w:hideMark/>
          </w:tcPr>
          <w:p w14:paraId="68EF0D75" w14:textId="77777777" w:rsidR="00A76200" w:rsidRPr="00B12D00" w:rsidRDefault="00A76200" w:rsidP="003C0818">
            <w:pPr>
              <w:spacing w:after="0" w:line="240" w:lineRule="auto"/>
              <w:jc w:val="center"/>
              <w:rPr>
                <w:rFonts w:eastAsia="Times New Roman" w:cstheme="minorHAnsi"/>
                <w:color w:val="000000"/>
                <w:sz w:val="21"/>
                <w:szCs w:val="21"/>
                <w:lang w:eastAsia="pt-BR"/>
              </w:rPr>
            </w:pPr>
            <w:r w:rsidRPr="00B12D00">
              <w:rPr>
                <w:rFonts w:eastAsia="Times New Roman" w:cstheme="minorHAnsi"/>
                <w:color w:val="000000"/>
                <w:sz w:val="21"/>
                <w:szCs w:val="21"/>
                <w:lang w:eastAsia="pt-BR"/>
              </w:rPr>
              <w:t>22min46s</w:t>
            </w:r>
          </w:p>
        </w:tc>
      </w:tr>
    </w:tbl>
    <w:p w14:paraId="0D7AEACF" w14:textId="77777777" w:rsidR="00A76200" w:rsidRPr="00B12D00" w:rsidRDefault="00A76200" w:rsidP="00A76200">
      <w:pPr>
        <w:jc w:val="both"/>
        <w:rPr>
          <w:rFonts w:cstheme="minorHAnsi"/>
          <w:lang w:val="en-US"/>
        </w:rPr>
      </w:pPr>
      <w:r w:rsidRPr="00B12D00">
        <w:rPr>
          <w:rFonts w:cstheme="minorHAnsi"/>
          <w:lang w:val="en-US"/>
        </w:rPr>
        <w:t>Fonte: Elaboração dos autores</w:t>
      </w:r>
    </w:p>
    <w:p w14:paraId="3F8EB2E2" w14:textId="77777777" w:rsidR="00A76200" w:rsidRPr="00B12D00" w:rsidRDefault="00A76200" w:rsidP="00A76200">
      <w:pPr>
        <w:ind w:firstLine="708"/>
        <w:jc w:val="both"/>
        <w:rPr>
          <w:rFonts w:cstheme="minorHAnsi"/>
        </w:rPr>
      </w:pPr>
    </w:p>
    <w:p w14:paraId="60715DF8" w14:textId="77777777" w:rsidR="00A76200" w:rsidRPr="00B12D00" w:rsidRDefault="00A76200" w:rsidP="00A76200">
      <w:pPr>
        <w:ind w:firstLine="708"/>
        <w:jc w:val="both"/>
        <w:rPr>
          <w:rFonts w:cstheme="minorHAnsi"/>
          <w:sz w:val="24"/>
          <w:szCs w:val="24"/>
        </w:rPr>
      </w:pPr>
      <w:r w:rsidRPr="00B12D00">
        <w:rPr>
          <w:rFonts w:cstheme="minorHAnsi"/>
          <w:sz w:val="24"/>
          <w:szCs w:val="24"/>
        </w:rPr>
        <w:t xml:space="preserve">As tabelas 4, 5 e 6 apresentam as 15 principais </w:t>
      </w:r>
      <w:r w:rsidRPr="00B12D00">
        <w:rPr>
          <w:rFonts w:cstheme="minorHAnsi"/>
          <w:i/>
          <w:iCs/>
          <w:sz w:val="24"/>
          <w:szCs w:val="24"/>
        </w:rPr>
        <w:t>features importances</w:t>
      </w:r>
      <w:r w:rsidRPr="00B12D00">
        <w:rPr>
          <w:rFonts w:cstheme="minorHAnsi"/>
          <w:sz w:val="24"/>
          <w:szCs w:val="24"/>
        </w:rPr>
        <w:t xml:space="preserve"> para os algoritmos XGBoost, Multi-Task e LARS. Nessas tabelas procuramos identificar as características que melhor explicam a predição do spread bancário das instituições financeiras. A análise procura ressaltar se as características mais importantes dizem respeito os dados da operação bancária (dados de Spread BNDES), dos bancos intermediadores (ESTBAN) ou das empresas solicitantes dos financiamentos (RAIS).  </w:t>
      </w:r>
    </w:p>
    <w:p w14:paraId="782ED313" w14:textId="77777777" w:rsidR="00A76200" w:rsidRDefault="00A76200" w:rsidP="00A76200">
      <w:pPr>
        <w:ind w:firstLine="708"/>
        <w:jc w:val="both"/>
        <w:rPr>
          <w:rFonts w:cstheme="minorHAnsi"/>
          <w:sz w:val="24"/>
          <w:szCs w:val="24"/>
        </w:rPr>
      </w:pPr>
    </w:p>
    <w:p w14:paraId="376473E4" w14:textId="74CBCE5B" w:rsidR="00A76200" w:rsidRPr="00FC160E" w:rsidRDefault="00A76200" w:rsidP="00A76200">
      <w:pPr>
        <w:jc w:val="both"/>
        <w:rPr>
          <w:rFonts w:eastAsia="Times New Roman" w:cstheme="minorHAnsi"/>
          <w:b/>
          <w:bCs/>
          <w:color w:val="000000"/>
          <w:lang w:eastAsia="pt-BR"/>
        </w:rPr>
      </w:pPr>
      <w:r w:rsidRPr="00FC160E">
        <w:rPr>
          <w:rFonts w:cstheme="minorHAnsi"/>
          <w:b/>
          <w:bCs/>
        </w:rPr>
        <w:t xml:space="preserve">Tabela </w:t>
      </w:r>
      <w:r w:rsidRPr="00FC160E">
        <w:rPr>
          <w:rFonts w:cstheme="minorHAnsi"/>
          <w:b/>
          <w:bCs/>
        </w:rPr>
        <w:fldChar w:fldCharType="begin"/>
      </w:r>
      <w:r w:rsidRPr="00FC160E">
        <w:rPr>
          <w:rFonts w:cstheme="minorHAnsi"/>
          <w:b/>
          <w:bCs/>
        </w:rPr>
        <w:instrText xml:space="preserve"> SEQ Table \* ARABIC </w:instrText>
      </w:r>
      <w:r w:rsidRPr="00FC160E">
        <w:rPr>
          <w:rFonts w:cstheme="minorHAnsi"/>
          <w:b/>
          <w:bCs/>
        </w:rPr>
        <w:fldChar w:fldCharType="separate"/>
      </w:r>
      <w:r w:rsidR="00583922">
        <w:rPr>
          <w:rFonts w:cstheme="minorHAnsi"/>
          <w:b/>
          <w:bCs/>
          <w:noProof/>
        </w:rPr>
        <w:t>3</w:t>
      </w:r>
      <w:r w:rsidRPr="00FC160E">
        <w:rPr>
          <w:rFonts w:cstheme="minorHAnsi"/>
          <w:b/>
          <w:bCs/>
          <w:noProof/>
        </w:rPr>
        <w:fldChar w:fldCharType="end"/>
      </w:r>
      <w:r w:rsidRPr="00FC160E">
        <w:rPr>
          <w:rFonts w:cstheme="minorHAnsi"/>
          <w:b/>
          <w:bCs/>
        </w:rPr>
        <w:t xml:space="preserve">: Principais </w:t>
      </w:r>
      <w:r w:rsidRPr="00FC160E">
        <w:rPr>
          <w:rFonts w:cstheme="minorHAnsi"/>
          <w:b/>
          <w:bCs/>
          <w:i/>
          <w:iCs/>
        </w:rPr>
        <w:t>Features Importances</w:t>
      </w:r>
      <w:r w:rsidRPr="00FC160E">
        <w:rPr>
          <w:rFonts w:cstheme="minorHAnsi"/>
          <w:b/>
          <w:bCs/>
        </w:rPr>
        <w:t xml:space="preserve"> para </w:t>
      </w:r>
      <w:r w:rsidRPr="00FC160E">
        <w:rPr>
          <w:rFonts w:cstheme="minorHAnsi"/>
          <w:b/>
          <w:bCs/>
          <w:i/>
          <w:iCs/>
        </w:rPr>
        <w:t>Extreme Gradient Boosting</w:t>
      </w:r>
      <w:r w:rsidRPr="00FC160E">
        <w:rPr>
          <w:rFonts w:cstheme="minorHAnsi"/>
          <w:b/>
          <w:bCs/>
        </w:rPr>
        <w:t xml:space="preserve"> </w:t>
      </w:r>
      <w:r w:rsidRPr="00FC160E">
        <w:rPr>
          <w:rFonts w:eastAsia="Times New Roman" w:cstheme="minorHAnsi"/>
          <w:b/>
          <w:bCs/>
          <w:lang w:eastAsia="pt-BR"/>
        </w:rPr>
        <w:t>(Xgboost)</w:t>
      </w:r>
    </w:p>
    <w:tbl>
      <w:tblPr>
        <w:tblW w:w="8645"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773"/>
        <w:gridCol w:w="5173"/>
        <w:gridCol w:w="1699"/>
      </w:tblGrid>
      <w:tr w:rsidR="00A76200" w:rsidRPr="00B12D00" w14:paraId="47B7C840" w14:textId="77777777" w:rsidTr="003C0818">
        <w:trPr>
          <w:trHeight w:val="300"/>
          <w:jc w:val="center"/>
        </w:trPr>
        <w:tc>
          <w:tcPr>
            <w:tcW w:w="1773" w:type="dxa"/>
            <w:tcBorders>
              <w:top w:val="single" w:sz="4" w:space="0" w:color="auto"/>
              <w:bottom w:val="single" w:sz="4" w:space="0" w:color="auto"/>
            </w:tcBorders>
            <w:vAlign w:val="center"/>
          </w:tcPr>
          <w:p w14:paraId="23BED29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Fonte</w:t>
            </w:r>
          </w:p>
        </w:tc>
        <w:tc>
          <w:tcPr>
            <w:tcW w:w="5173" w:type="dxa"/>
            <w:tcBorders>
              <w:top w:val="single" w:sz="4" w:space="0" w:color="auto"/>
              <w:bottom w:val="single" w:sz="4" w:space="0" w:color="auto"/>
            </w:tcBorders>
            <w:shd w:val="clear" w:color="auto" w:fill="auto"/>
            <w:noWrap/>
            <w:vAlign w:val="center"/>
            <w:hideMark/>
          </w:tcPr>
          <w:p w14:paraId="6AA0A4E5"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Feature</w:t>
            </w:r>
          </w:p>
        </w:tc>
        <w:tc>
          <w:tcPr>
            <w:tcW w:w="1699" w:type="dxa"/>
            <w:tcBorders>
              <w:top w:val="single" w:sz="4" w:space="0" w:color="auto"/>
              <w:bottom w:val="single" w:sz="4" w:space="0" w:color="auto"/>
            </w:tcBorders>
            <w:shd w:val="clear" w:color="auto" w:fill="auto"/>
            <w:noWrap/>
            <w:vAlign w:val="center"/>
            <w:hideMark/>
          </w:tcPr>
          <w:p w14:paraId="2FE2C31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 xml:space="preserve">Feature </w:t>
            </w:r>
          </w:p>
          <w:p w14:paraId="2962A099"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Importance</w:t>
            </w:r>
          </w:p>
        </w:tc>
      </w:tr>
      <w:tr w:rsidR="00A76200" w:rsidRPr="00B12D00" w14:paraId="29B99851" w14:textId="77777777" w:rsidTr="003C0818">
        <w:trPr>
          <w:trHeight w:val="300"/>
          <w:jc w:val="center"/>
        </w:trPr>
        <w:tc>
          <w:tcPr>
            <w:tcW w:w="1773" w:type="dxa"/>
            <w:tcBorders>
              <w:top w:val="single" w:sz="4" w:space="0" w:color="auto"/>
            </w:tcBorders>
            <w:vAlign w:val="center"/>
          </w:tcPr>
          <w:p w14:paraId="708A21B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73" w:type="dxa"/>
            <w:tcBorders>
              <w:top w:val="single" w:sz="4" w:space="0" w:color="auto"/>
            </w:tcBorders>
            <w:shd w:val="clear" w:color="auto" w:fill="auto"/>
            <w:noWrap/>
            <w:vAlign w:val="center"/>
            <w:hideMark/>
          </w:tcPr>
          <w:p w14:paraId="7E3BEA2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Spread Bndes e Juros</w:t>
            </w:r>
          </w:p>
        </w:tc>
        <w:tc>
          <w:tcPr>
            <w:tcW w:w="1699" w:type="dxa"/>
            <w:tcBorders>
              <w:top w:val="single" w:sz="4" w:space="0" w:color="auto"/>
            </w:tcBorders>
            <w:shd w:val="clear" w:color="auto" w:fill="auto"/>
            <w:noWrap/>
            <w:vAlign w:val="center"/>
            <w:hideMark/>
          </w:tcPr>
          <w:p w14:paraId="5B92CC6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0,5353</w:t>
            </w:r>
          </w:p>
        </w:tc>
      </w:tr>
      <w:tr w:rsidR="00A76200" w:rsidRPr="00B12D00" w14:paraId="74941DB9" w14:textId="77777777" w:rsidTr="003C0818">
        <w:trPr>
          <w:trHeight w:val="300"/>
          <w:jc w:val="center"/>
        </w:trPr>
        <w:tc>
          <w:tcPr>
            <w:tcW w:w="1773" w:type="dxa"/>
            <w:vAlign w:val="center"/>
          </w:tcPr>
          <w:p w14:paraId="501514A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73" w:type="dxa"/>
            <w:shd w:val="clear" w:color="auto" w:fill="auto"/>
            <w:noWrap/>
            <w:vAlign w:val="center"/>
            <w:hideMark/>
          </w:tcPr>
          <w:p w14:paraId="53C6DBA1"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Taxa de Juros</w:t>
            </w:r>
          </w:p>
        </w:tc>
        <w:tc>
          <w:tcPr>
            <w:tcW w:w="1699" w:type="dxa"/>
            <w:shd w:val="clear" w:color="auto" w:fill="auto"/>
            <w:noWrap/>
            <w:vAlign w:val="center"/>
            <w:hideMark/>
          </w:tcPr>
          <w:p w14:paraId="0EE4A4D4"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0,3443</w:t>
            </w:r>
          </w:p>
        </w:tc>
      </w:tr>
      <w:tr w:rsidR="00A76200" w:rsidRPr="00B12D00" w14:paraId="717D924D" w14:textId="77777777" w:rsidTr="003C0818">
        <w:trPr>
          <w:trHeight w:val="300"/>
          <w:jc w:val="center"/>
        </w:trPr>
        <w:tc>
          <w:tcPr>
            <w:tcW w:w="1773" w:type="dxa"/>
            <w:vAlign w:val="center"/>
          </w:tcPr>
          <w:p w14:paraId="714531B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73" w:type="dxa"/>
            <w:shd w:val="clear" w:color="auto" w:fill="auto"/>
            <w:noWrap/>
            <w:vAlign w:val="center"/>
            <w:hideMark/>
          </w:tcPr>
          <w:p w14:paraId="069084A9"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Valor da Operação e Juros</w:t>
            </w:r>
          </w:p>
        </w:tc>
        <w:tc>
          <w:tcPr>
            <w:tcW w:w="1699" w:type="dxa"/>
            <w:shd w:val="clear" w:color="auto" w:fill="auto"/>
            <w:noWrap/>
            <w:vAlign w:val="center"/>
            <w:hideMark/>
          </w:tcPr>
          <w:p w14:paraId="713DF8C5"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0,0859</w:t>
            </w:r>
          </w:p>
        </w:tc>
      </w:tr>
      <w:tr w:rsidR="00A76200" w:rsidRPr="00B12D00" w14:paraId="643D923D" w14:textId="77777777" w:rsidTr="003C0818">
        <w:trPr>
          <w:trHeight w:val="300"/>
          <w:jc w:val="center"/>
        </w:trPr>
        <w:tc>
          <w:tcPr>
            <w:tcW w:w="1773" w:type="dxa"/>
            <w:vAlign w:val="center"/>
          </w:tcPr>
          <w:p w14:paraId="7962942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73" w:type="dxa"/>
            <w:shd w:val="clear" w:color="auto" w:fill="auto"/>
            <w:noWrap/>
            <w:vAlign w:val="center"/>
            <w:hideMark/>
          </w:tcPr>
          <w:p w14:paraId="55DB541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1699" w:type="dxa"/>
            <w:shd w:val="clear" w:color="auto" w:fill="auto"/>
            <w:noWrap/>
            <w:vAlign w:val="center"/>
            <w:hideMark/>
          </w:tcPr>
          <w:p w14:paraId="5A35FD26"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0,0019</w:t>
            </w:r>
          </w:p>
        </w:tc>
      </w:tr>
      <w:tr w:rsidR="00A76200" w:rsidRPr="00B12D00" w14:paraId="49BB3B28" w14:textId="77777777" w:rsidTr="003C0818">
        <w:trPr>
          <w:trHeight w:val="300"/>
          <w:jc w:val="center"/>
        </w:trPr>
        <w:tc>
          <w:tcPr>
            <w:tcW w:w="1773" w:type="dxa"/>
            <w:vAlign w:val="center"/>
          </w:tcPr>
          <w:p w14:paraId="29201C8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4FF3563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Carteira Ativa de Crédito</w:t>
            </w:r>
          </w:p>
        </w:tc>
        <w:tc>
          <w:tcPr>
            <w:tcW w:w="1699" w:type="dxa"/>
            <w:shd w:val="clear" w:color="auto" w:fill="auto"/>
            <w:noWrap/>
            <w:vAlign w:val="center"/>
            <w:hideMark/>
          </w:tcPr>
          <w:p w14:paraId="45402AE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0,0019</w:t>
            </w:r>
          </w:p>
        </w:tc>
      </w:tr>
      <w:tr w:rsidR="00A76200" w:rsidRPr="00B12D00" w14:paraId="72CFEA55" w14:textId="77777777" w:rsidTr="003C0818">
        <w:trPr>
          <w:trHeight w:val="300"/>
          <w:jc w:val="center"/>
        </w:trPr>
        <w:tc>
          <w:tcPr>
            <w:tcW w:w="1773" w:type="dxa"/>
            <w:vAlign w:val="center"/>
          </w:tcPr>
          <w:p w14:paraId="2ED959CE"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73" w:type="dxa"/>
            <w:shd w:val="clear" w:color="auto" w:fill="auto"/>
            <w:noWrap/>
            <w:vAlign w:val="center"/>
            <w:hideMark/>
          </w:tcPr>
          <w:p w14:paraId="6356F95E"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Prazo de Carência e Juros</w:t>
            </w:r>
          </w:p>
        </w:tc>
        <w:tc>
          <w:tcPr>
            <w:tcW w:w="1699" w:type="dxa"/>
            <w:shd w:val="clear" w:color="auto" w:fill="auto"/>
            <w:noWrap/>
            <w:vAlign w:val="center"/>
            <w:hideMark/>
          </w:tcPr>
          <w:p w14:paraId="1AA97A92"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0,0017</w:t>
            </w:r>
          </w:p>
        </w:tc>
      </w:tr>
      <w:tr w:rsidR="00A76200" w:rsidRPr="00B12D00" w14:paraId="349FEE2D" w14:textId="77777777" w:rsidTr="003C0818">
        <w:trPr>
          <w:trHeight w:val="300"/>
          <w:jc w:val="center"/>
        </w:trPr>
        <w:tc>
          <w:tcPr>
            <w:tcW w:w="1773" w:type="dxa"/>
            <w:vAlign w:val="center"/>
          </w:tcPr>
          <w:p w14:paraId="2D5DC10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00C3170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Segmento Bancário B2</w:t>
            </w:r>
          </w:p>
        </w:tc>
        <w:tc>
          <w:tcPr>
            <w:tcW w:w="1699" w:type="dxa"/>
            <w:shd w:val="clear" w:color="auto" w:fill="auto"/>
            <w:noWrap/>
            <w:vAlign w:val="center"/>
            <w:hideMark/>
          </w:tcPr>
          <w:p w14:paraId="5756B664"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0,0015</w:t>
            </w:r>
          </w:p>
        </w:tc>
      </w:tr>
      <w:tr w:rsidR="00A76200" w:rsidRPr="00B12D00" w14:paraId="7B66540C" w14:textId="77777777" w:rsidTr="003C0818">
        <w:trPr>
          <w:trHeight w:val="300"/>
          <w:jc w:val="center"/>
        </w:trPr>
        <w:tc>
          <w:tcPr>
            <w:tcW w:w="1773" w:type="dxa"/>
            <w:vAlign w:val="center"/>
          </w:tcPr>
          <w:p w14:paraId="7680FD1A"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4D7AB69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Número de Postos de Atendimento</w:t>
            </w:r>
          </w:p>
        </w:tc>
        <w:tc>
          <w:tcPr>
            <w:tcW w:w="1699" w:type="dxa"/>
            <w:shd w:val="clear" w:color="auto" w:fill="auto"/>
            <w:noWrap/>
            <w:vAlign w:val="center"/>
            <w:hideMark/>
          </w:tcPr>
          <w:p w14:paraId="77BBD1A3"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0,0012</w:t>
            </w:r>
          </w:p>
        </w:tc>
      </w:tr>
      <w:tr w:rsidR="00A76200" w:rsidRPr="00B12D00" w14:paraId="599CB4FC" w14:textId="77777777" w:rsidTr="003C0818">
        <w:trPr>
          <w:trHeight w:val="300"/>
          <w:jc w:val="center"/>
        </w:trPr>
        <w:tc>
          <w:tcPr>
            <w:tcW w:w="1773" w:type="dxa"/>
            <w:vAlign w:val="center"/>
          </w:tcPr>
          <w:p w14:paraId="1FB337B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bottom"/>
            <w:hideMark/>
          </w:tcPr>
          <w:p w14:paraId="396C20FF"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i/>
                <w:iCs/>
                <w:color w:val="000000"/>
                <w:lang w:eastAsia="pt-BR"/>
              </w:rPr>
              <w:t>Encoding</w:t>
            </w:r>
            <w:r w:rsidRPr="00B12D00">
              <w:rPr>
                <w:rFonts w:eastAsia="Times New Roman" w:cstheme="minorHAnsi"/>
                <w:color w:val="000000"/>
                <w:lang w:eastAsia="pt-BR"/>
              </w:rPr>
              <w:t xml:space="preserve"> do Conglomerado Banco</w:t>
            </w:r>
          </w:p>
        </w:tc>
        <w:tc>
          <w:tcPr>
            <w:tcW w:w="1699" w:type="dxa"/>
            <w:shd w:val="clear" w:color="auto" w:fill="auto"/>
            <w:noWrap/>
            <w:vAlign w:val="center"/>
            <w:hideMark/>
          </w:tcPr>
          <w:p w14:paraId="043AAA1C"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0,0012</w:t>
            </w:r>
          </w:p>
        </w:tc>
      </w:tr>
      <w:tr w:rsidR="00A76200" w:rsidRPr="00B12D00" w14:paraId="444596C6" w14:textId="77777777" w:rsidTr="003C0818">
        <w:trPr>
          <w:trHeight w:val="300"/>
          <w:jc w:val="center"/>
        </w:trPr>
        <w:tc>
          <w:tcPr>
            <w:tcW w:w="1773" w:type="dxa"/>
            <w:vAlign w:val="center"/>
          </w:tcPr>
          <w:p w14:paraId="6BD805F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59695CBF"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Iteração entre Captações de mercado e Ativo Total</w:t>
            </w:r>
          </w:p>
        </w:tc>
        <w:tc>
          <w:tcPr>
            <w:tcW w:w="1699" w:type="dxa"/>
            <w:shd w:val="clear" w:color="auto" w:fill="auto"/>
            <w:noWrap/>
            <w:vAlign w:val="center"/>
            <w:hideMark/>
          </w:tcPr>
          <w:p w14:paraId="3A17F603"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0,0010</w:t>
            </w:r>
          </w:p>
        </w:tc>
      </w:tr>
      <w:tr w:rsidR="00A76200" w:rsidRPr="00B12D00" w14:paraId="12B84EBF" w14:textId="77777777" w:rsidTr="003C0818">
        <w:trPr>
          <w:trHeight w:val="300"/>
          <w:jc w:val="center"/>
        </w:trPr>
        <w:tc>
          <w:tcPr>
            <w:tcW w:w="1773" w:type="dxa"/>
            <w:vAlign w:val="center"/>
          </w:tcPr>
          <w:p w14:paraId="3CB600E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2D4E332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Captações de mercado</w:t>
            </w:r>
          </w:p>
        </w:tc>
        <w:tc>
          <w:tcPr>
            <w:tcW w:w="1699" w:type="dxa"/>
            <w:shd w:val="clear" w:color="auto" w:fill="auto"/>
            <w:noWrap/>
            <w:vAlign w:val="center"/>
            <w:hideMark/>
          </w:tcPr>
          <w:p w14:paraId="2C0D3BB5"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0,0009</w:t>
            </w:r>
          </w:p>
        </w:tc>
      </w:tr>
      <w:tr w:rsidR="00A76200" w:rsidRPr="00B12D00" w14:paraId="4B349C7D" w14:textId="77777777" w:rsidTr="003C0818">
        <w:trPr>
          <w:trHeight w:val="300"/>
          <w:jc w:val="center"/>
        </w:trPr>
        <w:tc>
          <w:tcPr>
            <w:tcW w:w="1773" w:type="dxa"/>
            <w:vAlign w:val="center"/>
          </w:tcPr>
          <w:p w14:paraId="43B1AD82"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125A2FF1"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Ativo Total</w:t>
            </w:r>
          </w:p>
        </w:tc>
        <w:tc>
          <w:tcPr>
            <w:tcW w:w="1699" w:type="dxa"/>
            <w:shd w:val="clear" w:color="auto" w:fill="auto"/>
            <w:noWrap/>
            <w:vAlign w:val="center"/>
            <w:hideMark/>
          </w:tcPr>
          <w:p w14:paraId="28EDF09E"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0,0009</w:t>
            </w:r>
          </w:p>
        </w:tc>
      </w:tr>
      <w:tr w:rsidR="00A76200" w:rsidRPr="00B12D00" w14:paraId="3BEB1BD8" w14:textId="77777777" w:rsidTr="003C0818">
        <w:trPr>
          <w:trHeight w:val="300"/>
          <w:jc w:val="center"/>
        </w:trPr>
        <w:tc>
          <w:tcPr>
            <w:tcW w:w="1773" w:type="dxa"/>
            <w:vAlign w:val="center"/>
          </w:tcPr>
          <w:p w14:paraId="3C643F0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6CD1C9C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Iteração entre Ativo Total e Passivo</w:t>
            </w:r>
          </w:p>
        </w:tc>
        <w:tc>
          <w:tcPr>
            <w:tcW w:w="1699" w:type="dxa"/>
            <w:shd w:val="clear" w:color="auto" w:fill="auto"/>
            <w:noWrap/>
            <w:vAlign w:val="center"/>
            <w:hideMark/>
          </w:tcPr>
          <w:p w14:paraId="47379F67"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0,0009</w:t>
            </w:r>
          </w:p>
        </w:tc>
      </w:tr>
      <w:tr w:rsidR="00A76200" w:rsidRPr="00B12D00" w14:paraId="5916DB55" w14:textId="77777777" w:rsidTr="003C0818">
        <w:trPr>
          <w:trHeight w:val="300"/>
          <w:jc w:val="center"/>
        </w:trPr>
        <w:tc>
          <w:tcPr>
            <w:tcW w:w="1773" w:type="dxa"/>
            <w:vAlign w:val="center"/>
          </w:tcPr>
          <w:p w14:paraId="4597F6C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73" w:type="dxa"/>
            <w:shd w:val="clear" w:color="auto" w:fill="auto"/>
            <w:noWrap/>
            <w:vAlign w:val="center"/>
            <w:hideMark/>
          </w:tcPr>
          <w:p w14:paraId="71E1EFF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Carteira de Crédito do Banco</w:t>
            </w:r>
          </w:p>
        </w:tc>
        <w:tc>
          <w:tcPr>
            <w:tcW w:w="1699" w:type="dxa"/>
            <w:shd w:val="clear" w:color="auto" w:fill="auto"/>
            <w:noWrap/>
            <w:vAlign w:val="center"/>
            <w:hideMark/>
          </w:tcPr>
          <w:p w14:paraId="03BF3312"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0,0009</w:t>
            </w:r>
          </w:p>
        </w:tc>
      </w:tr>
      <w:tr w:rsidR="00A76200" w:rsidRPr="00B12D00" w14:paraId="7BA1DFE1" w14:textId="77777777" w:rsidTr="003C0818">
        <w:trPr>
          <w:trHeight w:val="300"/>
          <w:jc w:val="center"/>
        </w:trPr>
        <w:tc>
          <w:tcPr>
            <w:tcW w:w="1773" w:type="dxa"/>
            <w:vAlign w:val="center"/>
          </w:tcPr>
          <w:p w14:paraId="5CE922A5"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RAIS</w:t>
            </w:r>
          </w:p>
        </w:tc>
        <w:tc>
          <w:tcPr>
            <w:tcW w:w="5173" w:type="dxa"/>
            <w:shd w:val="clear" w:color="auto" w:fill="auto"/>
            <w:noWrap/>
            <w:vAlign w:val="center"/>
            <w:hideMark/>
          </w:tcPr>
          <w:p w14:paraId="76E2FAD1"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Tamanho da Firma</w:t>
            </w:r>
          </w:p>
        </w:tc>
        <w:tc>
          <w:tcPr>
            <w:tcW w:w="1699" w:type="dxa"/>
            <w:shd w:val="clear" w:color="auto" w:fill="auto"/>
            <w:noWrap/>
            <w:vAlign w:val="center"/>
            <w:hideMark/>
          </w:tcPr>
          <w:p w14:paraId="7CBD0CD2"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0,0008</w:t>
            </w:r>
          </w:p>
        </w:tc>
      </w:tr>
    </w:tbl>
    <w:p w14:paraId="0C16A3DE" w14:textId="77777777" w:rsidR="00A76200" w:rsidRPr="00B12D00" w:rsidRDefault="00A76200" w:rsidP="00A76200">
      <w:pPr>
        <w:jc w:val="both"/>
        <w:rPr>
          <w:rFonts w:cstheme="minorHAnsi"/>
          <w:lang w:val="en-US"/>
        </w:rPr>
      </w:pPr>
      <w:r w:rsidRPr="00B12D00">
        <w:rPr>
          <w:rFonts w:cstheme="minorHAnsi"/>
          <w:lang w:val="en-US"/>
        </w:rPr>
        <w:t>Fonte: Elaboração dos autores</w:t>
      </w:r>
    </w:p>
    <w:p w14:paraId="5B992921" w14:textId="77777777" w:rsidR="00A76200" w:rsidRPr="00B12D00" w:rsidRDefault="00A76200" w:rsidP="00A76200">
      <w:pPr>
        <w:ind w:firstLine="360"/>
        <w:jc w:val="both"/>
        <w:rPr>
          <w:rFonts w:cstheme="minorHAnsi"/>
          <w:sz w:val="24"/>
          <w:szCs w:val="24"/>
        </w:rPr>
      </w:pPr>
    </w:p>
    <w:p w14:paraId="1440290D" w14:textId="6CD36A31" w:rsidR="00A76200" w:rsidRPr="00104754" w:rsidRDefault="00A76200" w:rsidP="00B65A8F">
      <w:pPr>
        <w:ind w:firstLine="360"/>
        <w:jc w:val="both"/>
        <w:rPr>
          <w:rFonts w:cstheme="minorHAnsi"/>
        </w:rPr>
      </w:pPr>
      <w:r w:rsidRPr="00104754">
        <w:rPr>
          <w:rFonts w:cstheme="minorHAnsi"/>
        </w:rPr>
        <w:t xml:space="preserve">Para o algoritmo </w:t>
      </w:r>
      <w:r w:rsidRPr="00104754">
        <w:rPr>
          <w:rFonts w:cstheme="minorHAnsi"/>
          <w:i/>
          <w:iCs/>
        </w:rPr>
        <w:t>Extreme Gradient Boosting</w:t>
      </w:r>
      <w:r w:rsidRPr="00104754">
        <w:rPr>
          <w:rFonts w:cstheme="minorHAnsi"/>
        </w:rPr>
        <w:t xml:space="preserve"> (Xgboost) apenas o tamanho da firma encontra-se entre as informações mais relevantes para explicar o spread. A interação da taxa de juros e </w:t>
      </w:r>
      <w:r w:rsidRPr="00104754">
        <w:rPr>
          <w:rFonts w:cstheme="minorHAnsi"/>
        </w:rPr>
        <w:lastRenderedPageBreak/>
        <w:t xml:space="preserve">spread BNDES destaca-se como sendo a característica mais importante. Várias características da instituição intermediadora podem ser vistas entre as 15 principais </w:t>
      </w:r>
      <w:r w:rsidRPr="00104754">
        <w:rPr>
          <w:rFonts w:cstheme="minorHAnsi"/>
          <w:i/>
          <w:iCs/>
        </w:rPr>
        <w:t>features importances</w:t>
      </w:r>
      <w:r w:rsidRPr="00104754">
        <w:rPr>
          <w:rFonts w:cstheme="minorHAnsi"/>
        </w:rPr>
        <w:t xml:space="preserve">. </w:t>
      </w:r>
    </w:p>
    <w:p w14:paraId="2BC415BF" w14:textId="77777777" w:rsidR="00A76200" w:rsidRPr="00B12D00" w:rsidRDefault="00A76200" w:rsidP="00A76200">
      <w:pPr>
        <w:ind w:firstLine="708"/>
        <w:jc w:val="both"/>
        <w:rPr>
          <w:rFonts w:cstheme="minorHAnsi"/>
          <w:sz w:val="24"/>
          <w:szCs w:val="24"/>
        </w:rPr>
      </w:pPr>
    </w:p>
    <w:p w14:paraId="1C831702" w14:textId="77777777" w:rsidR="00A76200" w:rsidRPr="00EC1E55" w:rsidRDefault="00A76200" w:rsidP="00A76200">
      <w:pPr>
        <w:jc w:val="both"/>
        <w:rPr>
          <w:rFonts w:cstheme="minorHAnsi"/>
          <w:b/>
          <w:bCs/>
        </w:rPr>
      </w:pPr>
      <w:r w:rsidRPr="00EC1E55">
        <w:rPr>
          <w:rFonts w:cstheme="minorHAnsi"/>
          <w:b/>
          <w:bCs/>
        </w:rPr>
        <w:t xml:space="preserve">Tabela 5: Principais </w:t>
      </w:r>
      <w:r w:rsidRPr="00EC1E55">
        <w:rPr>
          <w:rFonts w:cstheme="minorHAnsi"/>
          <w:b/>
          <w:bCs/>
          <w:i/>
          <w:iCs/>
        </w:rPr>
        <w:t>Features Importances</w:t>
      </w:r>
      <w:r w:rsidRPr="00EC1E55">
        <w:rPr>
          <w:rFonts w:cstheme="minorHAnsi"/>
          <w:b/>
          <w:bCs/>
        </w:rPr>
        <w:t xml:space="preserve"> para </w:t>
      </w:r>
      <w:bookmarkStart w:id="6" w:name="_Hlk89729876"/>
      <w:r w:rsidRPr="00EC1E55">
        <w:rPr>
          <w:rFonts w:cstheme="minorHAnsi"/>
          <w:b/>
          <w:bCs/>
        </w:rPr>
        <w:t xml:space="preserve">Multi-task Elastic-Net </w:t>
      </w:r>
      <w:bookmarkEnd w:id="6"/>
      <w:r w:rsidRPr="00EC1E55">
        <w:rPr>
          <w:rFonts w:cstheme="minorHAnsi"/>
          <w:b/>
          <w:bCs/>
        </w:rPr>
        <w:t>(Multi-Task)</w:t>
      </w:r>
    </w:p>
    <w:tbl>
      <w:tblPr>
        <w:tblW w:w="8500"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96"/>
        <w:gridCol w:w="5142"/>
        <w:gridCol w:w="1662"/>
      </w:tblGrid>
      <w:tr w:rsidR="00A76200" w:rsidRPr="00B12D00" w14:paraId="4AC96B81" w14:textId="77777777" w:rsidTr="003C0818">
        <w:trPr>
          <w:trHeight w:val="300"/>
        </w:trPr>
        <w:tc>
          <w:tcPr>
            <w:tcW w:w="1696" w:type="dxa"/>
            <w:tcBorders>
              <w:top w:val="single" w:sz="4" w:space="0" w:color="auto"/>
              <w:bottom w:val="single" w:sz="4" w:space="0" w:color="auto"/>
            </w:tcBorders>
            <w:vAlign w:val="center"/>
          </w:tcPr>
          <w:p w14:paraId="6C165A4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Fonte</w:t>
            </w:r>
          </w:p>
        </w:tc>
        <w:tc>
          <w:tcPr>
            <w:tcW w:w="5142" w:type="dxa"/>
            <w:tcBorders>
              <w:top w:val="single" w:sz="4" w:space="0" w:color="auto"/>
              <w:bottom w:val="single" w:sz="4" w:space="0" w:color="auto"/>
            </w:tcBorders>
            <w:shd w:val="clear" w:color="auto" w:fill="auto"/>
            <w:noWrap/>
            <w:hideMark/>
          </w:tcPr>
          <w:p w14:paraId="30932D1E"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Feature</w:t>
            </w:r>
          </w:p>
        </w:tc>
        <w:tc>
          <w:tcPr>
            <w:tcW w:w="1662" w:type="dxa"/>
            <w:tcBorders>
              <w:top w:val="single" w:sz="4" w:space="0" w:color="auto"/>
              <w:bottom w:val="single" w:sz="4" w:space="0" w:color="auto"/>
            </w:tcBorders>
            <w:shd w:val="clear" w:color="auto" w:fill="auto"/>
            <w:noWrap/>
            <w:vAlign w:val="center"/>
            <w:hideMark/>
          </w:tcPr>
          <w:p w14:paraId="1936962B"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 xml:space="preserve">Feature </w:t>
            </w:r>
          </w:p>
          <w:p w14:paraId="5E2BA0E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Importance</w:t>
            </w:r>
          </w:p>
        </w:tc>
      </w:tr>
      <w:tr w:rsidR="00A76200" w:rsidRPr="00B12D00" w14:paraId="17F0BB04" w14:textId="77777777" w:rsidTr="003C0818">
        <w:trPr>
          <w:trHeight w:val="300"/>
        </w:trPr>
        <w:tc>
          <w:tcPr>
            <w:tcW w:w="1696" w:type="dxa"/>
            <w:tcBorders>
              <w:top w:val="single" w:sz="4" w:space="0" w:color="auto"/>
            </w:tcBorders>
            <w:vAlign w:val="center"/>
          </w:tcPr>
          <w:p w14:paraId="2C2E11A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tcBorders>
              <w:top w:val="single" w:sz="4" w:space="0" w:color="auto"/>
            </w:tcBorders>
            <w:shd w:val="clear" w:color="auto" w:fill="auto"/>
            <w:noWrap/>
            <w:vAlign w:val="center"/>
            <w:hideMark/>
          </w:tcPr>
          <w:p w14:paraId="7E68DD3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Taxa de Juros</w:t>
            </w:r>
          </w:p>
        </w:tc>
        <w:tc>
          <w:tcPr>
            <w:tcW w:w="1662" w:type="dxa"/>
            <w:tcBorders>
              <w:top w:val="single" w:sz="4" w:space="0" w:color="auto"/>
            </w:tcBorders>
            <w:shd w:val="clear" w:color="auto" w:fill="auto"/>
            <w:noWrap/>
            <w:vAlign w:val="bottom"/>
            <w:hideMark/>
          </w:tcPr>
          <w:p w14:paraId="17FB1F69"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0,219</w:t>
            </w:r>
          </w:p>
        </w:tc>
      </w:tr>
      <w:tr w:rsidR="00A76200" w:rsidRPr="00B12D00" w14:paraId="757254D5" w14:textId="77777777" w:rsidTr="003C0818">
        <w:trPr>
          <w:trHeight w:val="300"/>
        </w:trPr>
        <w:tc>
          <w:tcPr>
            <w:tcW w:w="1696" w:type="dxa"/>
            <w:vAlign w:val="center"/>
          </w:tcPr>
          <w:p w14:paraId="094340F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741F827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1662" w:type="dxa"/>
            <w:shd w:val="clear" w:color="auto" w:fill="auto"/>
            <w:noWrap/>
            <w:vAlign w:val="bottom"/>
            <w:hideMark/>
          </w:tcPr>
          <w:p w14:paraId="77DD076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0,145</w:t>
            </w:r>
          </w:p>
        </w:tc>
      </w:tr>
      <w:tr w:rsidR="00A76200" w:rsidRPr="00B12D00" w14:paraId="079F8606" w14:textId="77777777" w:rsidTr="003C0818">
        <w:trPr>
          <w:trHeight w:val="300"/>
        </w:trPr>
        <w:tc>
          <w:tcPr>
            <w:tcW w:w="1696" w:type="dxa"/>
          </w:tcPr>
          <w:p w14:paraId="3E2D5BC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6D279B04"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Segmento Bancário B3</w:t>
            </w:r>
          </w:p>
        </w:tc>
        <w:tc>
          <w:tcPr>
            <w:tcW w:w="1662" w:type="dxa"/>
            <w:shd w:val="clear" w:color="auto" w:fill="auto"/>
            <w:noWrap/>
            <w:vAlign w:val="bottom"/>
            <w:hideMark/>
          </w:tcPr>
          <w:p w14:paraId="2372D69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0,129</w:t>
            </w:r>
          </w:p>
        </w:tc>
      </w:tr>
      <w:tr w:rsidR="00A76200" w:rsidRPr="00B12D00" w14:paraId="40C56AD2" w14:textId="77777777" w:rsidTr="003C0818">
        <w:trPr>
          <w:trHeight w:val="300"/>
        </w:trPr>
        <w:tc>
          <w:tcPr>
            <w:tcW w:w="1696" w:type="dxa"/>
          </w:tcPr>
          <w:p w14:paraId="0DE550E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315C59C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Iteração entre Carteira de Crédito e Ativo Total</w:t>
            </w:r>
          </w:p>
        </w:tc>
        <w:tc>
          <w:tcPr>
            <w:tcW w:w="1662" w:type="dxa"/>
            <w:shd w:val="clear" w:color="auto" w:fill="auto"/>
            <w:noWrap/>
            <w:vAlign w:val="bottom"/>
            <w:hideMark/>
          </w:tcPr>
          <w:p w14:paraId="3EEDB855"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0,048</w:t>
            </w:r>
          </w:p>
        </w:tc>
      </w:tr>
      <w:tr w:rsidR="00A76200" w:rsidRPr="00B12D00" w14:paraId="0B66DB9A" w14:textId="77777777" w:rsidTr="003C0818">
        <w:trPr>
          <w:trHeight w:val="300"/>
        </w:trPr>
        <w:tc>
          <w:tcPr>
            <w:tcW w:w="1696" w:type="dxa"/>
            <w:vAlign w:val="center"/>
          </w:tcPr>
          <w:p w14:paraId="709FE13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hideMark/>
          </w:tcPr>
          <w:p w14:paraId="4090D10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Prazo de Amortização</w:t>
            </w:r>
          </w:p>
        </w:tc>
        <w:tc>
          <w:tcPr>
            <w:tcW w:w="1662" w:type="dxa"/>
            <w:shd w:val="clear" w:color="auto" w:fill="auto"/>
            <w:noWrap/>
            <w:vAlign w:val="bottom"/>
            <w:hideMark/>
          </w:tcPr>
          <w:p w14:paraId="0EAFDAB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0,045</w:t>
            </w:r>
          </w:p>
        </w:tc>
      </w:tr>
      <w:tr w:rsidR="00A76200" w:rsidRPr="00B12D00" w14:paraId="5B203B90" w14:textId="77777777" w:rsidTr="003C0818">
        <w:trPr>
          <w:trHeight w:val="300"/>
        </w:trPr>
        <w:tc>
          <w:tcPr>
            <w:tcW w:w="1696" w:type="dxa"/>
            <w:vAlign w:val="center"/>
          </w:tcPr>
          <w:p w14:paraId="0403681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11BDA06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Spread Bndes e Juros</w:t>
            </w:r>
          </w:p>
        </w:tc>
        <w:tc>
          <w:tcPr>
            <w:tcW w:w="1662" w:type="dxa"/>
            <w:shd w:val="clear" w:color="auto" w:fill="auto"/>
            <w:noWrap/>
            <w:vAlign w:val="bottom"/>
            <w:hideMark/>
          </w:tcPr>
          <w:p w14:paraId="32BEC1DE"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0,041</w:t>
            </w:r>
          </w:p>
        </w:tc>
      </w:tr>
      <w:tr w:rsidR="00A76200" w:rsidRPr="00B12D00" w14:paraId="6A5AC1EE" w14:textId="77777777" w:rsidTr="003C0818">
        <w:trPr>
          <w:trHeight w:val="300"/>
        </w:trPr>
        <w:tc>
          <w:tcPr>
            <w:tcW w:w="1696" w:type="dxa"/>
            <w:vAlign w:val="center"/>
          </w:tcPr>
          <w:p w14:paraId="7E99DBF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6F97F4E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Prazo de Carência</w:t>
            </w:r>
          </w:p>
        </w:tc>
        <w:tc>
          <w:tcPr>
            <w:tcW w:w="1662" w:type="dxa"/>
            <w:shd w:val="clear" w:color="auto" w:fill="auto"/>
            <w:noWrap/>
            <w:vAlign w:val="bottom"/>
            <w:hideMark/>
          </w:tcPr>
          <w:p w14:paraId="339B5D65"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0,031</w:t>
            </w:r>
          </w:p>
        </w:tc>
      </w:tr>
      <w:tr w:rsidR="00A76200" w:rsidRPr="00B12D00" w14:paraId="70C0E904" w14:textId="77777777" w:rsidTr="003C0818">
        <w:trPr>
          <w:trHeight w:val="300"/>
        </w:trPr>
        <w:tc>
          <w:tcPr>
            <w:tcW w:w="1696" w:type="dxa"/>
          </w:tcPr>
          <w:p w14:paraId="36CECA49"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363331E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Carteira de Crédito do Banco</w:t>
            </w:r>
          </w:p>
        </w:tc>
        <w:tc>
          <w:tcPr>
            <w:tcW w:w="1662" w:type="dxa"/>
            <w:shd w:val="clear" w:color="auto" w:fill="auto"/>
            <w:noWrap/>
            <w:vAlign w:val="bottom"/>
            <w:hideMark/>
          </w:tcPr>
          <w:p w14:paraId="650E4D86"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0,031</w:t>
            </w:r>
          </w:p>
        </w:tc>
      </w:tr>
      <w:tr w:rsidR="00A76200" w:rsidRPr="00B12D00" w14:paraId="57357C71" w14:textId="77777777" w:rsidTr="003C0818">
        <w:trPr>
          <w:trHeight w:val="300"/>
        </w:trPr>
        <w:tc>
          <w:tcPr>
            <w:tcW w:w="1696" w:type="dxa"/>
          </w:tcPr>
          <w:p w14:paraId="33B82867"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3AF2CB4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Carteira de Crédito e Passivo do Banco</w:t>
            </w:r>
          </w:p>
        </w:tc>
        <w:tc>
          <w:tcPr>
            <w:tcW w:w="1662" w:type="dxa"/>
            <w:shd w:val="clear" w:color="auto" w:fill="auto"/>
            <w:noWrap/>
            <w:vAlign w:val="bottom"/>
            <w:hideMark/>
          </w:tcPr>
          <w:p w14:paraId="0F6CACF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0,030</w:t>
            </w:r>
          </w:p>
        </w:tc>
      </w:tr>
      <w:tr w:rsidR="00A76200" w:rsidRPr="00B12D00" w14:paraId="105D0B56" w14:textId="77777777" w:rsidTr="003C0818">
        <w:trPr>
          <w:trHeight w:val="300"/>
        </w:trPr>
        <w:tc>
          <w:tcPr>
            <w:tcW w:w="1696" w:type="dxa"/>
            <w:vAlign w:val="center"/>
          </w:tcPr>
          <w:p w14:paraId="39F3D1AB"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59BF660F"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Prazo de Carência e Juros</w:t>
            </w:r>
          </w:p>
        </w:tc>
        <w:tc>
          <w:tcPr>
            <w:tcW w:w="1662" w:type="dxa"/>
            <w:shd w:val="clear" w:color="auto" w:fill="auto"/>
            <w:noWrap/>
            <w:vAlign w:val="bottom"/>
            <w:hideMark/>
          </w:tcPr>
          <w:p w14:paraId="1EBB3E98"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0,029</w:t>
            </w:r>
          </w:p>
        </w:tc>
      </w:tr>
      <w:tr w:rsidR="00A76200" w:rsidRPr="00B12D00" w14:paraId="3400F46B" w14:textId="77777777" w:rsidTr="003C0818">
        <w:trPr>
          <w:trHeight w:val="300"/>
        </w:trPr>
        <w:tc>
          <w:tcPr>
            <w:tcW w:w="1696" w:type="dxa"/>
          </w:tcPr>
          <w:p w14:paraId="5C88ABF8"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023A3F1C"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Iteração entre Patrimônio de mercado e Ativo Total</w:t>
            </w:r>
          </w:p>
        </w:tc>
        <w:tc>
          <w:tcPr>
            <w:tcW w:w="1662" w:type="dxa"/>
            <w:shd w:val="clear" w:color="auto" w:fill="auto"/>
            <w:noWrap/>
            <w:vAlign w:val="bottom"/>
            <w:hideMark/>
          </w:tcPr>
          <w:p w14:paraId="0F93CBDF"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0,024</w:t>
            </w:r>
          </w:p>
        </w:tc>
      </w:tr>
      <w:tr w:rsidR="00A76200" w:rsidRPr="00B12D00" w14:paraId="750C09E8" w14:textId="77777777" w:rsidTr="003C0818">
        <w:trPr>
          <w:trHeight w:val="300"/>
        </w:trPr>
        <w:tc>
          <w:tcPr>
            <w:tcW w:w="1696" w:type="dxa"/>
          </w:tcPr>
          <w:p w14:paraId="23AD8583"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vAlign w:val="center"/>
            <w:hideMark/>
          </w:tcPr>
          <w:p w14:paraId="52E7C7DB"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Segmento Bancário B2</w:t>
            </w:r>
          </w:p>
        </w:tc>
        <w:tc>
          <w:tcPr>
            <w:tcW w:w="1662" w:type="dxa"/>
            <w:shd w:val="clear" w:color="auto" w:fill="auto"/>
            <w:noWrap/>
            <w:vAlign w:val="bottom"/>
            <w:hideMark/>
          </w:tcPr>
          <w:p w14:paraId="20EB1186"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0,024</w:t>
            </w:r>
          </w:p>
        </w:tc>
      </w:tr>
      <w:tr w:rsidR="00A76200" w:rsidRPr="00B12D00" w14:paraId="1209FF76" w14:textId="77777777" w:rsidTr="003C0818">
        <w:trPr>
          <w:trHeight w:val="300"/>
        </w:trPr>
        <w:tc>
          <w:tcPr>
            <w:tcW w:w="1696" w:type="dxa"/>
            <w:vAlign w:val="center"/>
          </w:tcPr>
          <w:p w14:paraId="69E50D61"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133F2512"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Prazo de Carência e Carência</w:t>
            </w:r>
          </w:p>
        </w:tc>
        <w:tc>
          <w:tcPr>
            <w:tcW w:w="1662" w:type="dxa"/>
            <w:shd w:val="clear" w:color="auto" w:fill="auto"/>
            <w:noWrap/>
            <w:vAlign w:val="bottom"/>
            <w:hideMark/>
          </w:tcPr>
          <w:p w14:paraId="787DED6A"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0,022</w:t>
            </w:r>
          </w:p>
        </w:tc>
      </w:tr>
      <w:tr w:rsidR="00A76200" w:rsidRPr="00B12D00" w14:paraId="0F3768F1" w14:textId="77777777" w:rsidTr="003C0818">
        <w:trPr>
          <w:trHeight w:val="300"/>
        </w:trPr>
        <w:tc>
          <w:tcPr>
            <w:tcW w:w="1696" w:type="dxa"/>
            <w:vAlign w:val="center"/>
          </w:tcPr>
          <w:p w14:paraId="249A0066"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Spread BNDES</w:t>
            </w:r>
          </w:p>
        </w:tc>
        <w:tc>
          <w:tcPr>
            <w:tcW w:w="5142" w:type="dxa"/>
            <w:shd w:val="clear" w:color="auto" w:fill="auto"/>
            <w:noWrap/>
            <w:vAlign w:val="center"/>
            <w:hideMark/>
          </w:tcPr>
          <w:p w14:paraId="430E1B2D"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Interação entre Valor da Operação e Spread</w:t>
            </w:r>
          </w:p>
        </w:tc>
        <w:tc>
          <w:tcPr>
            <w:tcW w:w="1662" w:type="dxa"/>
            <w:shd w:val="clear" w:color="auto" w:fill="auto"/>
            <w:noWrap/>
            <w:vAlign w:val="bottom"/>
            <w:hideMark/>
          </w:tcPr>
          <w:p w14:paraId="0F356A30"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0,016</w:t>
            </w:r>
          </w:p>
        </w:tc>
      </w:tr>
      <w:tr w:rsidR="00A76200" w:rsidRPr="00B12D00" w14:paraId="4C2E30B3" w14:textId="77777777" w:rsidTr="003C0818">
        <w:trPr>
          <w:trHeight w:val="300"/>
        </w:trPr>
        <w:tc>
          <w:tcPr>
            <w:tcW w:w="1696" w:type="dxa"/>
          </w:tcPr>
          <w:p w14:paraId="5BC18D30"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ESTBAN</w:t>
            </w:r>
          </w:p>
        </w:tc>
        <w:tc>
          <w:tcPr>
            <w:tcW w:w="5142" w:type="dxa"/>
            <w:shd w:val="clear" w:color="auto" w:fill="auto"/>
            <w:noWrap/>
            <w:hideMark/>
          </w:tcPr>
          <w:p w14:paraId="2B5247A6" w14:textId="77777777" w:rsidR="00A76200" w:rsidRPr="00B12D00" w:rsidRDefault="00A76200" w:rsidP="003C0818">
            <w:pPr>
              <w:spacing w:after="0" w:line="240" w:lineRule="auto"/>
              <w:jc w:val="center"/>
              <w:rPr>
                <w:rFonts w:eastAsia="Times New Roman" w:cstheme="minorHAnsi"/>
                <w:lang w:eastAsia="pt-BR"/>
              </w:rPr>
            </w:pPr>
            <w:r w:rsidRPr="00B12D00">
              <w:rPr>
                <w:rFonts w:eastAsia="Times New Roman" w:cstheme="minorHAnsi"/>
                <w:lang w:eastAsia="pt-BR"/>
              </w:rPr>
              <w:t>Passivo Total do Banco</w:t>
            </w:r>
          </w:p>
        </w:tc>
        <w:tc>
          <w:tcPr>
            <w:tcW w:w="1662" w:type="dxa"/>
            <w:shd w:val="clear" w:color="auto" w:fill="auto"/>
            <w:noWrap/>
            <w:vAlign w:val="bottom"/>
            <w:hideMark/>
          </w:tcPr>
          <w:p w14:paraId="0E9383A6" w14:textId="77777777" w:rsidR="00A76200" w:rsidRPr="00B12D00" w:rsidRDefault="00A76200" w:rsidP="003C0818">
            <w:pPr>
              <w:spacing w:after="0" w:line="240" w:lineRule="auto"/>
              <w:jc w:val="center"/>
              <w:rPr>
                <w:rFonts w:eastAsia="Times New Roman" w:cstheme="minorHAnsi"/>
                <w:color w:val="000000"/>
                <w:lang w:eastAsia="pt-BR"/>
              </w:rPr>
            </w:pPr>
            <w:r w:rsidRPr="00B12D00">
              <w:rPr>
                <w:rFonts w:eastAsia="Times New Roman" w:cstheme="minorHAnsi"/>
                <w:color w:val="000000"/>
                <w:lang w:eastAsia="pt-BR"/>
              </w:rPr>
              <w:t>0,016</w:t>
            </w:r>
          </w:p>
        </w:tc>
      </w:tr>
    </w:tbl>
    <w:p w14:paraId="230F221D" w14:textId="4065CB50" w:rsidR="00A76200" w:rsidRPr="00B12D00" w:rsidRDefault="00A76200" w:rsidP="00A76200">
      <w:pPr>
        <w:jc w:val="both"/>
        <w:rPr>
          <w:rFonts w:cstheme="minorHAnsi"/>
          <w:lang w:val="en-US"/>
        </w:rPr>
      </w:pPr>
      <w:r w:rsidRPr="00B12D00">
        <w:rPr>
          <w:rFonts w:cstheme="minorHAnsi"/>
          <w:lang w:val="en-US"/>
        </w:rPr>
        <w:t>Fonte: Elaboração do autor</w:t>
      </w:r>
    </w:p>
    <w:p w14:paraId="169C7945" w14:textId="77777777" w:rsidR="00A76200" w:rsidRPr="00B12D00" w:rsidRDefault="00A76200" w:rsidP="00A76200">
      <w:pPr>
        <w:jc w:val="both"/>
        <w:rPr>
          <w:rFonts w:cstheme="minorHAnsi"/>
          <w:sz w:val="24"/>
          <w:szCs w:val="24"/>
        </w:rPr>
      </w:pPr>
    </w:p>
    <w:p w14:paraId="0BE51187" w14:textId="77777777" w:rsidR="00A76200" w:rsidRPr="00104754" w:rsidRDefault="00A76200" w:rsidP="00A76200">
      <w:pPr>
        <w:ind w:firstLine="360"/>
        <w:jc w:val="both"/>
        <w:rPr>
          <w:rFonts w:cstheme="minorHAnsi"/>
        </w:rPr>
      </w:pPr>
      <w:r w:rsidRPr="00104754">
        <w:rPr>
          <w:rFonts w:cstheme="minorHAnsi"/>
        </w:rPr>
        <w:t xml:space="preserve">Para o algoritmo Multi-task Elastic-Net, não encontramos nenhuma característica das empresas entre as informações mais relevantes para explicar o spread. A taxa de juros destaca-se como sendo a característica mais importante, seguida pelo Spread BNDES e o segmento bancário a qual pertence a instituição intermediadora. Várias características da instituição intermediadora podem ser vistas entre as 15 principais </w:t>
      </w:r>
      <w:r w:rsidRPr="00104754">
        <w:rPr>
          <w:rFonts w:cstheme="minorHAnsi"/>
          <w:i/>
          <w:iCs/>
        </w:rPr>
        <w:t>features importances</w:t>
      </w:r>
      <w:r w:rsidRPr="00104754">
        <w:rPr>
          <w:rFonts w:cstheme="minorHAnsi"/>
        </w:rPr>
        <w:t>. Este resultado indica que a política de precificação da instituição financeira envolvida pode ser tão relevante quando as características das firmas para determinar o spread bancário.</w:t>
      </w:r>
    </w:p>
    <w:p w14:paraId="6DDE2A21" w14:textId="77777777" w:rsidR="00A76200" w:rsidRPr="00B12D00" w:rsidRDefault="00A76200" w:rsidP="00A76200">
      <w:pPr>
        <w:jc w:val="both"/>
        <w:rPr>
          <w:rFonts w:cstheme="minorHAnsi"/>
          <w:sz w:val="24"/>
          <w:szCs w:val="24"/>
        </w:rPr>
      </w:pPr>
    </w:p>
    <w:p w14:paraId="6D013B7A" w14:textId="625EA8FA" w:rsidR="00B65A8F" w:rsidRDefault="00B65A8F" w:rsidP="00B65A8F">
      <w:pPr>
        <w:pStyle w:val="PargrafodaLista"/>
        <w:numPr>
          <w:ilvl w:val="0"/>
          <w:numId w:val="2"/>
        </w:numPr>
        <w:jc w:val="both"/>
        <w:rPr>
          <w:rFonts w:cstheme="minorHAnsi"/>
          <w:b/>
          <w:bCs/>
        </w:rPr>
      </w:pPr>
      <w:r>
        <w:rPr>
          <w:rFonts w:cstheme="minorHAnsi"/>
          <w:b/>
          <w:bCs/>
        </w:rPr>
        <w:t xml:space="preserve">Spread usando Carteira Ativa calculada pela Tabela PRICE </w:t>
      </w:r>
    </w:p>
    <w:p w14:paraId="7D139054" w14:textId="38CBE8E0" w:rsidR="000A0F90" w:rsidRPr="000A0F90" w:rsidRDefault="000A0F90" w:rsidP="000A0F90">
      <w:pPr>
        <w:ind w:firstLine="360"/>
        <w:jc w:val="both"/>
        <w:rPr>
          <w:rFonts w:cstheme="minorHAnsi"/>
        </w:rPr>
      </w:pPr>
      <w:r w:rsidRPr="000A0F90">
        <w:rPr>
          <w:rFonts w:cstheme="minorHAnsi"/>
        </w:rPr>
        <w:t xml:space="preserve">O sistema </w:t>
      </w:r>
      <w:r w:rsidRPr="000A0F90">
        <w:rPr>
          <w:rFonts w:cstheme="minorHAnsi"/>
          <w:i/>
          <w:iCs/>
        </w:rPr>
        <w:t>PRICE</w:t>
      </w:r>
      <w:r w:rsidRPr="000A0F90">
        <w:rPr>
          <w:rFonts w:cstheme="minorHAnsi"/>
        </w:rPr>
        <w:t xml:space="preserve"> </w:t>
      </w:r>
      <w:r>
        <w:rPr>
          <w:rFonts w:cstheme="minorHAnsi"/>
        </w:rPr>
        <w:t xml:space="preserve">é também conhecido como sistema de amortização constante. O cálculo das prestações segundo essa fórmula </w:t>
      </w:r>
      <w:r w:rsidRPr="000A0F90">
        <w:rPr>
          <w:rFonts w:cstheme="minorHAnsi"/>
        </w:rPr>
        <w:t>pressupõe que os juros aplicados mensalmente</w:t>
      </w:r>
      <w:r>
        <w:rPr>
          <w:rFonts w:cstheme="minorHAnsi"/>
        </w:rPr>
        <w:t xml:space="preserve">, de tal forma que </w:t>
      </w:r>
      <w:r w:rsidRPr="000A0F90">
        <w:rPr>
          <w:rFonts w:cstheme="minorHAnsi"/>
        </w:rPr>
        <w:t xml:space="preserve">o valor da prestação </w:t>
      </w:r>
      <w:r>
        <w:rPr>
          <w:rFonts w:cstheme="minorHAnsi"/>
        </w:rPr>
        <w:t xml:space="preserve">é </w:t>
      </w:r>
      <w:r w:rsidRPr="000A0F90">
        <w:rPr>
          <w:rFonts w:cstheme="minorHAnsi"/>
        </w:rPr>
        <w:t xml:space="preserve">constante ao longo do </w:t>
      </w:r>
      <w:r>
        <w:rPr>
          <w:rFonts w:cstheme="minorHAnsi"/>
        </w:rPr>
        <w:t>tempo</w:t>
      </w:r>
      <w:r w:rsidRPr="000A0F90">
        <w:rPr>
          <w:rFonts w:cstheme="minorHAnsi"/>
        </w:rPr>
        <w:t>. Para calcular a prestação</w:t>
      </w:r>
      <w:r>
        <w:rPr>
          <w:rFonts w:cstheme="minorHAnsi"/>
        </w:rPr>
        <w:t xml:space="preserve"> </w:t>
      </w:r>
      <w:r w:rsidRPr="000A0F90">
        <w:rPr>
          <w:rFonts w:cstheme="minorHAnsi"/>
          <w:i/>
          <w:iCs/>
        </w:rPr>
        <w:t>PRICE</w:t>
      </w:r>
      <w:r>
        <w:rPr>
          <w:rFonts w:cstheme="minorHAnsi"/>
        </w:rPr>
        <w:t xml:space="preserve"> é necessário determinar o valor </w:t>
      </w:r>
      <w:r w:rsidRPr="000A0F90">
        <w:rPr>
          <w:rFonts w:cstheme="minorHAnsi"/>
        </w:rPr>
        <w:t>do empréstimo, a taxa de juros mensal e o número de períodos de pagamento</w:t>
      </w:r>
      <w:r>
        <w:rPr>
          <w:rFonts w:cstheme="minorHAnsi"/>
        </w:rPr>
        <w:t xml:space="preserve">, aplicando esses </w:t>
      </w:r>
      <w:r w:rsidRPr="000A0F90">
        <w:rPr>
          <w:rFonts w:cstheme="minorHAnsi"/>
        </w:rPr>
        <w:t>valores na fórmula</w:t>
      </w:r>
      <w:r>
        <w:rPr>
          <w:rFonts w:cstheme="minorHAnsi"/>
        </w:rPr>
        <w:t xml:space="preserve"> abaixo para obter a </w:t>
      </w:r>
      <w:r w:rsidRPr="000A0F90">
        <w:rPr>
          <w:rFonts w:cstheme="minorHAnsi"/>
        </w:rPr>
        <w:t>prestação mensal.</w:t>
      </w:r>
    </w:p>
    <w:p w14:paraId="007910F1" w14:textId="6F74D12D" w:rsidR="00B65A8F" w:rsidRPr="00B65A8F" w:rsidRDefault="00B65A8F" w:rsidP="000A0F90">
      <w:pPr>
        <w:ind w:firstLine="360"/>
        <w:jc w:val="both"/>
        <w:rPr>
          <w:rFonts w:cstheme="minorHAnsi"/>
        </w:rPr>
      </w:pPr>
      <w:r w:rsidRPr="00B65A8F">
        <w:rPr>
          <w:rFonts w:cstheme="minorHAnsi"/>
        </w:rPr>
        <w:t>A</w:t>
      </w:r>
      <w:r w:rsidR="000A0F90">
        <w:rPr>
          <w:rFonts w:cstheme="minorHAnsi"/>
        </w:rPr>
        <w:t xml:space="preserve"> </w:t>
      </w:r>
      <w:r w:rsidRPr="00B65A8F">
        <w:rPr>
          <w:rFonts w:cstheme="minorHAnsi"/>
        </w:rPr>
        <w:t xml:space="preserve">prestação </w:t>
      </w:r>
      <w:r w:rsidR="000A0F90">
        <w:rPr>
          <w:rFonts w:cstheme="minorHAnsi"/>
        </w:rPr>
        <w:t>PRICE é dada pela expressão</w:t>
      </w:r>
      <w:r w:rsidRPr="00B65A8F">
        <w:rPr>
          <w:rFonts w:cstheme="minorHAnsi"/>
        </w:rPr>
        <w:t>:</w:t>
      </w:r>
    </w:p>
    <w:p w14:paraId="3F8B8D9F" w14:textId="1884CB92" w:rsidR="00B65A8F" w:rsidRPr="000A0F90" w:rsidRDefault="00B65A8F" w:rsidP="000A0F90">
      <w:pPr>
        <w:rPr>
          <w:rFonts w:cstheme="minorHAnsi"/>
        </w:rPr>
      </w:pPr>
      <m:oMathPara>
        <m:oMath>
          <m:r>
            <w:rPr>
              <w:rFonts w:ascii="Cambria Math" w:hAnsi="Cambria Math" w:cstheme="minorHAnsi"/>
            </w:rPr>
            <m:t>PRICE=</m:t>
          </m:r>
          <m:f>
            <m:fPr>
              <m:ctrlPr>
                <w:rPr>
                  <w:rFonts w:ascii="Cambria Math" w:hAnsi="Cambria Math" w:cstheme="minorHAnsi"/>
                  <w:i/>
                </w:rPr>
              </m:ctrlPr>
            </m:fPr>
            <m:num>
              <m:r>
                <w:rPr>
                  <w:rFonts w:ascii="Cambria Math" w:hAnsi="Cambria Math" w:cstheme="minorHAnsi"/>
                </w:rPr>
                <m:t>V×i</m:t>
              </m:r>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(1+i)</m:t>
                  </m:r>
                </m:e>
                <m:sup>
                  <m:r>
                    <w:rPr>
                      <w:rFonts w:ascii="Cambria Math" w:hAnsi="Cambria Math" w:cstheme="minorHAnsi"/>
                    </w:rPr>
                    <m:t>n</m:t>
                  </m:r>
                </m:sup>
              </m:sSup>
            </m:den>
          </m:f>
        </m:oMath>
      </m:oMathPara>
    </w:p>
    <w:p w14:paraId="61FC806F" w14:textId="77777777" w:rsidR="00B65A8F" w:rsidRPr="000A0F90" w:rsidRDefault="00B65A8F" w:rsidP="000A0F90">
      <w:pPr>
        <w:rPr>
          <w:rFonts w:cstheme="minorHAnsi"/>
        </w:rPr>
      </w:pPr>
      <w:r w:rsidRPr="000A0F90">
        <w:rPr>
          <w:rFonts w:cstheme="minorHAnsi"/>
        </w:rPr>
        <w:t>Onde:</w:t>
      </w:r>
    </w:p>
    <w:p w14:paraId="2ED7FB1E" w14:textId="3961B9A8" w:rsidR="00B65A8F" w:rsidRPr="000A0F90" w:rsidRDefault="000A0F90" w:rsidP="000A0F90">
      <w:pPr>
        <w:rPr>
          <w:rFonts w:cstheme="minorHAnsi"/>
        </w:rPr>
      </w:pPr>
      <w:r w:rsidRPr="000A0F90">
        <w:rPr>
          <w:rFonts w:cstheme="minorHAnsi"/>
          <w:i/>
          <w:iCs/>
        </w:rPr>
        <w:lastRenderedPageBreak/>
        <w:t>PRICE</w:t>
      </w:r>
      <w:r>
        <w:rPr>
          <w:rFonts w:cstheme="minorHAnsi"/>
          <w:i/>
          <w:iCs/>
        </w:rPr>
        <w:t xml:space="preserve">: </w:t>
      </w:r>
      <w:r w:rsidR="00B65A8F" w:rsidRPr="000A0F90">
        <w:rPr>
          <w:rFonts w:cstheme="minorHAnsi"/>
        </w:rPr>
        <w:t>Prestação (valor a ser pago mensalmente)</w:t>
      </w:r>
    </w:p>
    <w:p w14:paraId="2EC96ABE" w14:textId="6C960FED" w:rsidR="00B65A8F" w:rsidRPr="000A0F90" w:rsidRDefault="00B65A8F" w:rsidP="000A0F90">
      <w:pPr>
        <w:rPr>
          <w:rFonts w:cstheme="minorHAnsi"/>
        </w:rPr>
      </w:pPr>
      <w:r w:rsidRPr="000A0F90">
        <w:rPr>
          <w:rFonts w:cstheme="minorHAnsi"/>
        </w:rPr>
        <w:t xml:space="preserve">V = Valor do </w:t>
      </w:r>
      <w:r w:rsidR="000A0F90">
        <w:rPr>
          <w:rFonts w:cstheme="minorHAnsi"/>
        </w:rPr>
        <w:t>F</w:t>
      </w:r>
      <w:r w:rsidRPr="000A0F90">
        <w:rPr>
          <w:rFonts w:cstheme="minorHAnsi"/>
        </w:rPr>
        <w:t>inanciamento</w:t>
      </w:r>
    </w:p>
    <w:p w14:paraId="0010C163" w14:textId="2EB903AE" w:rsidR="00B65A8F" w:rsidRPr="000A0F90" w:rsidRDefault="00B65A8F" w:rsidP="000A0F90">
      <w:pPr>
        <w:rPr>
          <w:rFonts w:cstheme="minorHAnsi"/>
        </w:rPr>
      </w:pPr>
      <w:r w:rsidRPr="000A0F90">
        <w:rPr>
          <w:rFonts w:cstheme="minorHAnsi"/>
          <w:i/>
          <w:iCs/>
        </w:rPr>
        <w:t>i</w:t>
      </w:r>
      <w:r w:rsidRPr="000A0F90">
        <w:rPr>
          <w:rFonts w:cstheme="minorHAnsi"/>
        </w:rPr>
        <w:t xml:space="preserve"> = Taxa de juros mensal</w:t>
      </w:r>
    </w:p>
    <w:p w14:paraId="1DD79596" w14:textId="01D3E818" w:rsidR="00B65A8F" w:rsidRPr="000A0F90" w:rsidRDefault="00B65A8F" w:rsidP="000A0F90">
      <w:pPr>
        <w:rPr>
          <w:rFonts w:cstheme="minorHAnsi"/>
        </w:rPr>
      </w:pPr>
      <w:r w:rsidRPr="000A0F90">
        <w:rPr>
          <w:rFonts w:cstheme="minorHAnsi"/>
          <w:i/>
          <w:iCs/>
        </w:rPr>
        <w:t>n</w:t>
      </w:r>
      <w:r w:rsidRPr="000A0F90">
        <w:rPr>
          <w:rFonts w:cstheme="minorHAnsi"/>
        </w:rPr>
        <w:t xml:space="preserve"> = </w:t>
      </w:r>
      <w:r w:rsidR="000A0F90">
        <w:rPr>
          <w:rFonts w:cstheme="minorHAnsi"/>
        </w:rPr>
        <w:t xml:space="preserve">Prazo de amortização em </w:t>
      </w:r>
      <w:r w:rsidRPr="000A0F90">
        <w:rPr>
          <w:rFonts w:cstheme="minorHAnsi"/>
        </w:rPr>
        <w:t>meses</w:t>
      </w:r>
      <w:r w:rsidR="000A0F90">
        <w:rPr>
          <w:rFonts w:cstheme="minorHAnsi"/>
        </w:rPr>
        <w:t>.</w:t>
      </w:r>
    </w:p>
    <w:p w14:paraId="07B075A7" w14:textId="77777777" w:rsidR="00B65A8F" w:rsidRDefault="00B65A8F" w:rsidP="00A76200">
      <w:pPr>
        <w:jc w:val="both"/>
        <w:rPr>
          <w:rFonts w:cstheme="minorHAnsi"/>
          <w:sz w:val="24"/>
          <w:szCs w:val="24"/>
        </w:rPr>
      </w:pPr>
    </w:p>
    <w:p w14:paraId="572FF9F9" w14:textId="5286C47B" w:rsidR="000A0F90" w:rsidRPr="000A0F90" w:rsidRDefault="000A0F90" w:rsidP="000A0F90">
      <w:pPr>
        <w:pStyle w:val="PargrafodaLista"/>
        <w:numPr>
          <w:ilvl w:val="0"/>
          <w:numId w:val="2"/>
        </w:numPr>
        <w:jc w:val="both"/>
        <w:rPr>
          <w:rFonts w:cstheme="minorHAnsi"/>
          <w:b/>
          <w:bCs/>
        </w:rPr>
      </w:pPr>
      <w:r>
        <w:rPr>
          <w:rFonts w:cstheme="minorHAnsi"/>
          <w:b/>
          <w:bCs/>
        </w:rPr>
        <w:t>RAROC nas operações do BNDES</w:t>
      </w:r>
      <w:r w:rsidRPr="000A0F90">
        <w:rPr>
          <w:rFonts w:cstheme="minorHAnsi"/>
          <w:b/>
          <w:bCs/>
        </w:rPr>
        <w:t xml:space="preserve"> </w:t>
      </w:r>
    </w:p>
    <w:p w14:paraId="04E04E4D" w14:textId="77777777" w:rsidR="00583922" w:rsidRDefault="00583922" w:rsidP="00583922">
      <w:pPr>
        <w:pStyle w:val="PargrafodaLista"/>
        <w:jc w:val="both"/>
        <w:rPr>
          <w:rFonts w:cstheme="minorHAnsi"/>
          <w:b/>
          <w:bCs/>
        </w:rPr>
      </w:pPr>
    </w:p>
    <w:p w14:paraId="0D618CE3" w14:textId="5E04D26E" w:rsidR="005F0469" w:rsidRPr="005F0469" w:rsidRDefault="005F0469" w:rsidP="005F0469">
      <w:pPr>
        <w:ind w:firstLine="360"/>
        <w:jc w:val="both"/>
        <w:rPr>
          <w:rFonts w:cstheme="minorHAnsi"/>
        </w:rPr>
      </w:pPr>
      <w:r w:rsidRPr="005F0469">
        <w:rPr>
          <w:rFonts w:cstheme="minorHAnsi"/>
        </w:rPr>
        <w:t xml:space="preserve">A obtenção do RAROC apresentada é baseada no cálculo do montante nominal, que é basicamente o valor das prestações conforme o sistema de amortização constante (PRICE) multiplicado pelo total de parcelas. </w:t>
      </w:r>
      <w:r>
        <w:rPr>
          <w:rFonts w:cstheme="minorHAnsi"/>
        </w:rPr>
        <w:t>A perda inesperada é obtiva multiplicando esse montante nominal pelo percentil 99% dos valores observadas da perda esperada normalizada, sendo esse o método empírico para determinação do Valor sob Risco (</w:t>
      </w:r>
      <w:r w:rsidRPr="005F0469">
        <w:rPr>
          <w:rFonts w:cstheme="minorHAnsi"/>
          <w:i/>
          <w:iCs/>
        </w:rPr>
        <w:t>VaR</w:t>
      </w:r>
      <w:r>
        <w:rPr>
          <w:rFonts w:cstheme="minorHAnsi"/>
        </w:rPr>
        <w:t xml:space="preserve">). </w:t>
      </w:r>
      <w:r w:rsidR="00C6617C">
        <w:rPr>
          <w:rFonts w:cstheme="minorHAnsi"/>
        </w:rPr>
        <w:t>Para obtenção do Spread, consideramos a taxa Selic como sendo o referencial do custo de capitação, e aproximamos os custos operacionais como sendo 3% do valor das operações.</w:t>
      </w:r>
    </w:p>
    <w:p w14:paraId="089E835D" w14:textId="77777777" w:rsidR="009C3E23" w:rsidRDefault="00104754" w:rsidP="00D90732">
      <w:pPr>
        <w:ind w:firstLine="360"/>
        <w:jc w:val="both"/>
        <w:rPr>
          <w:rFonts w:cstheme="minorHAnsi"/>
        </w:rPr>
      </w:pPr>
      <w:r w:rsidRPr="00104754">
        <w:rPr>
          <w:rFonts w:cstheme="minorHAnsi"/>
        </w:rPr>
        <w:t xml:space="preserve">Avaliando </w:t>
      </w:r>
      <w:r>
        <w:rPr>
          <w:rFonts w:cstheme="minorHAnsi"/>
        </w:rPr>
        <w:t xml:space="preserve">o indicador RAROC conforme o nível de risco das operações, vemos que a maior parte das operações apresentam valores positivos, entretanto </w:t>
      </w:r>
      <w:r w:rsidR="00D90732">
        <w:rPr>
          <w:rFonts w:cstheme="minorHAnsi"/>
        </w:rPr>
        <w:t xml:space="preserve">os indicadores nunca ultrapassam 100%. Isto indica que as margens de Spread são muito apertadas. Conforme o esperado, as operações de menor risco apresentam-se como mais vantajosa, tendo em vista que representam menores risco e menor provisão de capital. As operações de maior risco possuem menores indicadores RAROC, e em algumas situações sendo negativo.  </w:t>
      </w:r>
      <w:r w:rsidR="00D90732">
        <w:rPr>
          <w:rFonts w:cstheme="minorHAnsi"/>
        </w:rPr>
        <w:t>O valor mediano do RAROC das operações de risco AA é 47,4%, enquanto</w:t>
      </w:r>
      <w:r w:rsidR="00D90732">
        <w:rPr>
          <w:rFonts w:cstheme="minorHAnsi"/>
        </w:rPr>
        <w:t xml:space="preserve"> o RAROC das operações de risco G é 2,8%. </w:t>
      </w:r>
    </w:p>
    <w:p w14:paraId="2FA225B2" w14:textId="77777777" w:rsidR="009C3E23" w:rsidRPr="00104754" w:rsidRDefault="009C3E23" w:rsidP="009C3E23">
      <w:pPr>
        <w:ind w:firstLine="360"/>
        <w:jc w:val="both"/>
        <w:rPr>
          <w:rFonts w:cstheme="minorHAnsi"/>
        </w:rPr>
      </w:pPr>
      <w:r>
        <w:rPr>
          <w:rFonts w:cstheme="minorHAnsi"/>
        </w:rPr>
        <w:t xml:space="preserve">Observamos que todas as operações de nível risco H apresentam prejuízo. Exceto em contexto de renegociação de dívidas, entendemos que tais operações não deveriam ser executadas. Mas mesmo pode-se considerar que mesmo as operações de nível de risco G não são vantajosas do ponto de visto da exposição ao risco, pois 25% dessas operações apresentam nível de risco negativo e 99% dessas operações apresentam RAROC menor que 10%. </w:t>
      </w:r>
    </w:p>
    <w:p w14:paraId="01081F37" w14:textId="77777777" w:rsidR="009C3E23" w:rsidRDefault="009C3E23" w:rsidP="00D90732">
      <w:pPr>
        <w:ind w:firstLine="360"/>
        <w:jc w:val="both"/>
        <w:rPr>
          <w:rFonts w:cstheme="minorHAnsi"/>
        </w:rPr>
      </w:pPr>
    </w:p>
    <w:p w14:paraId="0D05ACC8" w14:textId="77777777" w:rsidR="009C3E23" w:rsidRDefault="009C3E23" w:rsidP="00D90732">
      <w:pPr>
        <w:ind w:firstLine="360"/>
        <w:jc w:val="both"/>
        <w:rPr>
          <w:rFonts w:cstheme="minorHAnsi"/>
        </w:rPr>
      </w:pPr>
    </w:p>
    <w:p w14:paraId="4125B8EF" w14:textId="6C97AA67" w:rsidR="00B65A8F" w:rsidRPr="00583922" w:rsidRDefault="00583922" w:rsidP="00583922">
      <w:pPr>
        <w:rPr>
          <w:rFonts w:eastAsia="Times New Roman" w:cstheme="minorHAnsi"/>
          <w:b/>
          <w:bCs/>
          <w:color w:val="000000"/>
          <w:lang w:eastAsia="pt-BR"/>
        </w:rPr>
      </w:pPr>
      <w:r w:rsidRPr="00583922">
        <w:rPr>
          <w:rFonts w:cstheme="minorHAnsi"/>
          <w:b/>
          <w:bCs/>
        </w:rPr>
        <w:t xml:space="preserve">Tabela </w:t>
      </w:r>
      <w:r w:rsidRPr="00583922">
        <w:rPr>
          <w:rFonts w:cstheme="minorHAnsi"/>
          <w:b/>
          <w:bCs/>
        </w:rPr>
        <w:fldChar w:fldCharType="begin"/>
      </w:r>
      <w:r w:rsidRPr="00583922">
        <w:rPr>
          <w:rFonts w:cstheme="minorHAnsi"/>
          <w:b/>
          <w:bCs/>
        </w:rPr>
        <w:instrText xml:space="preserve"> SEQ Table \* ARABIC </w:instrText>
      </w:r>
      <w:r w:rsidRPr="00583922">
        <w:rPr>
          <w:rFonts w:cstheme="minorHAnsi"/>
          <w:b/>
          <w:bCs/>
        </w:rPr>
        <w:fldChar w:fldCharType="separate"/>
      </w:r>
      <w:r w:rsidRPr="00583922">
        <w:rPr>
          <w:rFonts w:cstheme="minorHAnsi"/>
          <w:b/>
          <w:bCs/>
          <w:noProof/>
        </w:rPr>
        <w:t>4</w:t>
      </w:r>
      <w:r w:rsidRPr="00583922">
        <w:rPr>
          <w:rFonts w:cstheme="minorHAnsi"/>
          <w:b/>
          <w:bCs/>
          <w:noProof/>
        </w:rPr>
        <w:fldChar w:fldCharType="end"/>
      </w:r>
      <w:r w:rsidRPr="00583922">
        <w:rPr>
          <w:rFonts w:cstheme="minorHAnsi"/>
          <w:b/>
          <w:bCs/>
        </w:rPr>
        <w:t xml:space="preserve">: </w:t>
      </w:r>
      <w:r w:rsidRPr="00583922">
        <w:rPr>
          <w:rFonts w:cstheme="minorHAnsi"/>
          <w:b/>
          <w:bCs/>
        </w:rPr>
        <w:t xml:space="preserve">Percentis do Indicador RAROC </w:t>
      </w:r>
      <w:r>
        <w:rPr>
          <w:rFonts w:cstheme="minorHAnsi"/>
          <w:b/>
          <w:bCs/>
        </w:rPr>
        <w:t>por Nível de Risco</w:t>
      </w:r>
    </w:p>
    <w:tbl>
      <w:tblPr>
        <w:tblW w:w="8500" w:type="dxa"/>
        <w:jc w:val="center"/>
        <w:tblBorders>
          <w:top w:val="single" w:sz="4" w:space="0" w:color="auto"/>
          <w:bottom w:val="single" w:sz="4" w:space="0" w:color="auto"/>
        </w:tblBorders>
        <w:tblLayout w:type="fixed"/>
        <w:tblCellMar>
          <w:left w:w="70" w:type="dxa"/>
          <w:right w:w="70" w:type="dxa"/>
        </w:tblCellMar>
        <w:tblLook w:val="04A0" w:firstRow="1" w:lastRow="0" w:firstColumn="1" w:lastColumn="0" w:noHBand="0" w:noVBand="1"/>
      </w:tblPr>
      <w:tblGrid>
        <w:gridCol w:w="1046"/>
        <w:gridCol w:w="864"/>
        <w:gridCol w:w="1318"/>
        <w:gridCol w:w="1318"/>
        <w:gridCol w:w="1318"/>
        <w:gridCol w:w="1318"/>
        <w:gridCol w:w="1318"/>
      </w:tblGrid>
      <w:tr w:rsidR="00583922" w:rsidRPr="00583922" w14:paraId="33C7027A" w14:textId="77777777" w:rsidTr="00583922">
        <w:trPr>
          <w:trHeight w:val="300"/>
          <w:jc w:val="center"/>
        </w:trPr>
        <w:tc>
          <w:tcPr>
            <w:tcW w:w="1046" w:type="dxa"/>
            <w:tcBorders>
              <w:top w:val="single" w:sz="4" w:space="0" w:color="auto"/>
              <w:bottom w:val="single" w:sz="4" w:space="0" w:color="auto"/>
            </w:tcBorders>
            <w:shd w:val="clear" w:color="auto" w:fill="auto"/>
            <w:noWrap/>
            <w:vAlign w:val="center"/>
            <w:hideMark/>
          </w:tcPr>
          <w:p w14:paraId="03D5FC5F" w14:textId="77777777" w:rsidR="00583922" w:rsidRDefault="0058392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 xml:space="preserve">Nível de </w:t>
            </w:r>
          </w:p>
          <w:p w14:paraId="3B301426" w14:textId="01CF2BF5" w:rsidR="00583922" w:rsidRPr="00583922" w:rsidRDefault="0058392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Risco</w:t>
            </w:r>
          </w:p>
        </w:tc>
        <w:tc>
          <w:tcPr>
            <w:tcW w:w="864" w:type="dxa"/>
            <w:tcBorders>
              <w:top w:val="single" w:sz="4" w:space="0" w:color="auto"/>
              <w:bottom w:val="single" w:sz="4" w:space="0" w:color="auto"/>
            </w:tcBorders>
            <w:shd w:val="clear" w:color="auto" w:fill="auto"/>
            <w:noWrap/>
            <w:vAlign w:val="center"/>
            <w:hideMark/>
          </w:tcPr>
          <w:p w14:paraId="3E81C1A2" w14:textId="68A92107" w:rsidR="00583922" w:rsidRPr="00583922" w:rsidRDefault="0058392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N. OBS</w:t>
            </w:r>
          </w:p>
        </w:tc>
        <w:tc>
          <w:tcPr>
            <w:tcW w:w="1318" w:type="dxa"/>
            <w:tcBorders>
              <w:top w:val="single" w:sz="4" w:space="0" w:color="auto"/>
              <w:bottom w:val="single" w:sz="4" w:space="0" w:color="auto"/>
            </w:tcBorders>
            <w:shd w:val="clear" w:color="auto" w:fill="auto"/>
            <w:noWrap/>
            <w:vAlign w:val="center"/>
            <w:hideMark/>
          </w:tcPr>
          <w:p w14:paraId="2DB9FFD5" w14:textId="77777777" w:rsidR="00583922" w:rsidRDefault="0058392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 xml:space="preserve">Percentil </w:t>
            </w:r>
          </w:p>
          <w:p w14:paraId="12EE36CD" w14:textId="39D4A490" w:rsidR="00583922" w:rsidRPr="00583922" w:rsidRDefault="0058392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1%</w:t>
            </w:r>
          </w:p>
        </w:tc>
        <w:tc>
          <w:tcPr>
            <w:tcW w:w="1318" w:type="dxa"/>
            <w:tcBorders>
              <w:top w:val="single" w:sz="4" w:space="0" w:color="auto"/>
              <w:bottom w:val="single" w:sz="4" w:space="0" w:color="auto"/>
            </w:tcBorders>
            <w:shd w:val="clear" w:color="auto" w:fill="auto"/>
            <w:noWrap/>
            <w:vAlign w:val="center"/>
            <w:hideMark/>
          </w:tcPr>
          <w:p w14:paraId="140935E3" w14:textId="77777777" w:rsidR="00583922" w:rsidRDefault="0058392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Percentil</w:t>
            </w:r>
            <w:r>
              <w:rPr>
                <w:rFonts w:ascii="Calibri" w:eastAsia="Times New Roman" w:hAnsi="Calibri" w:cs="Calibri"/>
                <w:color w:val="000000"/>
                <w:lang w:eastAsia="pt-BR" w:bidi="he-IL"/>
              </w:rPr>
              <w:t xml:space="preserve"> </w:t>
            </w:r>
          </w:p>
          <w:p w14:paraId="57B90CDF" w14:textId="539847D9" w:rsidR="00583922" w:rsidRPr="00583922" w:rsidRDefault="0058392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25</w:t>
            </w:r>
            <w:r>
              <w:rPr>
                <w:rFonts w:ascii="Calibri" w:eastAsia="Times New Roman" w:hAnsi="Calibri" w:cs="Calibri"/>
                <w:color w:val="000000"/>
                <w:lang w:eastAsia="pt-BR" w:bidi="he-IL"/>
              </w:rPr>
              <w:t>%</w:t>
            </w:r>
          </w:p>
        </w:tc>
        <w:tc>
          <w:tcPr>
            <w:tcW w:w="1318" w:type="dxa"/>
            <w:tcBorders>
              <w:top w:val="single" w:sz="4" w:space="0" w:color="auto"/>
              <w:bottom w:val="single" w:sz="4" w:space="0" w:color="auto"/>
            </w:tcBorders>
            <w:shd w:val="clear" w:color="auto" w:fill="auto"/>
            <w:noWrap/>
            <w:vAlign w:val="center"/>
            <w:hideMark/>
          </w:tcPr>
          <w:p w14:paraId="712F9BE7" w14:textId="1268F72E" w:rsidR="00583922" w:rsidRPr="00583922" w:rsidRDefault="0058392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Mediana</w:t>
            </w:r>
          </w:p>
        </w:tc>
        <w:tc>
          <w:tcPr>
            <w:tcW w:w="1318" w:type="dxa"/>
            <w:tcBorders>
              <w:top w:val="single" w:sz="4" w:space="0" w:color="auto"/>
              <w:bottom w:val="single" w:sz="4" w:space="0" w:color="auto"/>
            </w:tcBorders>
            <w:shd w:val="clear" w:color="auto" w:fill="auto"/>
            <w:noWrap/>
            <w:vAlign w:val="center"/>
            <w:hideMark/>
          </w:tcPr>
          <w:p w14:paraId="7EF3AD18" w14:textId="77777777" w:rsidR="00583922" w:rsidRDefault="0058392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Percentil</w:t>
            </w:r>
            <w:r>
              <w:rPr>
                <w:rFonts w:ascii="Calibri" w:eastAsia="Times New Roman" w:hAnsi="Calibri" w:cs="Calibri"/>
                <w:color w:val="000000"/>
                <w:lang w:eastAsia="pt-BR" w:bidi="he-IL"/>
              </w:rPr>
              <w:t xml:space="preserve"> </w:t>
            </w:r>
          </w:p>
          <w:p w14:paraId="4A7CE567" w14:textId="40650814" w:rsidR="00583922" w:rsidRPr="00583922" w:rsidRDefault="0058392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75</w:t>
            </w:r>
            <w:r>
              <w:rPr>
                <w:rFonts w:ascii="Calibri" w:eastAsia="Times New Roman" w:hAnsi="Calibri" w:cs="Calibri"/>
                <w:color w:val="000000"/>
                <w:lang w:eastAsia="pt-BR" w:bidi="he-IL"/>
              </w:rPr>
              <w:t>%</w:t>
            </w:r>
          </w:p>
        </w:tc>
        <w:tc>
          <w:tcPr>
            <w:tcW w:w="1318" w:type="dxa"/>
            <w:tcBorders>
              <w:top w:val="single" w:sz="4" w:space="0" w:color="auto"/>
              <w:bottom w:val="single" w:sz="4" w:space="0" w:color="auto"/>
            </w:tcBorders>
            <w:shd w:val="clear" w:color="auto" w:fill="auto"/>
            <w:noWrap/>
            <w:vAlign w:val="center"/>
            <w:hideMark/>
          </w:tcPr>
          <w:p w14:paraId="0F7CA958" w14:textId="77777777" w:rsidR="00583922" w:rsidRDefault="0058392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Percentil</w:t>
            </w:r>
            <w:r>
              <w:rPr>
                <w:rFonts w:ascii="Calibri" w:eastAsia="Times New Roman" w:hAnsi="Calibri" w:cs="Calibri"/>
                <w:color w:val="000000"/>
                <w:lang w:eastAsia="pt-BR" w:bidi="he-IL"/>
              </w:rPr>
              <w:t xml:space="preserve"> </w:t>
            </w:r>
          </w:p>
          <w:p w14:paraId="34797D41" w14:textId="65447D02" w:rsidR="00583922" w:rsidRPr="00583922" w:rsidRDefault="0058392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99</w:t>
            </w:r>
            <w:r>
              <w:rPr>
                <w:rFonts w:ascii="Calibri" w:eastAsia="Times New Roman" w:hAnsi="Calibri" w:cs="Calibri"/>
                <w:color w:val="000000"/>
                <w:lang w:eastAsia="pt-BR" w:bidi="he-IL"/>
              </w:rPr>
              <w:t>%</w:t>
            </w:r>
          </w:p>
        </w:tc>
      </w:tr>
      <w:tr w:rsidR="00583922" w:rsidRPr="00583922" w14:paraId="334CCA53" w14:textId="77777777" w:rsidTr="00583922">
        <w:trPr>
          <w:trHeight w:val="300"/>
          <w:jc w:val="center"/>
        </w:trPr>
        <w:tc>
          <w:tcPr>
            <w:tcW w:w="1046" w:type="dxa"/>
            <w:tcBorders>
              <w:top w:val="single" w:sz="4" w:space="0" w:color="auto"/>
            </w:tcBorders>
            <w:shd w:val="clear" w:color="auto" w:fill="auto"/>
            <w:noWrap/>
            <w:vAlign w:val="center"/>
            <w:hideMark/>
          </w:tcPr>
          <w:p w14:paraId="74B6D051" w14:textId="19541608" w:rsidR="00583922" w:rsidRPr="00583922" w:rsidRDefault="00D9073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AA</w:t>
            </w:r>
          </w:p>
        </w:tc>
        <w:tc>
          <w:tcPr>
            <w:tcW w:w="864" w:type="dxa"/>
            <w:tcBorders>
              <w:top w:val="single" w:sz="4" w:space="0" w:color="auto"/>
            </w:tcBorders>
            <w:shd w:val="clear" w:color="auto" w:fill="auto"/>
            <w:noWrap/>
            <w:vAlign w:val="center"/>
            <w:hideMark/>
          </w:tcPr>
          <w:p w14:paraId="2462B700" w14:textId="4A99EB54"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w:t>
            </w:r>
            <w:r>
              <w:rPr>
                <w:rFonts w:ascii="Calibri" w:eastAsia="Times New Roman" w:hAnsi="Calibri" w:cs="Calibri"/>
                <w:color w:val="000000"/>
                <w:lang w:eastAsia="pt-BR" w:bidi="he-IL"/>
              </w:rPr>
              <w:t>.</w:t>
            </w:r>
            <w:r w:rsidRPr="00583922">
              <w:rPr>
                <w:rFonts w:ascii="Calibri" w:eastAsia="Times New Roman" w:hAnsi="Calibri" w:cs="Calibri"/>
                <w:color w:val="000000"/>
                <w:lang w:eastAsia="pt-BR" w:bidi="he-IL"/>
              </w:rPr>
              <w:t>145</w:t>
            </w:r>
          </w:p>
        </w:tc>
        <w:tc>
          <w:tcPr>
            <w:tcW w:w="1318" w:type="dxa"/>
            <w:tcBorders>
              <w:top w:val="single" w:sz="4" w:space="0" w:color="auto"/>
            </w:tcBorders>
            <w:shd w:val="clear" w:color="auto" w:fill="auto"/>
            <w:noWrap/>
            <w:vAlign w:val="center"/>
            <w:hideMark/>
          </w:tcPr>
          <w:p w14:paraId="7A135356"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13,8%</w:t>
            </w:r>
          </w:p>
        </w:tc>
        <w:tc>
          <w:tcPr>
            <w:tcW w:w="1318" w:type="dxa"/>
            <w:tcBorders>
              <w:top w:val="single" w:sz="4" w:space="0" w:color="auto"/>
            </w:tcBorders>
            <w:shd w:val="clear" w:color="auto" w:fill="auto"/>
            <w:noWrap/>
            <w:vAlign w:val="center"/>
            <w:hideMark/>
          </w:tcPr>
          <w:p w14:paraId="5271105D"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37,2%</w:t>
            </w:r>
          </w:p>
        </w:tc>
        <w:tc>
          <w:tcPr>
            <w:tcW w:w="1318" w:type="dxa"/>
            <w:tcBorders>
              <w:top w:val="single" w:sz="4" w:space="0" w:color="auto"/>
            </w:tcBorders>
            <w:shd w:val="clear" w:color="auto" w:fill="auto"/>
            <w:noWrap/>
            <w:vAlign w:val="center"/>
            <w:hideMark/>
          </w:tcPr>
          <w:p w14:paraId="568D9F05"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47,4%</w:t>
            </w:r>
          </w:p>
        </w:tc>
        <w:tc>
          <w:tcPr>
            <w:tcW w:w="1318" w:type="dxa"/>
            <w:tcBorders>
              <w:top w:val="single" w:sz="4" w:space="0" w:color="auto"/>
            </w:tcBorders>
            <w:shd w:val="clear" w:color="auto" w:fill="auto"/>
            <w:noWrap/>
            <w:vAlign w:val="center"/>
            <w:hideMark/>
          </w:tcPr>
          <w:p w14:paraId="121A577D"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65,8%</w:t>
            </w:r>
          </w:p>
        </w:tc>
        <w:tc>
          <w:tcPr>
            <w:tcW w:w="1318" w:type="dxa"/>
            <w:tcBorders>
              <w:top w:val="single" w:sz="4" w:space="0" w:color="auto"/>
            </w:tcBorders>
            <w:shd w:val="clear" w:color="auto" w:fill="auto"/>
            <w:noWrap/>
            <w:vAlign w:val="center"/>
            <w:hideMark/>
          </w:tcPr>
          <w:p w14:paraId="179B13A1"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70,5%</w:t>
            </w:r>
          </w:p>
        </w:tc>
      </w:tr>
      <w:tr w:rsidR="00583922" w:rsidRPr="00583922" w14:paraId="5A55860F" w14:textId="77777777" w:rsidTr="00583922">
        <w:trPr>
          <w:trHeight w:val="300"/>
          <w:jc w:val="center"/>
        </w:trPr>
        <w:tc>
          <w:tcPr>
            <w:tcW w:w="1046" w:type="dxa"/>
            <w:shd w:val="clear" w:color="auto" w:fill="auto"/>
            <w:noWrap/>
            <w:vAlign w:val="center"/>
            <w:hideMark/>
          </w:tcPr>
          <w:p w14:paraId="23FAACE4" w14:textId="652140A3" w:rsidR="00583922" w:rsidRPr="00583922" w:rsidRDefault="00D9073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A</w:t>
            </w:r>
          </w:p>
        </w:tc>
        <w:tc>
          <w:tcPr>
            <w:tcW w:w="864" w:type="dxa"/>
            <w:shd w:val="clear" w:color="auto" w:fill="auto"/>
            <w:noWrap/>
            <w:vAlign w:val="center"/>
            <w:hideMark/>
          </w:tcPr>
          <w:p w14:paraId="62C77F64" w14:textId="0DE5D0B5"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3</w:t>
            </w:r>
            <w:r>
              <w:rPr>
                <w:rFonts w:ascii="Calibri" w:eastAsia="Times New Roman" w:hAnsi="Calibri" w:cs="Calibri"/>
                <w:color w:val="000000"/>
                <w:lang w:eastAsia="pt-BR" w:bidi="he-IL"/>
              </w:rPr>
              <w:t>.</w:t>
            </w:r>
            <w:r w:rsidRPr="00583922">
              <w:rPr>
                <w:rFonts w:ascii="Calibri" w:eastAsia="Times New Roman" w:hAnsi="Calibri" w:cs="Calibri"/>
                <w:color w:val="000000"/>
                <w:lang w:eastAsia="pt-BR" w:bidi="he-IL"/>
              </w:rPr>
              <w:t>004</w:t>
            </w:r>
          </w:p>
        </w:tc>
        <w:tc>
          <w:tcPr>
            <w:tcW w:w="1318" w:type="dxa"/>
            <w:shd w:val="clear" w:color="auto" w:fill="auto"/>
            <w:noWrap/>
            <w:vAlign w:val="center"/>
            <w:hideMark/>
          </w:tcPr>
          <w:p w14:paraId="1A6F13FE"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12,6%</w:t>
            </w:r>
          </w:p>
        </w:tc>
        <w:tc>
          <w:tcPr>
            <w:tcW w:w="1318" w:type="dxa"/>
            <w:shd w:val="clear" w:color="auto" w:fill="auto"/>
            <w:noWrap/>
            <w:vAlign w:val="center"/>
            <w:hideMark/>
          </w:tcPr>
          <w:p w14:paraId="325EC9FF"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34,2%</w:t>
            </w:r>
          </w:p>
        </w:tc>
        <w:tc>
          <w:tcPr>
            <w:tcW w:w="1318" w:type="dxa"/>
            <w:shd w:val="clear" w:color="auto" w:fill="auto"/>
            <w:noWrap/>
            <w:vAlign w:val="center"/>
            <w:hideMark/>
          </w:tcPr>
          <w:p w14:paraId="7978037D"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40,3%</w:t>
            </w:r>
          </w:p>
        </w:tc>
        <w:tc>
          <w:tcPr>
            <w:tcW w:w="1318" w:type="dxa"/>
            <w:shd w:val="clear" w:color="auto" w:fill="auto"/>
            <w:noWrap/>
            <w:vAlign w:val="center"/>
            <w:hideMark/>
          </w:tcPr>
          <w:p w14:paraId="0C2ADA09"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54,8%</w:t>
            </w:r>
          </w:p>
        </w:tc>
        <w:tc>
          <w:tcPr>
            <w:tcW w:w="1318" w:type="dxa"/>
            <w:shd w:val="clear" w:color="auto" w:fill="auto"/>
            <w:noWrap/>
            <w:vAlign w:val="center"/>
            <w:hideMark/>
          </w:tcPr>
          <w:p w14:paraId="62FB360D"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58,5%</w:t>
            </w:r>
          </w:p>
        </w:tc>
      </w:tr>
      <w:tr w:rsidR="00583922" w:rsidRPr="00583922" w14:paraId="38E9C468" w14:textId="77777777" w:rsidTr="00583922">
        <w:trPr>
          <w:trHeight w:val="300"/>
          <w:jc w:val="center"/>
        </w:trPr>
        <w:tc>
          <w:tcPr>
            <w:tcW w:w="1046" w:type="dxa"/>
            <w:shd w:val="clear" w:color="auto" w:fill="auto"/>
            <w:noWrap/>
            <w:vAlign w:val="center"/>
            <w:hideMark/>
          </w:tcPr>
          <w:p w14:paraId="1E04D886" w14:textId="3508C40B" w:rsidR="00583922" w:rsidRPr="00583922" w:rsidRDefault="00D9073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B</w:t>
            </w:r>
          </w:p>
        </w:tc>
        <w:tc>
          <w:tcPr>
            <w:tcW w:w="864" w:type="dxa"/>
            <w:shd w:val="clear" w:color="auto" w:fill="auto"/>
            <w:noWrap/>
            <w:vAlign w:val="center"/>
            <w:hideMark/>
          </w:tcPr>
          <w:p w14:paraId="3AF355CF" w14:textId="4484656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2</w:t>
            </w:r>
            <w:r>
              <w:rPr>
                <w:rFonts w:ascii="Calibri" w:eastAsia="Times New Roman" w:hAnsi="Calibri" w:cs="Calibri"/>
                <w:color w:val="000000"/>
                <w:lang w:eastAsia="pt-BR" w:bidi="he-IL"/>
              </w:rPr>
              <w:t>.</w:t>
            </w:r>
            <w:r w:rsidRPr="00583922">
              <w:rPr>
                <w:rFonts w:ascii="Calibri" w:eastAsia="Times New Roman" w:hAnsi="Calibri" w:cs="Calibri"/>
                <w:color w:val="000000"/>
                <w:lang w:eastAsia="pt-BR" w:bidi="he-IL"/>
              </w:rPr>
              <w:t>332</w:t>
            </w:r>
          </w:p>
        </w:tc>
        <w:tc>
          <w:tcPr>
            <w:tcW w:w="1318" w:type="dxa"/>
            <w:shd w:val="clear" w:color="auto" w:fill="auto"/>
            <w:noWrap/>
            <w:vAlign w:val="center"/>
            <w:hideMark/>
          </w:tcPr>
          <w:p w14:paraId="242FCAD4"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9,4%</w:t>
            </w:r>
          </w:p>
        </w:tc>
        <w:tc>
          <w:tcPr>
            <w:tcW w:w="1318" w:type="dxa"/>
            <w:shd w:val="clear" w:color="auto" w:fill="auto"/>
            <w:noWrap/>
            <w:vAlign w:val="center"/>
            <w:hideMark/>
          </w:tcPr>
          <w:p w14:paraId="5884FEAE"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24,8%</w:t>
            </w:r>
          </w:p>
        </w:tc>
        <w:tc>
          <w:tcPr>
            <w:tcW w:w="1318" w:type="dxa"/>
            <w:shd w:val="clear" w:color="auto" w:fill="auto"/>
            <w:noWrap/>
            <w:vAlign w:val="center"/>
            <w:hideMark/>
          </w:tcPr>
          <w:p w14:paraId="012B46FC"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29,5%</w:t>
            </w:r>
          </w:p>
        </w:tc>
        <w:tc>
          <w:tcPr>
            <w:tcW w:w="1318" w:type="dxa"/>
            <w:shd w:val="clear" w:color="auto" w:fill="auto"/>
            <w:noWrap/>
            <w:vAlign w:val="center"/>
            <w:hideMark/>
          </w:tcPr>
          <w:p w14:paraId="744EE8FE"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39,1%</w:t>
            </w:r>
          </w:p>
        </w:tc>
        <w:tc>
          <w:tcPr>
            <w:tcW w:w="1318" w:type="dxa"/>
            <w:shd w:val="clear" w:color="auto" w:fill="auto"/>
            <w:noWrap/>
            <w:vAlign w:val="center"/>
            <w:hideMark/>
          </w:tcPr>
          <w:p w14:paraId="124D4200"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41,9%</w:t>
            </w:r>
          </w:p>
        </w:tc>
      </w:tr>
      <w:tr w:rsidR="00583922" w:rsidRPr="00583922" w14:paraId="603ABF31" w14:textId="77777777" w:rsidTr="00583922">
        <w:trPr>
          <w:trHeight w:val="300"/>
          <w:jc w:val="center"/>
        </w:trPr>
        <w:tc>
          <w:tcPr>
            <w:tcW w:w="1046" w:type="dxa"/>
            <w:shd w:val="clear" w:color="auto" w:fill="auto"/>
            <w:noWrap/>
            <w:vAlign w:val="center"/>
            <w:hideMark/>
          </w:tcPr>
          <w:p w14:paraId="7B208B6A" w14:textId="1B8A1327" w:rsidR="00583922" w:rsidRPr="00583922" w:rsidRDefault="00D9073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C</w:t>
            </w:r>
          </w:p>
        </w:tc>
        <w:tc>
          <w:tcPr>
            <w:tcW w:w="864" w:type="dxa"/>
            <w:shd w:val="clear" w:color="auto" w:fill="auto"/>
            <w:noWrap/>
            <w:vAlign w:val="center"/>
            <w:hideMark/>
          </w:tcPr>
          <w:p w14:paraId="2A916635" w14:textId="2632FC5B"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37</w:t>
            </w:r>
            <w:r>
              <w:rPr>
                <w:rFonts w:ascii="Calibri" w:eastAsia="Times New Roman" w:hAnsi="Calibri" w:cs="Calibri"/>
                <w:color w:val="000000"/>
                <w:lang w:eastAsia="pt-BR" w:bidi="he-IL"/>
              </w:rPr>
              <w:t>.</w:t>
            </w:r>
            <w:r w:rsidRPr="00583922">
              <w:rPr>
                <w:rFonts w:ascii="Calibri" w:eastAsia="Times New Roman" w:hAnsi="Calibri" w:cs="Calibri"/>
                <w:color w:val="000000"/>
                <w:lang w:eastAsia="pt-BR" w:bidi="he-IL"/>
              </w:rPr>
              <w:t>342</w:t>
            </w:r>
          </w:p>
        </w:tc>
        <w:tc>
          <w:tcPr>
            <w:tcW w:w="1318" w:type="dxa"/>
            <w:shd w:val="clear" w:color="auto" w:fill="auto"/>
            <w:noWrap/>
            <w:vAlign w:val="center"/>
            <w:hideMark/>
          </w:tcPr>
          <w:p w14:paraId="270ACD1B"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18,6%</w:t>
            </w:r>
          </w:p>
        </w:tc>
        <w:tc>
          <w:tcPr>
            <w:tcW w:w="1318" w:type="dxa"/>
            <w:shd w:val="clear" w:color="auto" w:fill="auto"/>
            <w:noWrap/>
            <w:vAlign w:val="center"/>
            <w:hideMark/>
          </w:tcPr>
          <w:p w14:paraId="646B5415"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35,3%</w:t>
            </w:r>
          </w:p>
        </w:tc>
        <w:tc>
          <w:tcPr>
            <w:tcW w:w="1318" w:type="dxa"/>
            <w:shd w:val="clear" w:color="auto" w:fill="auto"/>
            <w:noWrap/>
            <w:vAlign w:val="center"/>
            <w:hideMark/>
          </w:tcPr>
          <w:p w14:paraId="04858A37"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46,3%</w:t>
            </w:r>
          </w:p>
        </w:tc>
        <w:tc>
          <w:tcPr>
            <w:tcW w:w="1318" w:type="dxa"/>
            <w:shd w:val="clear" w:color="auto" w:fill="auto"/>
            <w:noWrap/>
            <w:vAlign w:val="center"/>
            <w:hideMark/>
          </w:tcPr>
          <w:p w14:paraId="121418A1"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52,7%</w:t>
            </w:r>
          </w:p>
        </w:tc>
        <w:tc>
          <w:tcPr>
            <w:tcW w:w="1318" w:type="dxa"/>
            <w:shd w:val="clear" w:color="auto" w:fill="auto"/>
            <w:noWrap/>
            <w:vAlign w:val="center"/>
            <w:hideMark/>
          </w:tcPr>
          <w:p w14:paraId="28019841"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57,2%</w:t>
            </w:r>
          </w:p>
        </w:tc>
      </w:tr>
      <w:tr w:rsidR="00583922" w:rsidRPr="00583922" w14:paraId="16A65240" w14:textId="77777777" w:rsidTr="00583922">
        <w:trPr>
          <w:trHeight w:val="300"/>
          <w:jc w:val="center"/>
        </w:trPr>
        <w:tc>
          <w:tcPr>
            <w:tcW w:w="1046" w:type="dxa"/>
            <w:shd w:val="clear" w:color="auto" w:fill="auto"/>
            <w:noWrap/>
            <w:vAlign w:val="center"/>
            <w:hideMark/>
          </w:tcPr>
          <w:p w14:paraId="48C5A2E0" w14:textId="6D391E04" w:rsidR="00583922" w:rsidRPr="00583922" w:rsidRDefault="00D9073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D</w:t>
            </w:r>
          </w:p>
        </w:tc>
        <w:tc>
          <w:tcPr>
            <w:tcW w:w="864" w:type="dxa"/>
            <w:shd w:val="clear" w:color="auto" w:fill="auto"/>
            <w:noWrap/>
            <w:vAlign w:val="center"/>
            <w:hideMark/>
          </w:tcPr>
          <w:p w14:paraId="610650AD" w14:textId="0D080408"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19</w:t>
            </w:r>
            <w:r>
              <w:rPr>
                <w:rFonts w:ascii="Calibri" w:eastAsia="Times New Roman" w:hAnsi="Calibri" w:cs="Calibri"/>
                <w:color w:val="000000"/>
                <w:lang w:eastAsia="pt-BR" w:bidi="he-IL"/>
              </w:rPr>
              <w:t>.</w:t>
            </w:r>
            <w:r w:rsidRPr="00583922">
              <w:rPr>
                <w:rFonts w:ascii="Calibri" w:eastAsia="Times New Roman" w:hAnsi="Calibri" w:cs="Calibri"/>
                <w:color w:val="000000"/>
                <w:lang w:eastAsia="pt-BR" w:bidi="he-IL"/>
              </w:rPr>
              <w:t>546</w:t>
            </w:r>
          </w:p>
        </w:tc>
        <w:tc>
          <w:tcPr>
            <w:tcW w:w="1318" w:type="dxa"/>
            <w:shd w:val="clear" w:color="auto" w:fill="auto"/>
            <w:noWrap/>
            <w:vAlign w:val="center"/>
            <w:hideMark/>
          </w:tcPr>
          <w:p w14:paraId="4A51ECDD"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19,6%</w:t>
            </w:r>
          </w:p>
        </w:tc>
        <w:tc>
          <w:tcPr>
            <w:tcW w:w="1318" w:type="dxa"/>
            <w:shd w:val="clear" w:color="auto" w:fill="auto"/>
            <w:noWrap/>
            <w:vAlign w:val="center"/>
            <w:hideMark/>
          </w:tcPr>
          <w:p w14:paraId="43F8C954"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38,6%</w:t>
            </w:r>
          </w:p>
        </w:tc>
        <w:tc>
          <w:tcPr>
            <w:tcW w:w="1318" w:type="dxa"/>
            <w:shd w:val="clear" w:color="auto" w:fill="auto"/>
            <w:noWrap/>
            <w:vAlign w:val="center"/>
            <w:hideMark/>
          </w:tcPr>
          <w:p w14:paraId="3A507CB3"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49,5%</w:t>
            </w:r>
          </w:p>
        </w:tc>
        <w:tc>
          <w:tcPr>
            <w:tcW w:w="1318" w:type="dxa"/>
            <w:shd w:val="clear" w:color="auto" w:fill="auto"/>
            <w:noWrap/>
            <w:vAlign w:val="center"/>
            <w:hideMark/>
          </w:tcPr>
          <w:p w14:paraId="3CCCA90F"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56,5%</w:t>
            </w:r>
          </w:p>
        </w:tc>
        <w:tc>
          <w:tcPr>
            <w:tcW w:w="1318" w:type="dxa"/>
            <w:shd w:val="clear" w:color="auto" w:fill="auto"/>
            <w:noWrap/>
            <w:vAlign w:val="center"/>
            <w:hideMark/>
          </w:tcPr>
          <w:p w14:paraId="127E699C"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61,4%</w:t>
            </w:r>
          </w:p>
        </w:tc>
      </w:tr>
      <w:tr w:rsidR="00583922" w:rsidRPr="00583922" w14:paraId="34D9E57D" w14:textId="77777777" w:rsidTr="00583922">
        <w:trPr>
          <w:trHeight w:val="300"/>
          <w:jc w:val="center"/>
        </w:trPr>
        <w:tc>
          <w:tcPr>
            <w:tcW w:w="1046" w:type="dxa"/>
            <w:shd w:val="clear" w:color="auto" w:fill="auto"/>
            <w:noWrap/>
            <w:vAlign w:val="center"/>
            <w:hideMark/>
          </w:tcPr>
          <w:p w14:paraId="05AE2D28" w14:textId="42A003A5" w:rsidR="00583922" w:rsidRPr="00583922" w:rsidRDefault="00D9073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E</w:t>
            </w:r>
          </w:p>
        </w:tc>
        <w:tc>
          <w:tcPr>
            <w:tcW w:w="864" w:type="dxa"/>
            <w:shd w:val="clear" w:color="auto" w:fill="auto"/>
            <w:noWrap/>
            <w:vAlign w:val="center"/>
            <w:hideMark/>
          </w:tcPr>
          <w:p w14:paraId="06070B16" w14:textId="078F59A3"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26</w:t>
            </w:r>
            <w:r>
              <w:rPr>
                <w:rFonts w:ascii="Calibri" w:eastAsia="Times New Roman" w:hAnsi="Calibri" w:cs="Calibri"/>
                <w:color w:val="000000"/>
                <w:lang w:eastAsia="pt-BR" w:bidi="he-IL"/>
              </w:rPr>
              <w:t>.</w:t>
            </w:r>
            <w:r w:rsidRPr="00583922">
              <w:rPr>
                <w:rFonts w:ascii="Calibri" w:eastAsia="Times New Roman" w:hAnsi="Calibri" w:cs="Calibri"/>
                <w:color w:val="000000"/>
                <w:lang w:eastAsia="pt-BR" w:bidi="he-IL"/>
              </w:rPr>
              <w:t>879</w:t>
            </w:r>
          </w:p>
        </w:tc>
        <w:tc>
          <w:tcPr>
            <w:tcW w:w="1318" w:type="dxa"/>
            <w:shd w:val="clear" w:color="auto" w:fill="auto"/>
            <w:noWrap/>
            <w:vAlign w:val="center"/>
            <w:hideMark/>
          </w:tcPr>
          <w:p w14:paraId="5740FD45"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2,1%</w:t>
            </w:r>
          </w:p>
        </w:tc>
        <w:tc>
          <w:tcPr>
            <w:tcW w:w="1318" w:type="dxa"/>
            <w:shd w:val="clear" w:color="auto" w:fill="auto"/>
            <w:noWrap/>
            <w:vAlign w:val="center"/>
            <w:hideMark/>
          </w:tcPr>
          <w:p w14:paraId="73411555"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19,1%</w:t>
            </w:r>
          </w:p>
        </w:tc>
        <w:tc>
          <w:tcPr>
            <w:tcW w:w="1318" w:type="dxa"/>
            <w:shd w:val="clear" w:color="auto" w:fill="auto"/>
            <w:noWrap/>
            <w:vAlign w:val="center"/>
            <w:hideMark/>
          </w:tcPr>
          <w:p w14:paraId="22DC52D8"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26,5%</w:t>
            </w:r>
          </w:p>
        </w:tc>
        <w:tc>
          <w:tcPr>
            <w:tcW w:w="1318" w:type="dxa"/>
            <w:shd w:val="clear" w:color="auto" w:fill="auto"/>
            <w:noWrap/>
            <w:vAlign w:val="center"/>
            <w:hideMark/>
          </w:tcPr>
          <w:p w14:paraId="7962F0C5"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31,6%</w:t>
            </w:r>
          </w:p>
        </w:tc>
        <w:tc>
          <w:tcPr>
            <w:tcW w:w="1318" w:type="dxa"/>
            <w:shd w:val="clear" w:color="auto" w:fill="auto"/>
            <w:noWrap/>
            <w:vAlign w:val="center"/>
            <w:hideMark/>
          </w:tcPr>
          <w:p w14:paraId="63BBC0A2"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35,3%</w:t>
            </w:r>
          </w:p>
        </w:tc>
      </w:tr>
      <w:tr w:rsidR="00583922" w:rsidRPr="00583922" w14:paraId="2468DECE" w14:textId="77777777" w:rsidTr="00583922">
        <w:trPr>
          <w:trHeight w:val="300"/>
          <w:jc w:val="center"/>
        </w:trPr>
        <w:tc>
          <w:tcPr>
            <w:tcW w:w="1046" w:type="dxa"/>
            <w:shd w:val="clear" w:color="auto" w:fill="auto"/>
            <w:noWrap/>
            <w:vAlign w:val="center"/>
            <w:hideMark/>
          </w:tcPr>
          <w:p w14:paraId="2645AFB3" w14:textId="382F46D7" w:rsidR="00583922" w:rsidRPr="00583922" w:rsidRDefault="00D9073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F</w:t>
            </w:r>
          </w:p>
        </w:tc>
        <w:tc>
          <w:tcPr>
            <w:tcW w:w="864" w:type="dxa"/>
            <w:shd w:val="clear" w:color="auto" w:fill="auto"/>
            <w:noWrap/>
            <w:vAlign w:val="center"/>
            <w:hideMark/>
          </w:tcPr>
          <w:p w14:paraId="5A721DD9" w14:textId="216E7492"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42</w:t>
            </w:r>
            <w:r>
              <w:rPr>
                <w:rFonts w:ascii="Calibri" w:eastAsia="Times New Roman" w:hAnsi="Calibri" w:cs="Calibri"/>
                <w:color w:val="000000"/>
                <w:lang w:eastAsia="pt-BR" w:bidi="he-IL"/>
              </w:rPr>
              <w:t>.</w:t>
            </w:r>
            <w:r w:rsidRPr="00583922">
              <w:rPr>
                <w:rFonts w:ascii="Calibri" w:eastAsia="Times New Roman" w:hAnsi="Calibri" w:cs="Calibri"/>
                <w:color w:val="000000"/>
                <w:lang w:eastAsia="pt-BR" w:bidi="he-IL"/>
              </w:rPr>
              <w:t>768</w:t>
            </w:r>
          </w:p>
        </w:tc>
        <w:tc>
          <w:tcPr>
            <w:tcW w:w="1318" w:type="dxa"/>
            <w:shd w:val="clear" w:color="auto" w:fill="auto"/>
            <w:noWrap/>
            <w:vAlign w:val="center"/>
            <w:hideMark/>
          </w:tcPr>
          <w:p w14:paraId="66EFF408"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-11,2%</w:t>
            </w:r>
          </w:p>
        </w:tc>
        <w:tc>
          <w:tcPr>
            <w:tcW w:w="1318" w:type="dxa"/>
            <w:shd w:val="clear" w:color="auto" w:fill="auto"/>
            <w:noWrap/>
            <w:vAlign w:val="center"/>
            <w:hideMark/>
          </w:tcPr>
          <w:p w14:paraId="1E71CDD2"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6,4%</w:t>
            </w:r>
          </w:p>
        </w:tc>
        <w:tc>
          <w:tcPr>
            <w:tcW w:w="1318" w:type="dxa"/>
            <w:shd w:val="clear" w:color="auto" w:fill="auto"/>
            <w:noWrap/>
            <w:vAlign w:val="center"/>
            <w:hideMark/>
          </w:tcPr>
          <w:p w14:paraId="0EF1AEE2"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12,4%</w:t>
            </w:r>
          </w:p>
        </w:tc>
        <w:tc>
          <w:tcPr>
            <w:tcW w:w="1318" w:type="dxa"/>
            <w:shd w:val="clear" w:color="auto" w:fill="auto"/>
            <w:noWrap/>
            <w:vAlign w:val="center"/>
            <w:hideMark/>
          </w:tcPr>
          <w:p w14:paraId="68CED36A"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16,3%</w:t>
            </w:r>
          </w:p>
        </w:tc>
        <w:tc>
          <w:tcPr>
            <w:tcW w:w="1318" w:type="dxa"/>
            <w:shd w:val="clear" w:color="auto" w:fill="auto"/>
            <w:noWrap/>
            <w:vAlign w:val="center"/>
            <w:hideMark/>
          </w:tcPr>
          <w:p w14:paraId="61917601"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21,5%</w:t>
            </w:r>
          </w:p>
        </w:tc>
      </w:tr>
      <w:tr w:rsidR="00583922" w:rsidRPr="00583922" w14:paraId="202ECDA9" w14:textId="77777777" w:rsidTr="00583922">
        <w:trPr>
          <w:trHeight w:val="300"/>
          <w:jc w:val="center"/>
        </w:trPr>
        <w:tc>
          <w:tcPr>
            <w:tcW w:w="1046" w:type="dxa"/>
            <w:shd w:val="clear" w:color="auto" w:fill="auto"/>
            <w:noWrap/>
            <w:vAlign w:val="center"/>
            <w:hideMark/>
          </w:tcPr>
          <w:p w14:paraId="66384187" w14:textId="68F097F0" w:rsidR="00583922" w:rsidRPr="00583922" w:rsidRDefault="00D9073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G</w:t>
            </w:r>
          </w:p>
        </w:tc>
        <w:tc>
          <w:tcPr>
            <w:tcW w:w="864" w:type="dxa"/>
            <w:shd w:val="clear" w:color="auto" w:fill="auto"/>
            <w:noWrap/>
            <w:vAlign w:val="center"/>
            <w:hideMark/>
          </w:tcPr>
          <w:p w14:paraId="1736B6D4" w14:textId="257ABAEA"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24</w:t>
            </w:r>
            <w:r>
              <w:rPr>
                <w:rFonts w:ascii="Calibri" w:eastAsia="Times New Roman" w:hAnsi="Calibri" w:cs="Calibri"/>
                <w:color w:val="000000"/>
                <w:lang w:eastAsia="pt-BR" w:bidi="he-IL"/>
              </w:rPr>
              <w:t>.</w:t>
            </w:r>
            <w:r w:rsidRPr="00583922">
              <w:rPr>
                <w:rFonts w:ascii="Calibri" w:eastAsia="Times New Roman" w:hAnsi="Calibri" w:cs="Calibri"/>
                <w:color w:val="000000"/>
                <w:lang w:eastAsia="pt-BR" w:bidi="he-IL"/>
              </w:rPr>
              <w:t>760</w:t>
            </w:r>
          </w:p>
        </w:tc>
        <w:tc>
          <w:tcPr>
            <w:tcW w:w="1318" w:type="dxa"/>
            <w:shd w:val="clear" w:color="auto" w:fill="auto"/>
            <w:noWrap/>
            <w:vAlign w:val="center"/>
            <w:hideMark/>
          </w:tcPr>
          <w:p w14:paraId="2910B43D"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-18,0%</w:t>
            </w:r>
          </w:p>
        </w:tc>
        <w:tc>
          <w:tcPr>
            <w:tcW w:w="1318" w:type="dxa"/>
            <w:shd w:val="clear" w:color="auto" w:fill="auto"/>
            <w:noWrap/>
            <w:vAlign w:val="center"/>
            <w:hideMark/>
          </w:tcPr>
          <w:p w14:paraId="00DF5E1B"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-5,1%</w:t>
            </w:r>
          </w:p>
        </w:tc>
        <w:tc>
          <w:tcPr>
            <w:tcW w:w="1318" w:type="dxa"/>
            <w:shd w:val="clear" w:color="auto" w:fill="auto"/>
            <w:noWrap/>
            <w:vAlign w:val="center"/>
            <w:hideMark/>
          </w:tcPr>
          <w:p w14:paraId="1429F266"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2,8%</w:t>
            </w:r>
          </w:p>
        </w:tc>
        <w:tc>
          <w:tcPr>
            <w:tcW w:w="1318" w:type="dxa"/>
            <w:shd w:val="clear" w:color="auto" w:fill="auto"/>
            <w:noWrap/>
            <w:vAlign w:val="center"/>
            <w:hideMark/>
          </w:tcPr>
          <w:p w14:paraId="2844FC90"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6,7%</w:t>
            </w:r>
          </w:p>
        </w:tc>
        <w:tc>
          <w:tcPr>
            <w:tcW w:w="1318" w:type="dxa"/>
            <w:shd w:val="clear" w:color="auto" w:fill="auto"/>
            <w:noWrap/>
            <w:vAlign w:val="center"/>
            <w:hideMark/>
          </w:tcPr>
          <w:p w14:paraId="7999E68E"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10,2%</w:t>
            </w:r>
          </w:p>
        </w:tc>
      </w:tr>
      <w:tr w:rsidR="00583922" w:rsidRPr="00583922" w14:paraId="5653D249" w14:textId="77777777" w:rsidTr="00583922">
        <w:trPr>
          <w:trHeight w:val="300"/>
          <w:jc w:val="center"/>
        </w:trPr>
        <w:tc>
          <w:tcPr>
            <w:tcW w:w="1046" w:type="dxa"/>
            <w:shd w:val="clear" w:color="auto" w:fill="auto"/>
            <w:noWrap/>
            <w:vAlign w:val="center"/>
            <w:hideMark/>
          </w:tcPr>
          <w:p w14:paraId="3E949633" w14:textId="6AC95C57" w:rsidR="00583922" w:rsidRPr="00583922" w:rsidRDefault="00D90732" w:rsidP="00583922">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H</w:t>
            </w:r>
          </w:p>
        </w:tc>
        <w:tc>
          <w:tcPr>
            <w:tcW w:w="864" w:type="dxa"/>
            <w:shd w:val="clear" w:color="auto" w:fill="auto"/>
            <w:noWrap/>
            <w:vAlign w:val="center"/>
            <w:hideMark/>
          </w:tcPr>
          <w:p w14:paraId="6552F924" w14:textId="70616D7C"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37</w:t>
            </w:r>
            <w:r>
              <w:rPr>
                <w:rFonts w:ascii="Calibri" w:eastAsia="Times New Roman" w:hAnsi="Calibri" w:cs="Calibri"/>
                <w:color w:val="000000"/>
                <w:lang w:eastAsia="pt-BR" w:bidi="he-IL"/>
              </w:rPr>
              <w:t>.</w:t>
            </w:r>
            <w:r w:rsidRPr="00583922">
              <w:rPr>
                <w:rFonts w:ascii="Calibri" w:eastAsia="Times New Roman" w:hAnsi="Calibri" w:cs="Calibri"/>
                <w:color w:val="000000"/>
                <w:lang w:eastAsia="pt-BR" w:bidi="he-IL"/>
              </w:rPr>
              <w:t>089</w:t>
            </w:r>
          </w:p>
        </w:tc>
        <w:tc>
          <w:tcPr>
            <w:tcW w:w="1318" w:type="dxa"/>
            <w:shd w:val="clear" w:color="auto" w:fill="auto"/>
            <w:noWrap/>
            <w:vAlign w:val="center"/>
            <w:hideMark/>
          </w:tcPr>
          <w:p w14:paraId="3B2CD962"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-26,5%</w:t>
            </w:r>
          </w:p>
        </w:tc>
        <w:tc>
          <w:tcPr>
            <w:tcW w:w="1318" w:type="dxa"/>
            <w:shd w:val="clear" w:color="auto" w:fill="auto"/>
            <w:noWrap/>
            <w:vAlign w:val="center"/>
            <w:hideMark/>
          </w:tcPr>
          <w:p w14:paraId="429C4F61"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-13,0%</w:t>
            </w:r>
          </w:p>
        </w:tc>
        <w:tc>
          <w:tcPr>
            <w:tcW w:w="1318" w:type="dxa"/>
            <w:shd w:val="clear" w:color="auto" w:fill="auto"/>
            <w:noWrap/>
            <w:vAlign w:val="center"/>
            <w:hideMark/>
          </w:tcPr>
          <w:p w14:paraId="019E20B9"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-7,0%</w:t>
            </w:r>
          </w:p>
        </w:tc>
        <w:tc>
          <w:tcPr>
            <w:tcW w:w="1318" w:type="dxa"/>
            <w:shd w:val="clear" w:color="auto" w:fill="auto"/>
            <w:noWrap/>
            <w:vAlign w:val="center"/>
            <w:hideMark/>
          </w:tcPr>
          <w:p w14:paraId="2A59FC93"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-3,7%</w:t>
            </w:r>
          </w:p>
        </w:tc>
        <w:tc>
          <w:tcPr>
            <w:tcW w:w="1318" w:type="dxa"/>
            <w:shd w:val="clear" w:color="auto" w:fill="auto"/>
            <w:noWrap/>
            <w:vAlign w:val="center"/>
            <w:hideMark/>
          </w:tcPr>
          <w:p w14:paraId="593B630D" w14:textId="77777777" w:rsidR="00583922" w:rsidRPr="00583922" w:rsidRDefault="00583922" w:rsidP="00583922">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-1,8%</w:t>
            </w:r>
          </w:p>
        </w:tc>
      </w:tr>
    </w:tbl>
    <w:p w14:paraId="1B950101" w14:textId="77777777" w:rsidR="00D90732" w:rsidRPr="00D90732" w:rsidRDefault="00D90732" w:rsidP="00D90732">
      <w:pPr>
        <w:jc w:val="both"/>
        <w:rPr>
          <w:rFonts w:cstheme="minorHAnsi"/>
        </w:rPr>
      </w:pPr>
      <w:r w:rsidRPr="00D90732">
        <w:rPr>
          <w:rFonts w:cstheme="minorHAnsi"/>
        </w:rPr>
        <w:t>Fonte: Elaboração do autor</w:t>
      </w:r>
    </w:p>
    <w:p w14:paraId="2596154F" w14:textId="77777777" w:rsidR="00583922" w:rsidRDefault="00583922" w:rsidP="00A76200">
      <w:pPr>
        <w:jc w:val="both"/>
        <w:rPr>
          <w:rFonts w:cstheme="minorHAnsi"/>
          <w:sz w:val="24"/>
          <w:szCs w:val="24"/>
        </w:rPr>
      </w:pPr>
    </w:p>
    <w:p w14:paraId="7E00A376" w14:textId="0CD7150C" w:rsidR="00D90732" w:rsidRPr="00104754" w:rsidRDefault="00D90732" w:rsidP="009369D7">
      <w:pPr>
        <w:ind w:firstLine="360"/>
        <w:jc w:val="both"/>
        <w:rPr>
          <w:rFonts w:cstheme="minorHAnsi"/>
        </w:rPr>
      </w:pPr>
      <w:r w:rsidRPr="00104754">
        <w:rPr>
          <w:rFonts w:cstheme="minorHAnsi"/>
        </w:rPr>
        <w:t xml:space="preserve">Avaliando </w:t>
      </w:r>
      <w:r>
        <w:rPr>
          <w:rFonts w:cstheme="minorHAnsi"/>
        </w:rPr>
        <w:t xml:space="preserve">o indicador RAROC conforme o </w:t>
      </w:r>
      <w:r>
        <w:rPr>
          <w:rFonts w:cstheme="minorHAnsi"/>
        </w:rPr>
        <w:t>porte das empresa, vemos que existem operações negativas em todas as categorias de tamanho</w:t>
      </w:r>
      <w:r>
        <w:rPr>
          <w:rFonts w:cstheme="minorHAnsi"/>
        </w:rPr>
        <w:t xml:space="preserve">. </w:t>
      </w:r>
      <w:r>
        <w:rPr>
          <w:rFonts w:cstheme="minorHAnsi"/>
        </w:rPr>
        <w:t xml:space="preserve">Entretanto entre as </w:t>
      </w:r>
      <w:r w:rsidR="009369D7">
        <w:rPr>
          <w:rFonts w:cstheme="minorHAnsi"/>
        </w:rPr>
        <w:t>micro</w:t>
      </w:r>
      <w:r>
        <w:rPr>
          <w:rFonts w:cstheme="minorHAnsi"/>
        </w:rPr>
        <w:t xml:space="preserve">empresas </w:t>
      </w:r>
      <w:r w:rsidR="009369D7">
        <w:rPr>
          <w:rFonts w:cstheme="minorHAnsi"/>
        </w:rPr>
        <w:t>somente 1% das operações apresentam RAROC negativo</w:t>
      </w:r>
      <w:r>
        <w:rPr>
          <w:rFonts w:cstheme="minorHAnsi"/>
        </w:rPr>
        <w:t xml:space="preserve">. As </w:t>
      </w:r>
      <w:r w:rsidR="009369D7">
        <w:rPr>
          <w:rFonts w:cstheme="minorHAnsi"/>
        </w:rPr>
        <w:t xml:space="preserve">empresas de grande porte são aquelas que apresentaram os piores valores do </w:t>
      </w:r>
      <w:r>
        <w:rPr>
          <w:rFonts w:cstheme="minorHAnsi"/>
        </w:rPr>
        <w:t xml:space="preserve">indicador RAROC, </w:t>
      </w:r>
      <w:r w:rsidR="009369D7">
        <w:rPr>
          <w:rFonts w:cstheme="minorHAnsi"/>
        </w:rPr>
        <w:t>sendo negativo em 75% das operações</w:t>
      </w:r>
      <w:r>
        <w:rPr>
          <w:rFonts w:cstheme="minorHAnsi"/>
        </w:rPr>
        <w:t xml:space="preserve">. O valor mediano do RAROC das </w:t>
      </w:r>
      <w:r w:rsidR="009369D7">
        <w:rPr>
          <w:rFonts w:cstheme="minorHAnsi"/>
        </w:rPr>
        <w:t>empresas de médio porte é de 1,8</w:t>
      </w:r>
      <w:r>
        <w:rPr>
          <w:rFonts w:cstheme="minorHAnsi"/>
        </w:rPr>
        <w:t xml:space="preserve">%, enquanto o RAROC </w:t>
      </w:r>
      <w:r w:rsidR="009369D7">
        <w:rPr>
          <w:rFonts w:cstheme="minorHAnsi"/>
        </w:rPr>
        <w:t xml:space="preserve">mediano </w:t>
      </w:r>
      <w:r>
        <w:rPr>
          <w:rFonts w:cstheme="minorHAnsi"/>
        </w:rPr>
        <w:t xml:space="preserve">das operações </w:t>
      </w:r>
      <w:r w:rsidR="009369D7">
        <w:rPr>
          <w:rFonts w:cstheme="minorHAnsi"/>
        </w:rPr>
        <w:t xml:space="preserve">pequeno porte </w:t>
      </w:r>
      <w:r>
        <w:rPr>
          <w:rFonts w:cstheme="minorHAnsi"/>
        </w:rPr>
        <w:t xml:space="preserve">é </w:t>
      </w:r>
      <w:r w:rsidR="009369D7">
        <w:rPr>
          <w:rFonts w:cstheme="minorHAnsi"/>
        </w:rPr>
        <w:t xml:space="preserve">de </w:t>
      </w:r>
      <w:r>
        <w:rPr>
          <w:rFonts w:cstheme="minorHAnsi"/>
        </w:rPr>
        <w:t>2</w:t>
      </w:r>
      <w:r w:rsidR="009369D7">
        <w:rPr>
          <w:rFonts w:cstheme="minorHAnsi"/>
        </w:rPr>
        <w:t>8</w:t>
      </w:r>
      <w:r>
        <w:rPr>
          <w:rFonts w:cstheme="minorHAnsi"/>
        </w:rPr>
        <w:t>,</w:t>
      </w:r>
      <w:r w:rsidR="009369D7">
        <w:rPr>
          <w:rFonts w:cstheme="minorHAnsi"/>
        </w:rPr>
        <w:t>4</w:t>
      </w:r>
      <w:r>
        <w:rPr>
          <w:rFonts w:cstheme="minorHAnsi"/>
        </w:rPr>
        <w:t xml:space="preserve">%. </w:t>
      </w:r>
      <w:r w:rsidR="009369D7">
        <w:rPr>
          <w:rFonts w:cstheme="minorHAnsi"/>
        </w:rPr>
        <w:t>Os resultados indicam que as operações realizadas com micro e pequenas empresas são mais vantajosas do ponto de visto da exposição ao risco</w:t>
      </w:r>
      <w:r>
        <w:rPr>
          <w:rFonts w:cstheme="minorHAnsi"/>
        </w:rPr>
        <w:t>.</w:t>
      </w:r>
      <w:r w:rsidR="009369D7">
        <w:rPr>
          <w:rFonts w:cstheme="minorHAnsi"/>
        </w:rPr>
        <w:t xml:space="preserve"> Essas operações possuem menor valor de contrato em relação às operações com grandes empresas, e consequentemente menor capital exposto ao risco.</w:t>
      </w:r>
    </w:p>
    <w:p w14:paraId="126DB4DF" w14:textId="77777777" w:rsidR="00104754" w:rsidRDefault="00104754" w:rsidP="00A76200">
      <w:pPr>
        <w:jc w:val="both"/>
        <w:rPr>
          <w:rFonts w:cstheme="minorHAnsi"/>
          <w:sz w:val="24"/>
          <w:szCs w:val="24"/>
        </w:rPr>
      </w:pPr>
    </w:p>
    <w:p w14:paraId="4CBA6B9E" w14:textId="6E03D5C7" w:rsidR="00104754" w:rsidRPr="00104754" w:rsidRDefault="00104754" w:rsidP="00104754">
      <w:pPr>
        <w:rPr>
          <w:rFonts w:eastAsia="Times New Roman" w:cstheme="minorHAnsi"/>
          <w:b/>
          <w:bCs/>
          <w:color w:val="000000"/>
          <w:lang w:eastAsia="pt-BR"/>
        </w:rPr>
      </w:pPr>
      <w:r w:rsidRPr="00583922">
        <w:rPr>
          <w:rFonts w:cstheme="minorHAnsi"/>
          <w:b/>
          <w:bCs/>
        </w:rPr>
        <w:t xml:space="preserve">Tabela </w:t>
      </w:r>
      <w:r w:rsidRPr="00583922">
        <w:rPr>
          <w:rFonts w:cstheme="minorHAnsi"/>
          <w:b/>
          <w:bCs/>
        </w:rPr>
        <w:fldChar w:fldCharType="begin"/>
      </w:r>
      <w:r w:rsidRPr="00583922">
        <w:rPr>
          <w:rFonts w:cstheme="minorHAnsi"/>
          <w:b/>
          <w:bCs/>
        </w:rPr>
        <w:instrText xml:space="preserve"> SEQ Table \* ARABIC </w:instrText>
      </w:r>
      <w:r w:rsidRPr="00583922">
        <w:rPr>
          <w:rFonts w:cstheme="minorHAnsi"/>
          <w:b/>
          <w:bCs/>
        </w:rPr>
        <w:fldChar w:fldCharType="separate"/>
      </w:r>
      <w:r w:rsidR="009369D7">
        <w:rPr>
          <w:rFonts w:cstheme="minorHAnsi"/>
          <w:b/>
          <w:bCs/>
          <w:noProof/>
        </w:rPr>
        <w:t>5</w:t>
      </w:r>
      <w:r w:rsidRPr="00583922">
        <w:rPr>
          <w:rFonts w:cstheme="minorHAnsi"/>
          <w:b/>
          <w:bCs/>
          <w:noProof/>
        </w:rPr>
        <w:fldChar w:fldCharType="end"/>
      </w:r>
      <w:r w:rsidRPr="00583922">
        <w:rPr>
          <w:rFonts w:cstheme="minorHAnsi"/>
          <w:b/>
          <w:bCs/>
        </w:rPr>
        <w:t xml:space="preserve">: Percentis do Indicador RAROC </w:t>
      </w:r>
      <w:r>
        <w:rPr>
          <w:rFonts w:cstheme="minorHAnsi"/>
          <w:b/>
          <w:bCs/>
        </w:rPr>
        <w:t>por Nível de Risco</w:t>
      </w:r>
    </w:p>
    <w:tbl>
      <w:tblPr>
        <w:tblW w:w="8507"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836"/>
        <w:gridCol w:w="836"/>
        <w:gridCol w:w="991"/>
        <w:gridCol w:w="1216"/>
        <w:gridCol w:w="1310"/>
        <w:gridCol w:w="1216"/>
        <w:gridCol w:w="1102"/>
      </w:tblGrid>
      <w:tr w:rsidR="00104754" w:rsidRPr="00104754" w14:paraId="7B1026DF" w14:textId="77777777" w:rsidTr="00104754">
        <w:trPr>
          <w:trHeight w:val="300"/>
        </w:trPr>
        <w:tc>
          <w:tcPr>
            <w:tcW w:w="1836" w:type="dxa"/>
            <w:tcBorders>
              <w:top w:val="single" w:sz="4" w:space="0" w:color="auto"/>
              <w:bottom w:val="single" w:sz="4" w:space="0" w:color="auto"/>
            </w:tcBorders>
            <w:shd w:val="clear" w:color="auto" w:fill="auto"/>
            <w:noWrap/>
            <w:vAlign w:val="center"/>
            <w:hideMark/>
          </w:tcPr>
          <w:p w14:paraId="55C4CCFC" w14:textId="2BCCA92D"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Porte</w:t>
            </w:r>
            <w:r>
              <w:rPr>
                <w:rFonts w:ascii="Calibri" w:eastAsia="Times New Roman" w:hAnsi="Calibri" w:cs="Calibri"/>
                <w:color w:val="000000"/>
                <w:lang w:eastAsia="pt-BR" w:bidi="he-IL"/>
              </w:rPr>
              <w:t xml:space="preserve"> da Empresa</w:t>
            </w:r>
          </w:p>
        </w:tc>
        <w:tc>
          <w:tcPr>
            <w:tcW w:w="836" w:type="dxa"/>
            <w:tcBorders>
              <w:top w:val="single" w:sz="4" w:space="0" w:color="auto"/>
              <w:bottom w:val="single" w:sz="4" w:space="0" w:color="auto"/>
            </w:tcBorders>
            <w:shd w:val="clear" w:color="auto" w:fill="auto"/>
            <w:noWrap/>
            <w:vAlign w:val="center"/>
            <w:hideMark/>
          </w:tcPr>
          <w:p w14:paraId="79F8B6AF" w14:textId="6D8F5B0F" w:rsidR="00104754" w:rsidRPr="00104754"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N. OBS</w:t>
            </w:r>
          </w:p>
        </w:tc>
        <w:tc>
          <w:tcPr>
            <w:tcW w:w="991" w:type="dxa"/>
            <w:tcBorders>
              <w:top w:val="single" w:sz="4" w:space="0" w:color="auto"/>
              <w:bottom w:val="single" w:sz="4" w:space="0" w:color="auto"/>
            </w:tcBorders>
            <w:shd w:val="clear" w:color="auto" w:fill="auto"/>
            <w:noWrap/>
            <w:vAlign w:val="center"/>
            <w:hideMark/>
          </w:tcPr>
          <w:p w14:paraId="700FB925" w14:textId="6582F624" w:rsidR="00104754"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Percentil</w:t>
            </w:r>
          </w:p>
          <w:p w14:paraId="5585614B" w14:textId="263EAF30" w:rsidR="00104754" w:rsidRPr="00104754"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1%</w:t>
            </w:r>
          </w:p>
        </w:tc>
        <w:tc>
          <w:tcPr>
            <w:tcW w:w="1216" w:type="dxa"/>
            <w:tcBorders>
              <w:top w:val="single" w:sz="4" w:space="0" w:color="auto"/>
              <w:bottom w:val="single" w:sz="4" w:space="0" w:color="auto"/>
            </w:tcBorders>
            <w:shd w:val="clear" w:color="auto" w:fill="auto"/>
            <w:noWrap/>
            <w:vAlign w:val="center"/>
            <w:hideMark/>
          </w:tcPr>
          <w:p w14:paraId="475DFEA4" w14:textId="6C29B843" w:rsidR="00104754"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Percentil</w:t>
            </w:r>
          </w:p>
          <w:p w14:paraId="78F24EB0" w14:textId="7BFEBB5B" w:rsidR="00104754" w:rsidRPr="00104754"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25%</w:t>
            </w:r>
          </w:p>
        </w:tc>
        <w:tc>
          <w:tcPr>
            <w:tcW w:w="1310" w:type="dxa"/>
            <w:tcBorders>
              <w:top w:val="single" w:sz="4" w:space="0" w:color="auto"/>
              <w:bottom w:val="single" w:sz="4" w:space="0" w:color="auto"/>
            </w:tcBorders>
            <w:shd w:val="clear" w:color="auto" w:fill="auto"/>
            <w:noWrap/>
            <w:vAlign w:val="center"/>
            <w:hideMark/>
          </w:tcPr>
          <w:p w14:paraId="02C1AAFB" w14:textId="5842434B" w:rsidR="00104754" w:rsidRPr="00104754"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Mediana</w:t>
            </w:r>
          </w:p>
        </w:tc>
        <w:tc>
          <w:tcPr>
            <w:tcW w:w="1216" w:type="dxa"/>
            <w:tcBorders>
              <w:top w:val="single" w:sz="4" w:space="0" w:color="auto"/>
              <w:bottom w:val="single" w:sz="4" w:space="0" w:color="auto"/>
            </w:tcBorders>
            <w:shd w:val="clear" w:color="auto" w:fill="auto"/>
            <w:noWrap/>
            <w:vAlign w:val="center"/>
            <w:hideMark/>
          </w:tcPr>
          <w:p w14:paraId="3EF0E30A" w14:textId="178EE5D7" w:rsidR="00104754"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Percentil</w:t>
            </w:r>
          </w:p>
          <w:p w14:paraId="5AC9082B" w14:textId="3A42C10A" w:rsidR="00104754" w:rsidRPr="00104754"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75%</w:t>
            </w:r>
          </w:p>
        </w:tc>
        <w:tc>
          <w:tcPr>
            <w:tcW w:w="1102" w:type="dxa"/>
            <w:tcBorders>
              <w:top w:val="single" w:sz="4" w:space="0" w:color="auto"/>
              <w:bottom w:val="single" w:sz="4" w:space="0" w:color="auto"/>
            </w:tcBorders>
            <w:shd w:val="clear" w:color="auto" w:fill="auto"/>
            <w:noWrap/>
            <w:vAlign w:val="center"/>
            <w:hideMark/>
          </w:tcPr>
          <w:p w14:paraId="1489279E" w14:textId="60143A8D" w:rsidR="00104754"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Percentil</w:t>
            </w:r>
          </w:p>
          <w:p w14:paraId="6D4B412C" w14:textId="6CC19576" w:rsidR="00104754" w:rsidRPr="00104754"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99%</w:t>
            </w:r>
          </w:p>
        </w:tc>
      </w:tr>
      <w:tr w:rsidR="00104754" w:rsidRPr="00104754" w14:paraId="1B920489" w14:textId="77777777" w:rsidTr="00104754">
        <w:trPr>
          <w:trHeight w:val="300"/>
        </w:trPr>
        <w:tc>
          <w:tcPr>
            <w:tcW w:w="1836" w:type="dxa"/>
            <w:tcBorders>
              <w:top w:val="single" w:sz="4" w:space="0" w:color="auto"/>
            </w:tcBorders>
            <w:shd w:val="clear" w:color="auto" w:fill="auto"/>
            <w:noWrap/>
            <w:vAlign w:val="center"/>
            <w:hideMark/>
          </w:tcPr>
          <w:p w14:paraId="35B03CD0"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GRANDE</w:t>
            </w:r>
          </w:p>
        </w:tc>
        <w:tc>
          <w:tcPr>
            <w:tcW w:w="836" w:type="dxa"/>
            <w:tcBorders>
              <w:top w:val="single" w:sz="4" w:space="0" w:color="auto"/>
            </w:tcBorders>
            <w:shd w:val="clear" w:color="auto" w:fill="auto"/>
            <w:noWrap/>
            <w:vAlign w:val="center"/>
            <w:hideMark/>
          </w:tcPr>
          <w:p w14:paraId="4519BE85" w14:textId="61C60248"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12</w:t>
            </w:r>
            <w:r>
              <w:rPr>
                <w:rFonts w:ascii="Calibri" w:eastAsia="Times New Roman" w:hAnsi="Calibri" w:cs="Calibri"/>
                <w:color w:val="000000"/>
                <w:lang w:eastAsia="pt-BR" w:bidi="he-IL"/>
              </w:rPr>
              <w:t>.</w:t>
            </w:r>
            <w:r w:rsidRPr="00104754">
              <w:rPr>
                <w:rFonts w:ascii="Calibri" w:eastAsia="Times New Roman" w:hAnsi="Calibri" w:cs="Calibri"/>
                <w:color w:val="000000"/>
                <w:lang w:eastAsia="pt-BR" w:bidi="he-IL"/>
              </w:rPr>
              <w:t>145</w:t>
            </w:r>
          </w:p>
        </w:tc>
        <w:tc>
          <w:tcPr>
            <w:tcW w:w="991" w:type="dxa"/>
            <w:tcBorders>
              <w:top w:val="single" w:sz="4" w:space="0" w:color="auto"/>
            </w:tcBorders>
            <w:shd w:val="clear" w:color="auto" w:fill="auto"/>
            <w:noWrap/>
            <w:vAlign w:val="center"/>
            <w:hideMark/>
          </w:tcPr>
          <w:p w14:paraId="07AECEAF"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-29,8%</w:t>
            </w:r>
          </w:p>
        </w:tc>
        <w:tc>
          <w:tcPr>
            <w:tcW w:w="1216" w:type="dxa"/>
            <w:tcBorders>
              <w:top w:val="single" w:sz="4" w:space="0" w:color="auto"/>
            </w:tcBorders>
            <w:shd w:val="clear" w:color="auto" w:fill="auto"/>
            <w:noWrap/>
            <w:vAlign w:val="center"/>
            <w:hideMark/>
          </w:tcPr>
          <w:p w14:paraId="583BC54C"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-11,8%</w:t>
            </w:r>
          </w:p>
        </w:tc>
        <w:tc>
          <w:tcPr>
            <w:tcW w:w="1310" w:type="dxa"/>
            <w:tcBorders>
              <w:top w:val="single" w:sz="4" w:space="0" w:color="auto"/>
            </w:tcBorders>
            <w:shd w:val="clear" w:color="auto" w:fill="auto"/>
            <w:noWrap/>
            <w:vAlign w:val="center"/>
            <w:hideMark/>
          </w:tcPr>
          <w:p w14:paraId="080CD785"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-4,8%</w:t>
            </w:r>
          </w:p>
        </w:tc>
        <w:tc>
          <w:tcPr>
            <w:tcW w:w="1216" w:type="dxa"/>
            <w:tcBorders>
              <w:top w:val="single" w:sz="4" w:space="0" w:color="auto"/>
            </w:tcBorders>
            <w:shd w:val="clear" w:color="auto" w:fill="auto"/>
            <w:noWrap/>
            <w:vAlign w:val="center"/>
            <w:hideMark/>
          </w:tcPr>
          <w:p w14:paraId="6FB4B3CC"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-2,9%</w:t>
            </w:r>
          </w:p>
        </w:tc>
        <w:tc>
          <w:tcPr>
            <w:tcW w:w="1102" w:type="dxa"/>
            <w:tcBorders>
              <w:top w:val="single" w:sz="4" w:space="0" w:color="auto"/>
            </w:tcBorders>
            <w:shd w:val="clear" w:color="auto" w:fill="auto"/>
            <w:noWrap/>
            <w:vAlign w:val="center"/>
            <w:hideMark/>
          </w:tcPr>
          <w:p w14:paraId="026298F1"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53,7%</w:t>
            </w:r>
          </w:p>
        </w:tc>
      </w:tr>
      <w:tr w:rsidR="00104754" w:rsidRPr="00104754" w14:paraId="63A48DC7" w14:textId="77777777" w:rsidTr="00104754">
        <w:trPr>
          <w:trHeight w:val="300"/>
        </w:trPr>
        <w:tc>
          <w:tcPr>
            <w:tcW w:w="1836" w:type="dxa"/>
            <w:shd w:val="clear" w:color="auto" w:fill="auto"/>
            <w:noWrap/>
            <w:vAlign w:val="center"/>
            <w:hideMark/>
          </w:tcPr>
          <w:p w14:paraId="4BC4AAFA"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MICRO</w:t>
            </w:r>
          </w:p>
        </w:tc>
        <w:tc>
          <w:tcPr>
            <w:tcW w:w="836" w:type="dxa"/>
            <w:shd w:val="clear" w:color="auto" w:fill="auto"/>
            <w:noWrap/>
            <w:vAlign w:val="center"/>
            <w:hideMark/>
          </w:tcPr>
          <w:p w14:paraId="52E013EF" w14:textId="04525DD9"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58</w:t>
            </w:r>
            <w:r>
              <w:rPr>
                <w:rFonts w:ascii="Calibri" w:eastAsia="Times New Roman" w:hAnsi="Calibri" w:cs="Calibri"/>
                <w:color w:val="000000"/>
                <w:lang w:eastAsia="pt-BR" w:bidi="he-IL"/>
              </w:rPr>
              <w:t>.</w:t>
            </w:r>
            <w:r w:rsidRPr="00104754">
              <w:rPr>
                <w:rFonts w:ascii="Calibri" w:eastAsia="Times New Roman" w:hAnsi="Calibri" w:cs="Calibri"/>
                <w:color w:val="000000"/>
                <w:lang w:eastAsia="pt-BR" w:bidi="he-IL"/>
              </w:rPr>
              <w:t>949</w:t>
            </w:r>
          </w:p>
        </w:tc>
        <w:tc>
          <w:tcPr>
            <w:tcW w:w="991" w:type="dxa"/>
            <w:shd w:val="clear" w:color="auto" w:fill="auto"/>
            <w:noWrap/>
            <w:vAlign w:val="center"/>
            <w:hideMark/>
          </w:tcPr>
          <w:p w14:paraId="79698CDD"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-13,7%</w:t>
            </w:r>
          </w:p>
        </w:tc>
        <w:tc>
          <w:tcPr>
            <w:tcW w:w="1216" w:type="dxa"/>
            <w:shd w:val="clear" w:color="auto" w:fill="auto"/>
            <w:noWrap/>
            <w:vAlign w:val="center"/>
            <w:hideMark/>
          </w:tcPr>
          <w:p w14:paraId="614E00B4"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11,3%</w:t>
            </w:r>
          </w:p>
        </w:tc>
        <w:tc>
          <w:tcPr>
            <w:tcW w:w="1310" w:type="dxa"/>
            <w:shd w:val="clear" w:color="auto" w:fill="auto"/>
            <w:noWrap/>
            <w:vAlign w:val="center"/>
            <w:hideMark/>
          </w:tcPr>
          <w:p w14:paraId="087DF480"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18,3%</w:t>
            </w:r>
          </w:p>
        </w:tc>
        <w:tc>
          <w:tcPr>
            <w:tcW w:w="1216" w:type="dxa"/>
            <w:shd w:val="clear" w:color="auto" w:fill="auto"/>
            <w:noWrap/>
            <w:vAlign w:val="center"/>
            <w:hideMark/>
          </w:tcPr>
          <w:p w14:paraId="631996AF"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32,6%</w:t>
            </w:r>
          </w:p>
        </w:tc>
        <w:tc>
          <w:tcPr>
            <w:tcW w:w="1102" w:type="dxa"/>
            <w:shd w:val="clear" w:color="auto" w:fill="auto"/>
            <w:noWrap/>
            <w:vAlign w:val="center"/>
            <w:hideMark/>
          </w:tcPr>
          <w:p w14:paraId="67B69CA6"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60,4%</w:t>
            </w:r>
          </w:p>
        </w:tc>
      </w:tr>
      <w:tr w:rsidR="00104754" w:rsidRPr="00104754" w14:paraId="247214BF" w14:textId="77777777" w:rsidTr="00104754">
        <w:trPr>
          <w:trHeight w:val="300"/>
        </w:trPr>
        <w:tc>
          <w:tcPr>
            <w:tcW w:w="1836" w:type="dxa"/>
            <w:shd w:val="clear" w:color="auto" w:fill="auto"/>
            <w:noWrap/>
            <w:vAlign w:val="center"/>
            <w:hideMark/>
          </w:tcPr>
          <w:p w14:paraId="3AE006B3"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MÉDIA</w:t>
            </w:r>
          </w:p>
        </w:tc>
        <w:tc>
          <w:tcPr>
            <w:tcW w:w="836" w:type="dxa"/>
            <w:shd w:val="clear" w:color="auto" w:fill="auto"/>
            <w:noWrap/>
            <w:vAlign w:val="center"/>
            <w:hideMark/>
          </w:tcPr>
          <w:p w14:paraId="3F6DE116" w14:textId="66E71191"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48</w:t>
            </w:r>
            <w:r>
              <w:rPr>
                <w:rFonts w:ascii="Calibri" w:eastAsia="Times New Roman" w:hAnsi="Calibri" w:cs="Calibri"/>
                <w:color w:val="000000"/>
                <w:lang w:eastAsia="pt-BR" w:bidi="he-IL"/>
              </w:rPr>
              <w:t>.</w:t>
            </w:r>
            <w:r w:rsidRPr="00104754">
              <w:rPr>
                <w:rFonts w:ascii="Calibri" w:eastAsia="Times New Roman" w:hAnsi="Calibri" w:cs="Calibri"/>
                <w:color w:val="000000"/>
                <w:lang w:eastAsia="pt-BR" w:bidi="he-IL"/>
              </w:rPr>
              <w:t>366</w:t>
            </w:r>
          </w:p>
        </w:tc>
        <w:tc>
          <w:tcPr>
            <w:tcW w:w="991" w:type="dxa"/>
            <w:shd w:val="clear" w:color="auto" w:fill="auto"/>
            <w:noWrap/>
            <w:vAlign w:val="center"/>
            <w:hideMark/>
          </w:tcPr>
          <w:p w14:paraId="7560DD95"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-21,3%</w:t>
            </w:r>
          </w:p>
        </w:tc>
        <w:tc>
          <w:tcPr>
            <w:tcW w:w="1216" w:type="dxa"/>
            <w:shd w:val="clear" w:color="auto" w:fill="auto"/>
            <w:noWrap/>
            <w:vAlign w:val="center"/>
            <w:hideMark/>
          </w:tcPr>
          <w:p w14:paraId="2021A01B"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-7,0%</w:t>
            </w:r>
          </w:p>
        </w:tc>
        <w:tc>
          <w:tcPr>
            <w:tcW w:w="1310" w:type="dxa"/>
            <w:shd w:val="clear" w:color="auto" w:fill="auto"/>
            <w:noWrap/>
            <w:vAlign w:val="center"/>
            <w:hideMark/>
          </w:tcPr>
          <w:p w14:paraId="4507F2C4"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1,8%</w:t>
            </w:r>
          </w:p>
        </w:tc>
        <w:tc>
          <w:tcPr>
            <w:tcW w:w="1216" w:type="dxa"/>
            <w:shd w:val="clear" w:color="auto" w:fill="auto"/>
            <w:noWrap/>
            <w:vAlign w:val="center"/>
            <w:hideMark/>
          </w:tcPr>
          <w:p w14:paraId="5CF92391"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21,5%</w:t>
            </w:r>
          </w:p>
        </w:tc>
        <w:tc>
          <w:tcPr>
            <w:tcW w:w="1102" w:type="dxa"/>
            <w:shd w:val="clear" w:color="auto" w:fill="auto"/>
            <w:noWrap/>
            <w:vAlign w:val="center"/>
            <w:hideMark/>
          </w:tcPr>
          <w:p w14:paraId="5CD64DC3"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58,6%</w:t>
            </w:r>
          </w:p>
        </w:tc>
      </w:tr>
      <w:tr w:rsidR="00104754" w:rsidRPr="00104754" w14:paraId="3C7802B0" w14:textId="77777777" w:rsidTr="00104754">
        <w:trPr>
          <w:trHeight w:val="300"/>
        </w:trPr>
        <w:tc>
          <w:tcPr>
            <w:tcW w:w="1836" w:type="dxa"/>
            <w:shd w:val="clear" w:color="auto" w:fill="auto"/>
            <w:noWrap/>
            <w:vAlign w:val="center"/>
            <w:hideMark/>
          </w:tcPr>
          <w:p w14:paraId="4792B43C"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PEQUENA</w:t>
            </w:r>
          </w:p>
        </w:tc>
        <w:tc>
          <w:tcPr>
            <w:tcW w:w="836" w:type="dxa"/>
            <w:shd w:val="clear" w:color="auto" w:fill="auto"/>
            <w:noWrap/>
            <w:vAlign w:val="center"/>
            <w:hideMark/>
          </w:tcPr>
          <w:p w14:paraId="62193B42" w14:textId="4999C94F"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75</w:t>
            </w:r>
            <w:r>
              <w:rPr>
                <w:rFonts w:ascii="Calibri" w:eastAsia="Times New Roman" w:hAnsi="Calibri" w:cs="Calibri"/>
                <w:color w:val="000000"/>
                <w:lang w:eastAsia="pt-BR" w:bidi="he-IL"/>
              </w:rPr>
              <w:t>.</w:t>
            </w:r>
            <w:r w:rsidRPr="00104754">
              <w:rPr>
                <w:rFonts w:ascii="Calibri" w:eastAsia="Times New Roman" w:hAnsi="Calibri" w:cs="Calibri"/>
                <w:color w:val="000000"/>
                <w:lang w:eastAsia="pt-BR" w:bidi="he-IL"/>
              </w:rPr>
              <w:t>405</w:t>
            </w:r>
          </w:p>
        </w:tc>
        <w:tc>
          <w:tcPr>
            <w:tcW w:w="991" w:type="dxa"/>
            <w:shd w:val="clear" w:color="auto" w:fill="auto"/>
            <w:noWrap/>
            <w:vAlign w:val="center"/>
            <w:hideMark/>
          </w:tcPr>
          <w:p w14:paraId="7D034E88"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-15,5%</w:t>
            </w:r>
          </w:p>
        </w:tc>
        <w:tc>
          <w:tcPr>
            <w:tcW w:w="1216" w:type="dxa"/>
            <w:shd w:val="clear" w:color="auto" w:fill="auto"/>
            <w:noWrap/>
            <w:vAlign w:val="center"/>
            <w:hideMark/>
          </w:tcPr>
          <w:p w14:paraId="02E8A568"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7,6%</w:t>
            </w:r>
          </w:p>
        </w:tc>
        <w:tc>
          <w:tcPr>
            <w:tcW w:w="1310" w:type="dxa"/>
            <w:shd w:val="clear" w:color="auto" w:fill="auto"/>
            <w:noWrap/>
            <w:vAlign w:val="center"/>
            <w:hideMark/>
          </w:tcPr>
          <w:p w14:paraId="321E2CC5"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28,4%</w:t>
            </w:r>
          </w:p>
        </w:tc>
        <w:tc>
          <w:tcPr>
            <w:tcW w:w="1216" w:type="dxa"/>
            <w:shd w:val="clear" w:color="auto" w:fill="auto"/>
            <w:noWrap/>
            <w:vAlign w:val="center"/>
            <w:hideMark/>
          </w:tcPr>
          <w:p w14:paraId="4AA85EEE"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46,0%</w:t>
            </w:r>
          </w:p>
        </w:tc>
        <w:tc>
          <w:tcPr>
            <w:tcW w:w="1102" w:type="dxa"/>
            <w:shd w:val="clear" w:color="auto" w:fill="auto"/>
            <w:noWrap/>
            <w:vAlign w:val="center"/>
            <w:hideMark/>
          </w:tcPr>
          <w:p w14:paraId="384EA761" w14:textId="77777777" w:rsidR="00104754" w:rsidRPr="00104754" w:rsidRDefault="00104754" w:rsidP="00104754">
            <w:pPr>
              <w:spacing w:after="0" w:line="240" w:lineRule="auto"/>
              <w:jc w:val="center"/>
              <w:rPr>
                <w:rFonts w:ascii="Calibri" w:eastAsia="Times New Roman" w:hAnsi="Calibri" w:cs="Calibri"/>
                <w:color w:val="000000"/>
                <w:lang w:eastAsia="pt-BR" w:bidi="he-IL"/>
              </w:rPr>
            </w:pPr>
            <w:r w:rsidRPr="00104754">
              <w:rPr>
                <w:rFonts w:ascii="Calibri" w:eastAsia="Times New Roman" w:hAnsi="Calibri" w:cs="Calibri"/>
                <w:color w:val="000000"/>
                <w:lang w:eastAsia="pt-BR" w:bidi="he-IL"/>
              </w:rPr>
              <w:t>61,1%</w:t>
            </w:r>
          </w:p>
        </w:tc>
      </w:tr>
    </w:tbl>
    <w:p w14:paraId="3E543BC9" w14:textId="77777777" w:rsidR="00D90732" w:rsidRPr="00B12D00" w:rsidRDefault="00D90732" w:rsidP="00D90732">
      <w:pPr>
        <w:jc w:val="both"/>
        <w:rPr>
          <w:rFonts w:cstheme="minorHAnsi"/>
          <w:lang w:val="en-US"/>
        </w:rPr>
      </w:pPr>
      <w:r w:rsidRPr="00B12D00">
        <w:rPr>
          <w:rFonts w:cstheme="minorHAnsi"/>
          <w:lang w:val="en-US"/>
        </w:rPr>
        <w:t>Fonte: Elaboração do autor</w:t>
      </w:r>
    </w:p>
    <w:p w14:paraId="1726CAD2" w14:textId="77777777" w:rsidR="00104754" w:rsidRDefault="00104754" w:rsidP="00A76200">
      <w:pPr>
        <w:jc w:val="both"/>
        <w:rPr>
          <w:rFonts w:cstheme="minorHAnsi"/>
          <w:sz w:val="24"/>
          <w:szCs w:val="24"/>
        </w:rPr>
      </w:pPr>
    </w:p>
    <w:p w14:paraId="16353D42" w14:textId="073094FF" w:rsidR="00104754" w:rsidRPr="005F0469" w:rsidRDefault="009369D7" w:rsidP="005F0469">
      <w:pPr>
        <w:ind w:firstLine="360"/>
        <w:jc w:val="both"/>
        <w:rPr>
          <w:rFonts w:cstheme="minorHAnsi"/>
        </w:rPr>
      </w:pPr>
      <w:r w:rsidRPr="00104754">
        <w:rPr>
          <w:rFonts w:cstheme="minorHAnsi"/>
        </w:rPr>
        <w:t xml:space="preserve">Avaliando </w:t>
      </w:r>
      <w:r>
        <w:rPr>
          <w:rFonts w:cstheme="minorHAnsi"/>
        </w:rPr>
        <w:t xml:space="preserve">o indicador RAROC conforme </w:t>
      </w:r>
      <w:r>
        <w:rPr>
          <w:rFonts w:cstheme="minorHAnsi"/>
        </w:rPr>
        <w:t>a fonte dos recursos mostram que as operações com recursos Livres Próprios apresentam os melhores valores do indicador RAROC</w:t>
      </w:r>
      <w:r>
        <w:rPr>
          <w:rFonts w:cstheme="minorHAnsi"/>
        </w:rPr>
        <w:t xml:space="preserve">. </w:t>
      </w:r>
      <w:r>
        <w:rPr>
          <w:rFonts w:cstheme="minorHAnsi"/>
        </w:rPr>
        <w:t>Pelo menos 75% das operações com recursos livres próprios são vantajosas</w:t>
      </w:r>
      <w:r>
        <w:rPr>
          <w:rFonts w:cstheme="minorHAnsi"/>
        </w:rPr>
        <w:t xml:space="preserve">. </w:t>
      </w:r>
      <w:r>
        <w:rPr>
          <w:rFonts w:cstheme="minorHAnsi"/>
        </w:rPr>
        <w:t xml:space="preserve">Por outro lado, 25% das operações com recursos Lives do Tesouro apresentam RAROC </w:t>
      </w:r>
      <w:r>
        <w:rPr>
          <w:rFonts w:cstheme="minorHAnsi"/>
        </w:rPr>
        <w:t>negativo</w:t>
      </w:r>
      <w:r>
        <w:rPr>
          <w:rFonts w:cstheme="minorHAnsi"/>
        </w:rPr>
        <w:t>, caracterizando operações que ocasionaram prejuízo</w:t>
      </w:r>
      <w:r>
        <w:rPr>
          <w:rFonts w:cstheme="minorHAnsi"/>
        </w:rPr>
        <w:t xml:space="preserve">. </w:t>
      </w:r>
      <w:r>
        <w:rPr>
          <w:rFonts w:cstheme="minorHAnsi"/>
        </w:rPr>
        <w:t xml:space="preserve">A mediana do RAROC das operações com recursos </w:t>
      </w:r>
      <w:r w:rsidR="005F0469">
        <w:rPr>
          <w:rFonts w:cstheme="minorHAnsi"/>
        </w:rPr>
        <w:t xml:space="preserve">Livre do FAT é de 11,65%, enquanto as operações com recursos vinculados FAT apresentam mediana do RAROC de </w:t>
      </w:r>
      <w:r w:rsidR="005F0469" w:rsidRPr="005F0469">
        <w:rPr>
          <w:rFonts w:cstheme="minorHAnsi"/>
        </w:rPr>
        <w:t>23,51%</w:t>
      </w:r>
      <w:r>
        <w:rPr>
          <w:rFonts w:cstheme="minorHAnsi"/>
        </w:rPr>
        <w:t>.</w:t>
      </w:r>
    </w:p>
    <w:p w14:paraId="743F61A4" w14:textId="77777777" w:rsidR="00104754" w:rsidRDefault="00104754" w:rsidP="00A76200">
      <w:pPr>
        <w:jc w:val="both"/>
        <w:rPr>
          <w:rFonts w:cstheme="minorHAnsi"/>
          <w:sz w:val="24"/>
          <w:szCs w:val="24"/>
        </w:rPr>
      </w:pPr>
    </w:p>
    <w:p w14:paraId="3B1CBA07" w14:textId="5EABD1C8" w:rsidR="00104754" w:rsidRPr="00583922" w:rsidRDefault="00104754" w:rsidP="00104754">
      <w:pPr>
        <w:rPr>
          <w:rFonts w:eastAsia="Times New Roman" w:cstheme="minorHAnsi"/>
          <w:b/>
          <w:bCs/>
          <w:color w:val="000000"/>
          <w:lang w:eastAsia="pt-BR"/>
        </w:rPr>
      </w:pPr>
      <w:r w:rsidRPr="00583922">
        <w:rPr>
          <w:rFonts w:cstheme="minorHAnsi"/>
          <w:b/>
          <w:bCs/>
        </w:rPr>
        <w:t xml:space="preserve">Tabela </w:t>
      </w:r>
      <w:r w:rsidRPr="00583922">
        <w:rPr>
          <w:rFonts w:cstheme="minorHAnsi"/>
          <w:b/>
          <w:bCs/>
        </w:rPr>
        <w:fldChar w:fldCharType="begin"/>
      </w:r>
      <w:r w:rsidRPr="00583922">
        <w:rPr>
          <w:rFonts w:cstheme="minorHAnsi"/>
          <w:b/>
          <w:bCs/>
        </w:rPr>
        <w:instrText xml:space="preserve"> SEQ Table \* ARABIC </w:instrText>
      </w:r>
      <w:r w:rsidRPr="00583922">
        <w:rPr>
          <w:rFonts w:cstheme="minorHAnsi"/>
          <w:b/>
          <w:bCs/>
        </w:rPr>
        <w:fldChar w:fldCharType="separate"/>
      </w:r>
      <w:r w:rsidR="009369D7">
        <w:rPr>
          <w:rFonts w:cstheme="minorHAnsi"/>
          <w:b/>
          <w:bCs/>
          <w:noProof/>
        </w:rPr>
        <w:t>6</w:t>
      </w:r>
      <w:r w:rsidRPr="00583922">
        <w:rPr>
          <w:rFonts w:cstheme="minorHAnsi"/>
          <w:b/>
          <w:bCs/>
          <w:noProof/>
        </w:rPr>
        <w:fldChar w:fldCharType="end"/>
      </w:r>
      <w:r w:rsidRPr="00583922">
        <w:rPr>
          <w:rFonts w:cstheme="minorHAnsi"/>
          <w:b/>
          <w:bCs/>
        </w:rPr>
        <w:t xml:space="preserve">: Percentis do Indicador RAROC </w:t>
      </w:r>
      <w:r>
        <w:rPr>
          <w:rFonts w:cstheme="minorHAnsi"/>
          <w:b/>
          <w:bCs/>
        </w:rPr>
        <w:t xml:space="preserve">por </w:t>
      </w:r>
      <w:r>
        <w:rPr>
          <w:rFonts w:cstheme="minorHAnsi"/>
          <w:b/>
          <w:bCs/>
        </w:rPr>
        <w:t>Fonte de Recurso</w:t>
      </w:r>
    </w:p>
    <w:tbl>
      <w:tblPr>
        <w:tblW w:w="8259"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935"/>
        <w:gridCol w:w="836"/>
        <w:gridCol w:w="1112"/>
        <w:gridCol w:w="1112"/>
        <w:gridCol w:w="1040"/>
        <w:gridCol w:w="1112"/>
        <w:gridCol w:w="1112"/>
      </w:tblGrid>
      <w:tr w:rsidR="00104754" w:rsidRPr="00583922" w14:paraId="58F4B0BE" w14:textId="77777777" w:rsidTr="00104754">
        <w:trPr>
          <w:trHeight w:val="300"/>
        </w:trPr>
        <w:tc>
          <w:tcPr>
            <w:tcW w:w="1935" w:type="dxa"/>
            <w:tcBorders>
              <w:top w:val="single" w:sz="4" w:space="0" w:color="auto"/>
              <w:bottom w:val="single" w:sz="4" w:space="0" w:color="auto"/>
            </w:tcBorders>
            <w:shd w:val="clear" w:color="auto" w:fill="auto"/>
            <w:noWrap/>
            <w:vAlign w:val="center"/>
            <w:hideMark/>
          </w:tcPr>
          <w:p w14:paraId="383F302D" w14:textId="0DE91B7C" w:rsidR="00104754" w:rsidRPr="00583922" w:rsidRDefault="00104754"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Fonte</w:t>
            </w:r>
            <w:r>
              <w:rPr>
                <w:rFonts w:ascii="Calibri" w:eastAsia="Times New Roman" w:hAnsi="Calibri" w:cs="Calibri"/>
                <w:color w:val="000000"/>
                <w:lang w:eastAsia="pt-BR" w:bidi="he-IL"/>
              </w:rPr>
              <w:t xml:space="preserve"> do </w:t>
            </w:r>
            <w:r w:rsidRPr="00583922">
              <w:rPr>
                <w:rFonts w:ascii="Calibri" w:eastAsia="Times New Roman" w:hAnsi="Calibri" w:cs="Calibri"/>
                <w:color w:val="000000"/>
                <w:lang w:eastAsia="pt-BR" w:bidi="he-IL"/>
              </w:rPr>
              <w:t>Recurso</w:t>
            </w:r>
          </w:p>
        </w:tc>
        <w:tc>
          <w:tcPr>
            <w:tcW w:w="836" w:type="dxa"/>
            <w:tcBorders>
              <w:top w:val="single" w:sz="4" w:space="0" w:color="auto"/>
              <w:bottom w:val="single" w:sz="4" w:space="0" w:color="auto"/>
            </w:tcBorders>
            <w:shd w:val="clear" w:color="auto" w:fill="auto"/>
            <w:noWrap/>
            <w:vAlign w:val="center"/>
            <w:hideMark/>
          </w:tcPr>
          <w:p w14:paraId="6B280D34" w14:textId="174ECCB1" w:rsidR="00104754" w:rsidRPr="00583922"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N. OBS</w:t>
            </w:r>
          </w:p>
        </w:tc>
        <w:tc>
          <w:tcPr>
            <w:tcW w:w="1112" w:type="dxa"/>
            <w:tcBorders>
              <w:top w:val="single" w:sz="4" w:space="0" w:color="auto"/>
              <w:bottom w:val="single" w:sz="4" w:space="0" w:color="auto"/>
            </w:tcBorders>
            <w:shd w:val="clear" w:color="auto" w:fill="auto"/>
            <w:noWrap/>
            <w:vAlign w:val="center"/>
            <w:hideMark/>
          </w:tcPr>
          <w:p w14:paraId="7EECC2AF" w14:textId="40AB14AB" w:rsidR="00104754"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Percentil</w:t>
            </w:r>
          </w:p>
          <w:p w14:paraId="7A8F8271" w14:textId="5BF5BC2B" w:rsidR="00104754" w:rsidRPr="00583922"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1%</w:t>
            </w:r>
          </w:p>
        </w:tc>
        <w:tc>
          <w:tcPr>
            <w:tcW w:w="1112" w:type="dxa"/>
            <w:tcBorders>
              <w:top w:val="single" w:sz="4" w:space="0" w:color="auto"/>
              <w:bottom w:val="single" w:sz="4" w:space="0" w:color="auto"/>
            </w:tcBorders>
            <w:shd w:val="clear" w:color="auto" w:fill="auto"/>
            <w:noWrap/>
            <w:vAlign w:val="center"/>
            <w:hideMark/>
          </w:tcPr>
          <w:p w14:paraId="32C2D2BF" w14:textId="7E44C8F9" w:rsidR="00104754"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Percentil</w:t>
            </w:r>
          </w:p>
          <w:p w14:paraId="6E8C214F" w14:textId="771BB73C" w:rsidR="00104754" w:rsidRPr="00583922"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25%</w:t>
            </w:r>
          </w:p>
        </w:tc>
        <w:tc>
          <w:tcPr>
            <w:tcW w:w="1040" w:type="dxa"/>
            <w:tcBorders>
              <w:top w:val="single" w:sz="4" w:space="0" w:color="auto"/>
              <w:bottom w:val="single" w:sz="4" w:space="0" w:color="auto"/>
            </w:tcBorders>
            <w:shd w:val="clear" w:color="auto" w:fill="auto"/>
            <w:noWrap/>
            <w:vAlign w:val="center"/>
            <w:hideMark/>
          </w:tcPr>
          <w:p w14:paraId="10E6C212" w14:textId="3806790F" w:rsidR="00104754" w:rsidRPr="00583922"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Mediana</w:t>
            </w:r>
          </w:p>
        </w:tc>
        <w:tc>
          <w:tcPr>
            <w:tcW w:w="1112" w:type="dxa"/>
            <w:tcBorders>
              <w:top w:val="single" w:sz="4" w:space="0" w:color="auto"/>
              <w:bottom w:val="single" w:sz="4" w:space="0" w:color="auto"/>
            </w:tcBorders>
            <w:shd w:val="clear" w:color="auto" w:fill="auto"/>
            <w:noWrap/>
            <w:vAlign w:val="center"/>
            <w:hideMark/>
          </w:tcPr>
          <w:p w14:paraId="35D41FAA" w14:textId="2FDEE508" w:rsidR="00104754"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Percentil</w:t>
            </w:r>
          </w:p>
          <w:p w14:paraId="7FAFF571" w14:textId="25CF831E" w:rsidR="00104754" w:rsidRPr="00583922"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75%</w:t>
            </w:r>
          </w:p>
        </w:tc>
        <w:tc>
          <w:tcPr>
            <w:tcW w:w="1112" w:type="dxa"/>
            <w:tcBorders>
              <w:top w:val="single" w:sz="4" w:space="0" w:color="auto"/>
              <w:bottom w:val="single" w:sz="4" w:space="0" w:color="auto"/>
            </w:tcBorders>
            <w:shd w:val="clear" w:color="auto" w:fill="auto"/>
            <w:noWrap/>
            <w:vAlign w:val="center"/>
            <w:hideMark/>
          </w:tcPr>
          <w:p w14:paraId="21A4346F" w14:textId="15051F07" w:rsidR="00104754"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Percentil</w:t>
            </w:r>
          </w:p>
          <w:p w14:paraId="1C67E624" w14:textId="337C3FDF" w:rsidR="00104754" w:rsidRPr="00583922" w:rsidRDefault="00104754" w:rsidP="00104754">
            <w:pPr>
              <w:spacing w:after="0" w:line="240" w:lineRule="auto"/>
              <w:jc w:val="center"/>
              <w:rPr>
                <w:rFonts w:ascii="Calibri" w:eastAsia="Times New Roman" w:hAnsi="Calibri" w:cs="Calibri"/>
                <w:color w:val="000000"/>
                <w:lang w:eastAsia="pt-BR" w:bidi="he-IL"/>
              </w:rPr>
            </w:pPr>
            <w:r>
              <w:rPr>
                <w:rFonts w:ascii="Calibri" w:eastAsia="Times New Roman" w:hAnsi="Calibri" w:cs="Calibri"/>
                <w:color w:val="000000"/>
                <w:lang w:eastAsia="pt-BR" w:bidi="he-IL"/>
              </w:rPr>
              <w:t>99%</w:t>
            </w:r>
          </w:p>
        </w:tc>
      </w:tr>
      <w:tr w:rsidR="00104754" w:rsidRPr="00583922" w14:paraId="5727683C" w14:textId="77777777" w:rsidTr="00104754">
        <w:trPr>
          <w:trHeight w:val="300"/>
        </w:trPr>
        <w:tc>
          <w:tcPr>
            <w:tcW w:w="1935" w:type="dxa"/>
            <w:tcBorders>
              <w:top w:val="single" w:sz="4" w:space="0" w:color="auto"/>
            </w:tcBorders>
            <w:shd w:val="clear" w:color="auto" w:fill="auto"/>
            <w:noWrap/>
            <w:vAlign w:val="center"/>
            <w:hideMark/>
          </w:tcPr>
          <w:p w14:paraId="3E2D55AB" w14:textId="79FF3938" w:rsidR="00583922" w:rsidRPr="00583922" w:rsidRDefault="005F0469" w:rsidP="005F0469">
            <w:pPr>
              <w:spacing w:after="0" w:line="240" w:lineRule="auto"/>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 xml:space="preserve">Livres </w:t>
            </w:r>
            <w:r>
              <w:rPr>
                <w:rFonts w:ascii="Calibri" w:eastAsia="Times New Roman" w:hAnsi="Calibri" w:cs="Calibri"/>
                <w:color w:val="000000"/>
                <w:lang w:eastAsia="pt-BR" w:bidi="he-IL"/>
              </w:rPr>
              <w:t>FAT</w:t>
            </w:r>
          </w:p>
        </w:tc>
        <w:tc>
          <w:tcPr>
            <w:tcW w:w="836" w:type="dxa"/>
            <w:tcBorders>
              <w:top w:val="single" w:sz="4" w:space="0" w:color="auto"/>
            </w:tcBorders>
            <w:shd w:val="clear" w:color="auto" w:fill="auto"/>
            <w:noWrap/>
            <w:vAlign w:val="center"/>
            <w:hideMark/>
          </w:tcPr>
          <w:p w14:paraId="6C3C697E" w14:textId="77777777"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96.868</w:t>
            </w:r>
          </w:p>
        </w:tc>
        <w:tc>
          <w:tcPr>
            <w:tcW w:w="1112" w:type="dxa"/>
            <w:tcBorders>
              <w:top w:val="single" w:sz="4" w:space="0" w:color="auto"/>
            </w:tcBorders>
            <w:shd w:val="clear" w:color="auto" w:fill="auto"/>
            <w:noWrap/>
            <w:vAlign w:val="center"/>
            <w:hideMark/>
          </w:tcPr>
          <w:p w14:paraId="64A807F3" w14:textId="68CC768E"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-22,5%</w:t>
            </w:r>
          </w:p>
        </w:tc>
        <w:tc>
          <w:tcPr>
            <w:tcW w:w="1112" w:type="dxa"/>
            <w:tcBorders>
              <w:top w:val="single" w:sz="4" w:space="0" w:color="auto"/>
            </w:tcBorders>
            <w:shd w:val="clear" w:color="auto" w:fill="auto"/>
            <w:noWrap/>
            <w:vAlign w:val="center"/>
            <w:hideMark/>
          </w:tcPr>
          <w:p w14:paraId="1D45D4D0" w14:textId="171786C3"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-5,8%</w:t>
            </w:r>
          </w:p>
        </w:tc>
        <w:tc>
          <w:tcPr>
            <w:tcW w:w="1040" w:type="dxa"/>
            <w:tcBorders>
              <w:top w:val="single" w:sz="4" w:space="0" w:color="auto"/>
            </w:tcBorders>
            <w:shd w:val="clear" w:color="auto" w:fill="auto"/>
            <w:noWrap/>
            <w:vAlign w:val="center"/>
            <w:hideMark/>
          </w:tcPr>
          <w:p w14:paraId="1B01F9BE" w14:textId="7C99B2F7"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11,6%</w:t>
            </w:r>
          </w:p>
        </w:tc>
        <w:tc>
          <w:tcPr>
            <w:tcW w:w="1112" w:type="dxa"/>
            <w:tcBorders>
              <w:top w:val="single" w:sz="4" w:space="0" w:color="auto"/>
            </w:tcBorders>
            <w:shd w:val="clear" w:color="auto" w:fill="auto"/>
            <w:noWrap/>
            <w:vAlign w:val="center"/>
            <w:hideMark/>
          </w:tcPr>
          <w:p w14:paraId="35D6C11F" w14:textId="142E25A6"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32,8%</w:t>
            </w:r>
          </w:p>
        </w:tc>
        <w:tc>
          <w:tcPr>
            <w:tcW w:w="1112" w:type="dxa"/>
            <w:tcBorders>
              <w:top w:val="single" w:sz="4" w:space="0" w:color="auto"/>
            </w:tcBorders>
            <w:shd w:val="clear" w:color="auto" w:fill="auto"/>
            <w:noWrap/>
            <w:vAlign w:val="center"/>
            <w:hideMark/>
          </w:tcPr>
          <w:p w14:paraId="0ABB869A" w14:textId="2CC9EDC4"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52,</w:t>
            </w:r>
            <w:r w:rsidR="005F0469">
              <w:rPr>
                <w:rFonts w:ascii="Calibri" w:eastAsia="Times New Roman" w:hAnsi="Calibri" w:cs="Calibri"/>
                <w:color w:val="000000"/>
                <w:lang w:eastAsia="pt-BR" w:bidi="he-IL"/>
              </w:rPr>
              <w:t>5</w:t>
            </w:r>
            <w:r w:rsidRPr="00583922">
              <w:rPr>
                <w:rFonts w:ascii="Calibri" w:eastAsia="Times New Roman" w:hAnsi="Calibri" w:cs="Calibri"/>
                <w:color w:val="000000"/>
                <w:lang w:eastAsia="pt-BR" w:bidi="he-IL"/>
              </w:rPr>
              <w:t>%</w:t>
            </w:r>
          </w:p>
        </w:tc>
      </w:tr>
      <w:tr w:rsidR="00583922" w:rsidRPr="00583922" w14:paraId="32EED0E0" w14:textId="77777777" w:rsidTr="00104754">
        <w:trPr>
          <w:trHeight w:val="300"/>
        </w:trPr>
        <w:tc>
          <w:tcPr>
            <w:tcW w:w="1935" w:type="dxa"/>
            <w:shd w:val="clear" w:color="auto" w:fill="auto"/>
            <w:noWrap/>
            <w:vAlign w:val="center"/>
            <w:hideMark/>
          </w:tcPr>
          <w:p w14:paraId="1DD698AC" w14:textId="2CAF2B0A" w:rsidR="00583922" w:rsidRPr="00583922" w:rsidRDefault="005F0469" w:rsidP="005F0469">
            <w:pPr>
              <w:spacing w:after="0" w:line="240" w:lineRule="auto"/>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Livres próprios</w:t>
            </w:r>
          </w:p>
        </w:tc>
        <w:tc>
          <w:tcPr>
            <w:tcW w:w="836" w:type="dxa"/>
            <w:shd w:val="clear" w:color="auto" w:fill="auto"/>
            <w:noWrap/>
            <w:vAlign w:val="center"/>
            <w:hideMark/>
          </w:tcPr>
          <w:p w14:paraId="4CABADEA" w14:textId="77777777"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83.935</w:t>
            </w:r>
          </w:p>
        </w:tc>
        <w:tc>
          <w:tcPr>
            <w:tcW w:w="1112" w:type="dxa"/>
            <w:shd w:val="clear" w:color="auto" w:fill="auto"/>
            <w:noWrap/>
            <w:vAlign w:val="center"/>
            <w:hideMark/>
          </w:tcPr>
          <w:p w14:paraId="713BC305" w14:textId="06ED099E"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-8,2%</w:t>
            </w:r>
          </w:p>
        </w:tc>
        <w:tc>
          <w:tcPr>
            <w:tcW w:w="1112" w:type="dxa"/>
            <w:shd w:val="clear" w:color="auto" w:fill="auto"/>
            <w:noWrap/>
            <w:vAlign w:val="center"/>
            <w:hideMark/>
          </w:tcPr>
          <w:p w14:paraId="1CB58EEE" w14:textId="42CB94C8"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7,5%</w:t>
            </w:r>
          </w:p>
        </w:tc>
        <w:tc>
          <w:tcPr>
            <w:tcW w:w="1040" w:type="dxa"/>
            <w:shd w:val="clear" w:color="auto" w:fill="auto"/>
            <w:noWrap/>
            <w:vAlign w:val="center"/>
            <w:hideMark/>
          </w:tcPr>
          <w:p w14:paraId="7C38FA87" w14:textId="2F739C8D"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19,9%</w:t>
            </w:r>
          </w:p>
        </w:tc>
        <w:tc>
          <w:tcPr>
            <w:tcW w:w="1112" w:type="dxa"/>
            <w:shd w:val="clear" w:color="auto" w:fill="auto"/>
            <w:noWrap/>
            <w:vAlign w:val="center"/>
            <w:hideMark/>
          </w:tcPr>
          <w:p w14:paraId="30F0047B" w14:textId="386EF808"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48,4%</w:t>
            </w:r>
          </w:p>
        </w:tc>
        <w:tc>
          <w:tcPr>
            <w:tcW w:w="1112" w:type="dxa"/>
            <w:shd w:val="clear" w:color="auto" w:fill="auto"/>
            <w:noWrap/>
            <w:vAlign w:val="center"/>
            <w:hideMark/>
          </w:tcPr>
          <w:p w14:paraId="02E8AAD8" w14:textId="59B3400F"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61,2%</w:t>
            </w:r>
          </w:p>
        </w:tc>
      </w:tr>
      <w:tr w:rsidR="00583922" w:rsidRPr="00583922" w14:paraId="2C823188" w14:textId="77777777" w:rsidTr="00104754">
        <w:trPr>
          <w:trHeight w:val="300"/>
        </w:trPr>
        <w:tc>
          <w:tcPr>
            <w:tcW w:w="1935" w:type="dxa"/>
            <w:shd w:val="clear" w:color="auto" w:fill="auto"/>
            <w:noWrap/>
            <w:vAlign w:val="center"/>
            <w:hideMark/>
          </w:tcPr>
          <w:p w14:paraId="0ECFE1E5" w14:textId="6832CC84" w:rsidR="00583922" w:rsidRPr="00583922" w:rsidRDefault="005F0469" w:rsidP="005F0469">
            <w:pPr>
              <w:spacing w:after="0" w:line="240" w:lineRule="auto"/>
              <w:rPr>
                <w:rFonts w:ascii="Calibri" w:eastAsia="Times New Roman" w:hAnsi="Calibri" w:cs="Calibri"/>
                <w:color w:val="000000"/>
                <w:lang w:eastAsia="pt-BR" w:bidi="he-IL"/>
              </w:rPr>
            </w:pPr>
            <w:r>
              <w:rPr>
                <w:rFonts w:ascii="Calibri" w:eastAsia="Times New Roman" w:hAnsi="Calibri" w:cs="Calibri"/>
                <w:color w:val="000000"/>
                <w:lang w:eastAsia="pt-BR" w:bidi="he-IL"/>
              </w:rPr>
              <w:t>V</w:t>
            </w:r>
            <w:r w:rsidRPr="005F0469">
              <w:rPr>
                <w:rFonts w:ascii="Calibri" w:eastAsia="Times New Roman" w:hAnsi="Calibri" w:cs="Calibri"/>
                <w:color w:val="000000"/>
                <w:lang w:eastAsia="pt-BR" w:bidi="he-IL"/>
              </w:rPr>
              <w:t xml:space="preserve">inculados </w:t>
            </w:r>
            <w:r>
              <w:rPr>
                <w:rFonts w:ascii="Calibri" w:eastAsia="Times New Roman" w:hAnsi="Calibri" w:cs="Calibri"/>
                <w:color w:val="000000"/>
                <w:lang w:eastAsia="pt-BR" w:bidi="he-IL"/>
              </w:rPr>
              <w:t>FAT</w:t>
            </w:r>
          </w:p>
        </w:tc>
        <w:tc>
          <w:tcPr>
            <w:tcW w:w="836" w:type="dxa"/>
            <w:shd w:val="clear" w:color="auto" w:fill="auto"/>
            <w:noWrap/>
            <w:vAlign w:val="center"/>
            <w:hideMark/>
          </w:tcPr>
          <w:p w14:paraId="5819C15E" w14:textId="77777777"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12.566</w:t>
            </w:r>
          </w:p>
        </w:tc>
        <w:tc>
          <w:tcPr>
            <w:tcW w:w="1112" w:type="dxa"/>
            <w:shd w:val="clear" w:color="auto" w:fill="auto"/>
            <w:noWrap/>
            <w:vAlign w:val="center"/>
            <w:hideMark/>
          </w:tcPr>
          <w:p w14:paraId="6F1C0F4F" w14:textId="4E96B8AE"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-16,8%</w:t>
            </w:r>
          </w:p>
        </w:tc>
        <w:tc>
          <w:tcPr>
            <w:tcW w:w="1112" w:type="dxa"/>
            <w:shd w:val="clear" w:color="auto" w:fill="auto"/>
            <w:noWrap/>
            <w:vAlign w:val="center"/>
            <w:hideMark/>
          </w:tcPr>
          <w:p w14:paraId="22843393" w14:textId="422FE75C"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3,3%</w:t>
            </w:r>
          </w:p>
        </w:tc>
        <w:tc>
          <w:tcPr>
            <w:tcW w:w="1040" w:type="dxa"/>
            <w:shd w:val="clear" w:color="auto" w:fill="auto"/>
            <w:noWrap/>
            <w:vAlign w:val="center"/>
            <w:hideMark/>
          </w:tcPr>
          <w:p w14:paraId="44BB5B34" w14:textId="01499994"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23,5%</w:t>
            </w:r>
          </w:p>
        </w:tc>
        <w:tc>
          <w:tcPr>
            <w:tcW w:w="1112" w:type="dxa"/>
            <w:shd w:val="clear" w:color="auto" w:fill="auto"/>
            <w:noWrap/>
            <w:vAlign w:val="center"/>
            <w:hideMark/>
          </w:tcPr>
          <w:p w14:paraId="62A6BAB2" w14:textId="5DDB12D9"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34,6%</w:t>
            </w:r>
          </w:p>
        </w:tc>
        <w:tc>
          <w:tcPr>
            <w:tcW w:w="1112" w:type="dxa"/>
            <w:shd w:val="clear" w:color="auto" w:fill="auto"/>
            <w:noWrap/>
            <w:vAlign w:val="center"/>
            <w:hideMark/>
          </w:tcPr>
          <w:p w14:paraId="31553294" w14:textId="3A4C3D27"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52,</w:t>
            </w:r>
            <w:r w:rsidR="005F0469">
              <w:rPr>
                <w:rFonts w:ascii="Calibri" w:eastAsia="Times New Roman" w:hAnsi="Calibri" w:cs="Calibri"/>
                <w:color w:val="000000"/>
                <w:lang w:eastAsia="pt-BR" w:bidi="he-IL"/>
              </w:rPr>
              <w:t>2</w:t>
            </w:r>
            <w:r w:rsidRPr="00583922">
              <w:rPr>
                <w:rFonts w:ascii="Calibri" w:eastAsia="Times New Roman" w:hAnsi="Calibri" w:cs="Calibri"/>
                <w:color w:val="000000"/>
                <w:lang w:eastAsia="pt-BR" w:bidi="he-IL"/>
              </w:rPr>
              <w:t>%</w:t>
            </w:r>
          </w:p>
        </w:tc>
      </w:tr>
      <w:tr w:rsidR="00583922" w:rsidRPr="00583922" w14:paraId="25D3E73B" w14:textId="77777777" w:rsidTr="00104754">
        <w:trPr>
          <w:trHeight w:val="300"/>
        </w:trPr>
        <w:tc>
          <w:tcPr>
            <w:tcW w:w="1935" w:type="dxa"/>
            <w:shd w:val="clear" w:color="auto" w:fill="auto"/>
            <w:noWrap/>
            <w:vAlign w:val="center"/>
            <w:hideMark/>
          </w:tcPr>
          <w:p w14:paraId="19B2F91D" w14:textId="365CB759" w:rsidR="00583922" w:rsidRPr="00583922" w:rsidRDefault="005F0469" w:rsidP="005F0469">
            <w:pPr>
              <w:spacing w:after="0" w:line="240" w:lineRule="auto"/>
              <w:rPr>
                <w:rFonts w:ascii="Calibri" w:eastAsia="Times New Roman" w:hAnsi="Calibri" w:cs="Calibri"/>
                <w:color w:val="000000"/>
                <w:lang w:eastAsia="pt-BR" w:bidi="he-IL"/>
              </w:rPr>
            </w:pPr>
            <w:r>
              <w:rPr>
                <w:rFonts w:ascii="Calibri" w:eastAsia="Times New Roman" w:hAnsi="Calibri" w:cs="Calibri"/>
                <w:color w:val="000000"/>
                <w:lang w:eastAsia="pt-BR" w:bidi="he-IL"/>
              </w:rPr>
              <w:t xml:space="preserve">Não especificado </w:t>
            </w:r>
          </w:p>
        </w:tc>
        <w:tc>
          <w:tcPr>
            <w:tcW w:w="836" w:type="dxa"/>
            <w:shd w:val="clear" w:color="auto" w:fill="auto"/>
            <w:noWrap/>
            <w:vAlign w:val="center"/>
            <w:hideMark/>
          </w:tcPr>
          <w:p w14:paraId="020B84B0" w14:textId="77777777"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1.226</w:t>
            </w:r>
          </w:p>
        </w:tc>
        <w:tc>
          <w:tcPr>
            <w:tcW w:w="1112" w:type="dxa"/>
            <w:shd w:val="clear" w:color="auto" w:fill="auto"/>
            <w:noWrap/>
            <w:vAlign w:val="center"/>
            <w:hideMark/>
          </w:tcPr>
          <w:p w14:paraId="0EEDFB6E" w14:textId="0737D397"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-31,6%</w:t>
            </w:r>
          </w:p>
        </w:tc>
        <w:tc>
          <w:tcPr>
            <w:tcW w:w="1112" w:type="dxa"/>
            <w:shd w:val="clear" w:color="auto" w:fill="auto"/>
            <w:noWrap/>
            <w:vAlign w:val="center"/>
            <w:hideMark/>
          </w:tcPr>
          <w:p w14:paraId="5AD353DF" w14:textId="24393841"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-6,</w:t>
            </w:r>
            <w:r w:rsidR="005F0469">
              <w:rPr>
                <w:rFonts w:ascii="Calibri" w:eastAsia="Times New Roman" w:hAnsi="Calibri" w:cs="Calibri"/>
                <w:color w:val="000000"/>
                <w:lang w:eastAsia="pt-BR" w:bidi="he-IL"/>
              </w:rPr>
              <w:t>4</w:t>
            </w:r>
            <w:r w:rsidRPr="00583922">
              <w:rPr>
                <w:rFonts w:ascii="Calibri" w:eastAsia="Times New Roman" w:hAnsi="Calibri" w:cs="Calibri"/>
                <w:color w:val="000000"/>
                <w:lang w:eastAsia="pt-BR" w:bidi="he-IL"/>
              </w:rPr>
              <w:t>%</w:t>
            </w:r>
          </w:p>
        </w:tc>
        <w:tc>
          <w:tcPr>
            <w:tcW w:w="1040" w:type="dxa"/>
            <w:shd w:val="clear" w:color="auto" w:fill="auto"/>
            <w:noWrap/>
            <w:vAlign w:val="center"/>
            <w:hideMark/>
          </w:tcPr>
          <w:p w14:paraId="78458998" w14:textId="07A9A608"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w:t>
            </w:r>
            <w:r w:rsidR="005F0469">
              <w:rPr>
                <w:rFonts w:ascii="Calibri" w:eastAsia="Times New Roman" w:hAnsi="Calibri" w:cs="Calibri"/>
                <w:color w:val="000000"/>
                <w:lang w:eastAsia="pt-BR" w:bidi="he-IL"/>
              </w:rPr>
              <w:t>5</w:t>
            </w:r>
            <w:r w:rsidRPr="00583922">
              <w:rPr>
                <w:rFonts w:ascii="Calibri" w:eastAsia="Times New Roman" w:hAnsi="Calibri" w:cs="Calibri"/>
                <w:color w:val="000000"/>
                <w:lang w:eastAsia="pt-BR" w:bidi="he-IL"/>
              </w:rPr>
              <w:t>%</w:t>
            </w:r>
          </w:p>
        </w:tc>
        <w:tc>
          <w:tcPr>
            <w:tcW w:w="1112" w:type="dxa"/>
            <w:shd w:val="clear" w:color="auto" w:fill="auto"/>
            <w:noWrap/>
            <w:vAlign w:val="center"/>
            <w:hideMark/>
          </w:tcPr>
          <w:p w14:paraId="1EBC8887" w14:textId="58C6CE09"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20,</w:t>
            </w:r>
            <w:r w:rsidR="005F0469">
              <w:rPr>
                <w:rFonts w:ascii="Calibri" w:eastAsia="Times New Roman" w:hAnsi="Calibri" w:cs="Calibri"/>
                <w:color w:val="000000"/>
                <w:lang w:eastAsia="pt-BR" w:bidi="he-IL"/>
              </w:rPr>
              <w:t>2</w:t>
            </w:r>
            <w:r w:rsidRPr="00583922">
              <w:rPr>
                <w:rFonts w:ascii="Calibri" w:eastAsia="Times New Roman" w:hAnsi="Calibri" w:cs="Calibri"/>
                <w:color w:val="000000"/>
                <w:lang w:eastAsia="pt-BR" w:bidi="he-IL"/>
              </w:rPr>
              <w:t>%</w:t>
            </w:r>
          </w:p>
        </w:tc>
        <w:tc>
          <w:tcPr>
            <w:tcW w:w="1112" w:type="dxa"/>
            <w:shd w:val="clear" w:color="auto" w:fill="auto"/>
            <w:noWrap/>
            <w:vAlign w:val="center"/>
            <w:hideMark/>
          </w:tcPr>
          <w:p w14:paraId="41CE63B5" w14:textId="19D2CE1F"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56,5%</w:t>
            </w:r>
          </w:p>
        </w:tc>
      </w:tr>
      <w:tr w:rsidR="00583922" w:rsidRPr="00583922" w14:paraId="3969BFB2" w14:textId="77777777" w:rsidTr="00104754">
        <w:trPr>
          <w:trHeight w:val="300"/>
        </w:trPr>
        <w:tc>
          <w:tcPr>
            <w:tcW w:w="1935" w:type="dxa"/>
            <w:shd w:val="clear" w:color="auto" w:fill="auto"/>
            <w:noWrap/>
            <w:vAlign w:val="center"/>
            <w:hideMark/>
          </w:tcPr>
          <w:p w14:paraId="4D5A790E" w14:textId="51660B90" w:rsidR="00583922" w:rsidRPr="00583922" w:rsidRDefault="005F0469" w:rsidP="005F0469">
            <w:pPr>
              <w:spacing w:after="0" w:line="240" w:lineRule="auto"/>
              <w:rPr>
                <w:rFonts w:ascii="Calibri" w:eastAsia="Times New Roman" w:hAnsi="Calibri" w:cs="Calibri"/>
                <w:color w:val="000000"/>
                <w:lang w:eastAsia="pt-BR" w:bidi="he-IL"/>
              </w:rPr>
            </w:pPr>
            <w:r>
              <w:rPr>
                <w:rFonts w:ascii="Calibri" w:eastAsia="Times New Roman" w:hAnsi="Calibri" w:cs="Calibri"/>
                <w:color w:val="000000"/>
                <w:lang w:eastAsia="pt-BR" w:bidi="he-IL"/>
              </w:rPr>
              <w:t>V</w:t>
            </w:r>
            <w:r w:rsidRPr="005F0469">
              <w:rPr>
                <w:rFonts w:ascii="Calibri" w:eastAsia="Times New Roman" w:hAnsi="Calibri" w:cs="Calibri"/>
                <w:color w:val="000000"/>
                <w:lang w:eastAsia="pt-BR" w:bidi="he-IL"/>
              </w:rPr>
              <w:t xml:space="preserve">inculados </w:t>
            </w:r>
            <w:r>
              <w:rPr>
                <w:rFonts w:ascii="Calibri" w:eastAsia="Times New Roman" w:hAnsi="Calibri" w:cs="Calibri"/>
                <w:color w:val="000000"/>
                <w:lang w:eastAsia="pt-BR" w:bidi="he-IL"/>
              </w:rPr>
              <w:t>C</w:t>
            </w:r>
            <w:r w:rsidRPr="00583922">
              <w:rPr>
                <w:rFonts w:ascii="Calibri" w:eastAsia="Times New Roman" w:hAnsi="Calibri" w:cs="Calibri"/>
                <w:color w:val="000000"/>
                <w:lang w:eastAsia="pt-BR" w:bidi="he-IL"/>
              </w:rPr>
              <w:t>lima</w:t>
            </w:r>
          </w:p>
        </w:tc>
        <w:tc>
          <w:tcPr>
            <w:tcW w:w="836" w:type="dxa"/>
            <w:shd w:val="clear" w:color="auto" w:fill="auto"/>
            <w:noWrap/>
            <w:vAlign w:val="center"/>
            <w:hideMark/>
          </w:tcPr>
          <w:p w14:paraId="22E2F7E3" w14:textId="77777777"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217</w:t>
            </w:r>
          </w:p>
        </w:tc>
        <w:tc>
          <w:tcPr>
            <w:tcW w:w="1112" w:type="dxa"/>
            <w:shd w:val="clear" w:color="auto" w:fill="auto"/>
            <w:noWrap/>
            <w:vAlign w:val="center"/>
            <w:hideMark/>
          </w:tcPr>
          <w:p w14:paraId="784C8538" w14:textId="03BCFC4F"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-17,8%</w:t>
            </w:r>
          </w:p>
        </w:tc>
        <w:tc>
          <w:tcPr>
            <w:tcW w:w="1112" w:type="dxa"/>
            <w:shd w:val="clear" w:color="auto" w:fill="auto"/>
            <w:noWrap/>
            <w:vAlign w:val="center"/>
            <w:hideMark/>
          </w:tcPr>
          <w:p w14:paraId="2A9FB9AB" w14:textId="31DA747B"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-2,9%</w:t>
            </w:r>
          </w:p>
        </w:tc>
        <w:tc>
          <w:tcPr>
            <w:tcW w:w="1040" w:type="dxa"/>
            <w:shd w:val="clear" w:color="auto" w:fill="auto"/>
            <w:noWrap/>
            <w:vAlign w:val="center"/>
            <w:hideMark/>
          </w:tcPr>
          <w:p w14:paraId="4CA2A691" w14:textId="23AECC70"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8,</w:t>
            </w:r>
            <w:r w:rsidR="005F0469">
              <w:rPr>
                <w:rFonts w:ascii="Calibri" w:eastAsia="Times New Roman" w:hAnsi="Calibri" w:cs="Calibri"/>
                <w:color w:val="000000"/>
                <w:lang w:eastAsia="pt-BR" w:bidi="he-IL"/>
              </w:rPr>
              <w:t>5</w:t>
            </w:r>
            <w:r w:rsidRPr="00583922">
              <w:rPr>
                <w:rFonts w:ascii="Calibri" w:eastAsia="Times New Roman" w:hAnsi="Calibri" w:cs="Calibri"/>
                <w:color w:val="000000"/>
                <w:lang w:eastAsia="pt-BR" w:bidi="he-IL"/>
              </w:rPr>
              <w:t>%</w:t>
            </w:r>
          </w:p>
        </w:tc>
        <w:tc>
          <w:tcPr>
            <w:tcW w:w="1112" w:type="dxa"/>
            <w:shd w:val="clear" w:color="auto" w:fill="auto"/>
            <w:noWrap/>
            <w:vAlign w:val="center"/>
            <w:hideMark/>
          </w:tcPr>
          <w:p w14:paraId="16DCF387" w14:textId="2913181F"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25,8%</w:t>
            </w:r>
          </w:p>
        </w:tc>
        <w:tc>
          <w:tcPr>
            <w:tcW w:w="1112" w:type="dxa"/>
            <w:shd w:val="clear" w:color="auto" w:fill="auto"/>
            <w:noWrap/>
            <w:vAlign w:val="center"/>
            <w:hideMark/>
          </w:tcPr>
          <w:p w14:paraId="35773645" w14:textId="75C52FC3"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41,</w:t>
            </w:r>
            <w:r w:rsidR="005F0469">
              <w:rPr>
                <w:rFonts w:ascii="Calibri" w:eastAsia="Times New Roman" w:hAnsi="Calibri" w:cs="Calibri"/>
                <w:color w:val="000000"/>
                <w:lang w:eastAsia="pt-BR" w:bidi="he-IL"/>
              </w:rPr>
              <w:t>9</w:t>
            </w:r>
            <w:r w:rsidRPr="00583922">
              <w:rPr>
                <w:rFonts w:ascii="Calibri" w:eastAsia="Times New Roman" w:hAnsi="Calibri" w:cs="Calibri"/>
                <w:color w:val="000000"/>
                <w:lang w:eastAsia="pt-BR" w:bidi="he-IL"/>
              </w:rPr>
              <w:t>%</w:t>
            </w:r>
          </w:p>
        </w:tc>
      </w:tr>
      <w:tr w:rsidR="00583922" w:rsidRPr="00583922" w14:paraId="0BC842E5" w14:textId="77777777" w:rsidTr="00104754">
        <w:trPr>
          <w:trHeight w:val="300"/>
        </w:trPr>
        <w:tc>
          <w:tcPr>
            <w:tcW w:w="1935" w:type="dxa"/>
            <w:shd w:val="clear" w:color="auto" w:fill="auto"/>
            <w:noWrap/>
            <w:vAlign w:val="center"/>
            <w:hideMark/>
          </w:tcPr>
          <w:p w14:paraId="28EBE635" w14:textId="7FFB4058" w:rsidR="00583922" w:rsidRPr="00583922" w:rsidRDefault="005F0469" w:rsidP="005F0469">
            <w:pPr>
              <w:spacing w:after="0" w:line="240" w:lineRule="auto"/>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 xml:space="preserve">Livres </w:t>
            </w:r>
            <w:r>
              <w:rPr>
                <w:rFonts w:ascii="Calibri" w:eastAsia="Times New Roman" w:hAnsi="Calibri" w:cs="Calibri"/>
                <w:color w:val="000000"/>
                <w:lang w:eastAsia="pt-BR" w:bidi="he-IL"/>
              </w:rPr>
              <w:t>T</w:t>
            </w:r>
            <w:r w:rsidRPr="00583922">
              <w:rPr>
                <w:rFonts w:ascii="Calibri" w:eastAsia="Times New Roman" w:hAnsi="Calibri" w:cs="Calibri"/>
                <w:color w:val="000000"/>
                <w:lang w:eastAsia="pt-BR" w:bidi="he-IL"/>
              </w:rPr>
              <w:t>esouro</w:t>
            </w:r>
          </w:p>
        </w:tc>
        <w:tc>
          <w:tcPr>
            <w:tcW w:w="836" w:type="dxa"/>
            <w:shd w:val="clear" w:color="auto" w:fill="auto"/>
            <w:noWrap/>
            <w:vAlign w:val="center"/>
            <w:hideMark/>
          </w:tcPr>
          <w:p w14:paraId="7CEB5139" w14:textId="77777777"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53</w:t>
            </w:r>
          </w:p>
        </w:tc>
        <w:tc>
          <w:tcPr>
            <w:tcW w:w="1112" w:type="dxa"/>
            <w:shd w:val="clear" w:color="auto" w:fill="auto"/>
            <w:noWrap/>
            <w:vAlign w:val="center"/>
            <w:hideMark/>
          </w:tcPr>
          <w:p w14:paraId="6A97ECF8" w14:textId="04281BE0"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-9,3%</w:t>
            </w:r>
          </w:p>
        </w:tc>
        <w:tc>
          <w:tcPr>
            <w:tcW w:w="1112" w:type="dxa"/>
            <w:shd w:val="clear" w:color="auto" w:fill="auto"/>
            <w:noWrap/>
            <w:vAlign w:val="center"/>
            <w:hideMark/>
          </w:tcPr>
          <w:p w14:paraId="616ACA45" w14:textId="1A07A1E4"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-3,</w:t>
            </w:r>
            <w:r w:rsidR="005F0469">
              <w:rPr>
                <w:rFonts w:ascii="Calibri" w:eastAsia="Times New Roman" w:hAnsi="Calibri" w:cs="Calibri"/>
                <w:color w:val="000000"/>
                <w:lang w:eastAsia="pt-BR" w:bidi="he-IL"/>
              </w:rPr>
              <w:t>4</w:t>
            </w:r>
            <w:r w:rsidRPr="00583922">
              <w:rPr>
                <w:rFonts w:ascii="Calibri" w:eastAsia="Times New Roman" w:hAnsi="Calibri" w:cs="Calibri"/>
                <w:color w:val="000000"/>
                <w:lang w:eastAsia="pt-BR" w:bidi="he-IL"/>
              </w:rPr>
              <w:t>%</w:t>
            </w:r>
          </w:p>
        </w:tc>
        <w:tc>
          <w:tcPr>
            <w:tcW w:w="1040" w:type="dxa"/>
            <w:shd w:val="clear" w:color="auto" w:fill="auto"/>
            <w:noWrap/>
            <w:vAlign w:val="center"/>
            <w:hideMark/>
          </w:tcPr>
          <w:p w14:paraId="58DEB3A6" w14:textId="03E5A1C2"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7,9%</w:t>
            </w:r>
          </w:p>
        </w:tc>
        <w:tc>
          <w:tcPr>
            <w:tcW w:w="1112" w:type="dxa"/>
            <w:shd w:val="clear" w:color="auto" w:fill="auto"/>
            <w:noWrap/>
            <w:vAlign w:val="center"/>
            <w:hideMark/>
          </w:tcPr>
          <w:p w14:paraId="729EC76F" w14:textId="5E561FE9"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9</w:t>
            </w:r>
            <w:r w:rsidR="005F0469">
              <w:rPr>
                <w:rFonts w:ascii="Calibri" w:eastAsia="Times New Roman" w:hAnsi="Calibri" w:cs="Calibri"/>
                <w:color w:val="000000"/>
                <w:lang w:eastAsia="pt-BR" w:bidi="he-IL"/>
              </w:rPr>
              <w:t>,0</w:t>
            </w:r>
            <w:r w:rsidRPr="00583922">
              <w:rPr>
                <w:rFonts w:ascii="Calibri" w:eastAsia="Times New Roman" w:hAnsi="Calibri" w:cs="Calibri"/>
                <w:color w:val="000000"/>
                <w:lang w:eastAsia="pt-BR" w:bidi="he-IL"/>
              </w:rPr>
              <w:t>%</w:t>
            </w:r>
          </w:p>
        </w:tc>
        <w:tc>
          <w:tcPr>
            <w:tcW w:w="1112" w:type="dxa"/>
            <w:shd w:val="clear" w:color="auto" w:fill="auto"/>
            <w:noWrap/>
            <w:vAlign w:val="center"/>
            <w:hideMark/>
          </w:tcPr>
          <w:p w14:paraId="5055EF40" w14:textId="28C635DD" w:rsidR="00583922" w:rsidRPr="00583922" w:rsidRDefault="00583922" w:rsidP="00104754">
            <w:pPr>
              <w:spacing w:after="0" w:line="240" w:lineRule="auto"/>
              <w:jc w:val="center"/>
              <w:rPr>
                <w:rFonts w:ascii="Calibri" w:eastAsia="Times New Roman" w:hAnsi="Calibri" w:cs="Calibri"/>
                <w:color w:val="000000"/>
                <w:lang w:eastAsia="pt-BR" w:bidi="he-IL"/>
              </w:rPr>
            </w:pPr>
            <w:r w:rsidRPr="00583922">
              <w:rPr>
                <w:rFonts w:ascii="Calibri" w:eastAsia="Times New Roman" w:hAnsi="Calibri" w:cs="Calibri"/>
                <w:color w:val="000000"/>
                <w:lang w:eastAsia="pt-BR" w:bidi="he-IL"/>
              </w:rPr>
              <w:t>46,6%</w:t>
            </w:r>
          </w:p>
        </w:tc>
      </w:tr>
    </w:tbl>
    <w:p w14:paraId="0CF78A3B" w14:textId="77777777" w:rsidR="009369D7" w:rsidRPr="00B12D00" w:rsidRDefault="009369D7" w:rsidP="009369D7">
      <w:pPr>
        <w:jc w:val="both"/>
        <w:rPr>
          <w:rFonts w:cstheme="minorHAnsi"/>
          <w:lang w:val="en-US"/>
        </w:rPr>
      </w:pPr>
      <w:r w:rsidRPr="00B12D00">
        <w:rPr>
          <w:rFonts w:cstheme="minorHAnsi"/>
          <w:lang w:val="en-US"/>
        </w:rPr>
        <w:t>Fonte: Elaboração do autor</w:t>
      </w:r>
    </w:p>
    <w:p w14:paraId="3649688D" w14:textId="77777777" w:rsidR="00583922" w:rsidRDefault="00583922" w:rsidP="00A76200">
      <w:pPr>
        <w:jc w:val="both"/>
        <w:rPr>
          <w:rFonts w:cstheme="minorHAnsi"/>
          <w:sz w:val="24"/>
          <w:szCs w:val="24"/>
        </w:rPr>
      </w:pPr>
    </w:p>
    <w:p w14:paraId="631473C2" w14:textId="77777777" w:rsidR="00FC4FAD" w:rsidRDefault="00FC4FAD" w:rsidP="00A76200">
      <w:pPr>
        <w:jc w:val="both"/>
        <w:rPr>
          <w:rFonts w:cstheme="minorHAnsi"/>
          <w:sz w:val="24"/>
          <w:szCs w:val="24"/>
        </w:rPr>
      </w:pPr>
    </w:p>
    <w:p w14:paraId="6BF16486" w14:textId="77777777" w:rsidR="00583922" w:rsidRPr="00B12D00" w:rsidRDefault="00583922" w:rsidP="00A76200">
      <w:pPr>
        <w:jc w:val="both"/>
        <w:rPr>
          <w:rFonts w:cstheme="minorHAnsi"/>
          <w:sz w:val="24"/>
          <w:szCs w:val="24"/>
        </w:rPr>
      </w:pPr>
    </w:p>
    <w:p w14:paraId="60F4CFEC" w14:textId="33B63375" w:rsidR="0043159A" w:rsidRPr="000A0F90" w:rsidRDefault="0043159A" w:rsidP="0043159A">
      <w:pPr>
        <w:pStyle w:val="PargrafodaLista"/>
        <w:numPr>
          <w:ilvl w:val="0"/>
          <w:numId w:val="2"/>
        </w:numPr>
        <w:jc w:val="both"/>
        <w:rPr>
          <w:rFonts w:cstheme="minorHAnsi"/>
          <w:b/>
          <w:bCs/>
        </w:rPr>
      </w:pPr>
      <w:r>
        <w:rPr>
          <w:rFonts w:cstheme="minorHAnsi"/>
          <w:b/>
          <w:bCs/>
        </w:rPr>
        <w:t xml:space="preserve">Proposta de Cálculo do RAROC utilizando Spread Estimado </w:t>
      </w:r>
      <w:r w:rsidRPr="000A0F90">
        <w:rPr>
          <w:rFonts w:cstheme="minorHAnsi"/>
          <w:b/>
          <w:bCs/>
        </w:rPr>
        <w:t xml:space="preserve"> </w:t>
      </w:r>
    </w:p>
    <w:p w14:paraId="2AFACA23" w14:textId="3E27A4AC" w:rsidR="00C6617C" w:rsidRDefault="00C6617C" w:rsidP="00C6617C">
      <w:pPr>
        <w:ind w:firstLine="360"/>
        <w:jc w:val="both"/>
        <w:rPr>
          <w:rFonts w:cstheme="minorHAnsi"/>
        </w:rPr>
      </w:pPr>
      <w:r w:rsidRPr="005F0469">
        <w:rPr>
          <w:rFonts w:cstheme="minorHAnsi"/>
        </w:rPr>
        <w:t xml:space="preserve">A obtenção do RAROC apresentada é baseada no cálculo do montante nominal, </w:t>
      </w:r>
      <w:r>
        <w:rPr>
          <w:rFonts w:cstheme="minorHAnsi"/>
        </w:rPr>
        <w:t xml:space="preserve">utilizando </w:t>
      </w:r>
      <w:r>
        <w:rPr>
          <w:rFonts w:cstheme="minorHAnsi"/>
        </w:rPr>
        <w:t>o método empírico para determinação do Valor sob Risco (</w:t>
      </w:r>
      <w:r w:rsidRPr="005F0469">
        <w:rPr>
          <w:rFonts w:cstheme="minorHAnsi"/>
          <w:i/>
          <w:iCs/>
        </w:rPr>
        <w:t>VaR</w:t>
      </w:r>
      <w:r>
        <w:rPr>
          <w:rFonts w:cstheme="minorHAnsi"/>
        </w:rPr>
        <w:t>)</w:t>
      </w:r>
      <w:r>
        <w:rPr>
          <w:rFonts w:cstheme="minorHAnsi"/>
        </w:rPr>
        <w:t>, conforme demonstrado na seção anterior</w:t>
      </w:r>
      <w:r>
        <w:rPr>
          <w:rFonts w:cstheme="minorHAnsi"/>
        </w:rPr>
        <w:t xml:space="preserve">. </w:t>
      </w:r>
      <w:r>
        <w:rPr>
          <w:rFonts w:cstheme="minorHAnsi"/>
        </w:rPr>
        <w:t xml:space="preserve">Entretanto, algumas suposições são necessárias para obtenção do Spread aproximado, tal como o custo de captação, e percentual do custo das operações. Uma forma de eliminar a necessidade de suposições a respeito do custo de captação e custos operacionais é utilizar diretamente o Spread bancário fornecido pelo BNDES. </w:t>
      </w:r>
    </w:p>
    <w:p w14:paraId="20A43AD1" w14:textId="68E2B6F6" w:rsidR="0043159A" w:rsidRDefault="00C6617C" w:rsidP="00C6617C">
      <w:pPr>
        <w:ind w:firstLine="360"/>
        <w:jc w:val="both"/>
        <w:rPr>
          <w:rFonts w:cstheme="minorHAnsi"/>
        </w:rPr>
      </w:pPr>
      <w:r>
        <w:rPr>
          <w:rFonts w:cstheme="minorHAnsi"/>
        </w:rPr>
        <w:t xml:space="preserve">A seção 3 mostra que o Spred fornecido diretamente pelo BNDES encontra-se disponível para os anos de 2016 e 2017. Por outro lado, as operações de crédito avaliadas neste trabalho correspondem ao período de 2017 a 2022. Desta forma, a intercessão entre as duas fontes de informações é muito baixa. Assim, uma possibilidade de calcular o RAROC é expandir os valores preditos pelo algoritmo de aprendizado de máquina para o período de 2017 a 2022. Isto é possível desde que haja disponibilidade </w:t>
      </w:r>
      <w:r w:rsidR="00FC4FAD">
        <w:rPr>
          <w:rFonts w:cstheme="minorHAnsi"/>
        </w:rPr>
        <w:t xml:space="preserve">das </w:t>
      </w:r>
      <w:r w:rsidRPr="00FC4FAD">
        <w:rPr>
          <w:rFonts w:cstheme="minorHAnsi"/>
          <w:i/>
          <w:iCs/>
        </w:rPr>
        <w:t>features</w:t>
      </w:r>
      <w:r>
        <w:rPr>
          <w:rFonts w:cstheme="minorHAnsi"/>
        </w:rPr>
        <w:t xml:space="preserve"> utilizadas pelo modelo</w:t>
      </w:r>
      <w:r w:rsidR="00FC4FAD">
        <w:rPr>
          <w:rFonts w:cstheme="minorHAnsi"/>
        </w:rPr>
        <w:t xml:space="preserve"> treinado também nos demais anos. Felizmente as informações de porte da empresa, taxa de juros, prazo, valor das operações, informações contábeis dos bancos envolvidos são informações disponíveis em todo período de 2017 a 2022. Assim, uma sugestão para trabalhos futuros é utilizar valores preditos do Spread bancário obtidos a partir de um modelo de aprendizado de máquina, e assim eliminar quaisquer pressupostos do cálculo do Spread bancário. </w:t>
      </w:r>
    </w:p>
    <w:p w14:paraId="67E3E490" w14:textId="77777777" w:rsidR="00C6617C" w:rsidRPr="00B12D00" w:rsidRDefault="00C6617C" w:rsidP="00C6617C">
      <w:pPr>
        <w:ind w:firstLine="360"/>
        <w:jc w:val="both"/>
        <w:rPr>
          <w:rFonts w:cstheme="minorHAnsi"/>
          <w:sz w:val="24"/>
          <w:szCs w:val="24"/>
        </w:rPr>
      </w:pPr>
    </w:p>
    <w:p w14:paraId="1CFF0087" w14:textId="77777777" w:rsidR="00A76200" w:rsidRPr="00B12D00" w:rsidRDefault="00A76200" w:rsidP="000A0F90">
      <w:pPr>
        <w:pStyle w:val="PargrafodaLista"/>
        <w:numPr>
          <w:ilvl w:val="0"/>
          <w:numId w:val="2"/>
        </w:numPr>
        <w:rPr>
          <w:rFonts w:cstheme="minorHAnsi"/>
          <w:sz w:val="24"/>
          <w:szCs w:val="24"/>
        </w:rPr>
      </w:pPr>
      <w:r w:rsidRPr="00B12D00">
        <w:rPr>
          <w:rFonts w:cstheme="minorHAnsi"/>
          <w:b/>
          <w:bCs/>
          <w:sz w:val="24"/>
          <w:szCs w:val="24"/>
        </w:rPr>
        <w:t>Conclusão</w:t>
      </w:r>
    </w:p>
    <w:p w14:paraId="7DC3EFF0" w14:textId="77777777" w:rsidR="00A76200" w:rsidRPr="00B12D00" w:rsidRDefault="00A76200" w:rsidP="00A76200">
      <w:pPr>
        <w:ind w:firstLine="360"/>
        <w:jc w:val="both"/>
        <w:rPr>
          <w:rFonts w:cstheme="minorHAnsi"/>
          <w:sz w:val="24"/>
          <w:szCs w:val="24"/>
        </w:rPr>
      </w:pPr>
    </w:p>
    <w:p w14:paraId="5B5DBE39" w14:textId="423282FC" w:rsidR="00FC4FAD" w:rsidRPr="00FC4FAD" w:rsidRDefault="00FC4FAD" w:rsidP="00FC4FAD">
      <w:pPr>
        <w:ind w:firstLine="360"/>
        <w:jc w:val="both"/>
        <w:rPr>
          <w:rFonts w:cstheme="minorHAnsi"/>
        </w:rPr>
      </w:pPr>
      <w:r>
        <w:rPr>
          <w:rFonts w:cstheme="minorHAnsi"/>
        </w:rPr>
        <w:t xml:space="preserve">Neste trabalho utilizamos uma estimativa do risco de crédito para obter o indicador RAROC das operações de créditos das operações do BNDES. </w:t>
      </w:r>
      <w:r w:rsidRPr="00FC4FAD">
        <w:rPr>
          <w:rFonts w:cstheme="minorHAnsi"/>
        </w:rPr>
        <w:t xml:space="preserve">No que diz respeito ao nível de risco das operações, a maioria delas possui valores positivos de RAROC, </w:t>
      </w:r>
      <w:r>
        <w:rPr>
          <w:rFonts w:cstheme="minorHAnsi"/>
        </w:rPr>
        <w:t xml:space="preserve">entretanto com </w:t>
      </w:r>
      <w:r w:rsidRPr="00FC4FAD">
        <w:rPr>
          <w:rFonts w:cstheme="minorHAnsi"/>
        </w:rPr>
        <w:t xml:space="preserve">margens de Spread </w:t>
      </w:r>
      <w:r>
        <w:rPr>
          <w:rFonts w:cstheme="minorHAnsi"/>
        </w:rPr>
        <w:t>e RAROC</w:t>
      </w:r>
      <w:r w:rsidRPr="00FC4FAD">
        <w:rPr>
          <w:rFonts w:cstheme="minorHAnsi"/>
        </w:rPr>
        <w:t xml:space="preserve">. Operações de menor risco são mais vantajosas, pois representam menor risco e requerem menor provisão de capital. </w:t>
      </w:r>
      <w:r>
        <w:rPr>
          <w:rFonts w:cstheme="minorHAnsi"/>
        </w:rPr>
        <w:t>Observamos ainda algumas o</w:t>
      </w:r>
      <w:r w:rsidRPr="00FC4FAD">
        <w:rPr>
          <w:rFonts w:cstheme="minorHAnsi"/>
        </w:rPr>
        <w:t xml:space="preserve">perações </w:t>
      </w:r>
      <w:r>
        <w:rPr>
          <w:rFonts w:cstheme="minorHAnsi"/>
        </w:rPr>
        <w:t xml:space="preserve">que geram prejuízo, tais como as operações </w:t>
      </w:r>
      <w:r w:rsidRPr="00FC4FAD">
        <w:rPr>
          <w:rFonts w:cstheme="minorHAnsi"/>
        </w:rPr>
        <w:t xml:space="preserve">risco </w:t>
      </w:r>
      <w:r>
        <w:rPr>
          <w:rFonts w:cstheme="minorHAnsi"/>
        </w:rPr>
        <w:t xml:space="preserve">H e algumas operações nível </w:t>
      </w:r>
      <w:r w:rsidRPr="00FC4FAD">
        <w:rPr>
          <w:rFonts w:cstheme="minorHAnsi"/>
        </w:rPr>
        <w:t xml:space="preserve">de risco G. </w:t>
      </w:r>
    </w:p>
    <w:p w14:paraId="551A91F3" w14:textId="1264790B" w:rsidR="00FC4FAD" w:rsidRPr="00FC4FAD" w:rsidRDefault="00FC4FAD" w:rsidP="009C3E23">
      <w:pPr>
        <w:ind w:firstLine="360"/>
        <w:jc w:val="both"/>
        <w:rPr>
          <w:rFonts w:cstheme="minorHAnsi"/>
        </w:rPr>
      </w:pPr>
      <w:r w:rsidRPr="00FC4FAD">
        <w:rPr>
          <w:rFonts w:cstheme="minorHAnsi"/>
        </w:rPr>
        <w:t xml:space="preserve">Ao avaliar o RAROC de acordo com o porte das empresas, observa-se que existem operações negativas em todas as categorias de tamanho. No entanto, apenas 1% das operações de microempresas têm RAROC negativo. </w:t>
      </w:r>
      <w:r w:rsidR="009C3E23">
        <w:rPr>
          <w:rFonts w:cstheme="minorHAnsi"/>
        </w:rPr>
        <w:t xml:space="preserve">As </w:t>
      </w:r>
      <w:r w:rsidRPr="00FC4FAD">
        <w:rPr>
          <w:rFonts w:cstheme="minorHAnsi"/>
        </w:rPr>
        <w:t>operações com micro e pequenas empresas são mais vantajosas em termos de exposição ao risco, devido aos menores valores de contrato e menor capital exposto ao risco em comparação com as grandes empresas.</w:t>
      </w:r>
    </w:p>
    <w:p w14:paraId="60D8D388" w14:textId="6F80542B" w:rsidR="00A76200" w:rsidRPr="00C6617C" w:rsidRDefault="009C3E23" w:rsidP="009C3E23">
      <w:pPr>
        <w:ind w:firstLine="360"/>
        <w:jc w:val="both"/>
        <w:rPr>
          <w:rFonts w:cstheme="minorHAnsi"/>
        </w:rPr>
      </w:pPr>
      <w:r>
        <w:rPr>
          <w:rFonts w:cstheme="minorHAnsi"/>
        </w:rPr>
        <w:t xml:space="preserve">Por fim ressaltamos a importância das </w:t>
      </w:r>
      <w:r w:rsidR="00A76200" w:rsidRPr="00C6617C">
        <w:rPr>
          <w:rFonts w:cstheme="minorHAnsi"/>
        </w:rPr>
        <w:t xml:space="preserve">instituições financeiras possuem uma rentabilidade compatível com a própria sustentabilidade, o que é exercido através da cobrança de spreads bancários. </w:t>
      </w:r>
      <w:r>
        <w:rPr>
          <w:rFonts w:cstheme="minorHAnsi"/>
        </w:rPr>
        <w:t xml:space="preserve">Mesmo que obtenção de lucro não seja a finalidade principal do BNDES, ainda é necessário que haja uma cobrança de </w:t>
      </w:r>
      <w:r w:rsidR="00A76200" w:rsidRPr="00C6617C">
        <w:rPr>
          <w:rFonts w:cstheme="minorHAnsi"/>
        </w:rPr>
        <w:t xml:space="preserve">spreads bancários </w:t>
      </w:r>
      <w:r>
        <w:rPr>
          <w:rFonts w:cstheme="minorHAnsi"/>
        </w:rPr>
        <w:t xml:space="preserve">minimamente compatível com os custos de captação e operacionais </w:t>
      </w:r>
      <w:r w:rsidR="00A76200" w:rsidRPr="00C6617C">
        <w:rPr>
          <w:rFonts w:cstheme="minorHAnsi"/>
        </w:rPr>
        <w:t xml:space="preserve">do BNDES. </w:t>
      </w:r>
    </w:p>
    <w:p w14:paraId="1997F22F" w14:textId="77777777" w:rsidR="00A76200" w:rsidRPr="00B12D00" w:rsidRDefault="00A76200" w:rsidP="00A76200">
      <w:pPr>
        <w:jc w:val="both"/>
        <w:rPr>
          <w:rFonts w:cstheme="minorHAnsi"/>
          <w:sz w:val="24"/>
          <w:szCs w:val="24"/>
        </w:rPr>
      </w:pPr>
    </w:p>
    <w:p w14:paraId="73D018B6" w14:textId="77777777" w:rsidR="00A76200" w:rsidRPr="00B12D00" w:rsidRDefault="00A76200" w:rsidP="00F64AFF">
      <w:pPr>
        <w:rPr>
          <w:rFonts w:cstheme="minorHAnsi"/>
          <w:color w:val="222222"/>
          <w:sz w:val="24"/>
          <w:szCs w:val="24"/>
          <w:shd w:val="clear" w:color="auto" w:fill="FFFFFF"/>
        </w:rPr>
      </w:pPr>
    </w:p>
    <w:p w14:paraId="2347D62B" w14:textId="77777777" w:rsidR="004158BB" w:rsidRPr="00B12D00" w:rsidRDefault="004158BB" w:rsidP="00F302FC">
      <w:pPr>
        <w:rPr>
          <w:rFonts w:cstheme="minorHAnsi"/>
          <w:sz w:val="24"/>
          <w:szCs w:val="24"/>
        </w:rPr>
      </w:pPr>
      <w:bookmarkStart w:id="7" w:name="_Hlk13671344"/>
    </w:p>
    <w:p w14:paraId="2AA1E86F" w14:textId="16DBFD8E" w:rsidR="007042CD" w:rsidRPr="00B12D00" w:rsidRDefault="007042CD" w:rsidP="00F302FC">
      <w:pPr>
        <w:rPr>
          <w:rFonts w:cstheme="minorHAnsi"/>
          <w:b/>
          <w:bCs/>
          <w:sz w:val="24"/>
          <w:szCs w:val="24"/>
        </w:rPr>
      </w:pPr>
      <w:r w:rsidRPr="00B12D00">
        <w:rPr>
          <w:rFonts w:cstheme="minorHAnsi"/>
          <w:b/>
          <w:bCs/>
          <w:sz w:val="24"/>
          <w:szCs w:val="24"/>
        </w:rPr>
        <w:lastRenderedPageBreak/>
        <w:t xml:space="preserve">Referências Bibliográficas </w:t>
      </w:r>
    </w:p>
    <w:p w14:paraId="55346C9E" w14:textId="77777777" w:rsidR="00F230FD" w:rsidRDefault="00F230FD" w:rsidP="00F230FD">
      <w:pPr>
        <w:spacing w:before="120" w:line="240" w:lineRule="auto"/>
        <w:jc w:val="both"/>
        <w:rPr>
          <w:rFonts w:cstheme="minorHAnsi"/>
          <w:sz w:val="24"/>
          <w:szCs w:val="24"/>
        </w:rPr>
      </w:pPr>
    </w:p>
    <w:p w14:paraId="5DFAC9AB" w14:textId="1665A9EB" w:rsidR="00F230FD" w:rsidRPr="00FC160E" w:rsidRDefault="00F230FD" w:rsidP="00F230FD">
      <w:pPr>
        <w:spacing w:before="120" w:line="240" w:lineRule="auto"/>
        <w:jc w:val="both"/>
        <w:rPr>
          <w:rFonts w:cstheme="minorHAnsi"/>
          <w:sz w:val="24"/>
          <w:szCs w:val="24"/>
        </w:rPr>
      </w:pPr>
      <w:r w:rsidRPr="00FC160E">
        <w:rPr>
          <w:rFonts w:cstheme="minorHAnsi"/>
          <w:sz w:val="24"/>
          <w:szCs w:val="24"/>
        </w:rPr>
        <w:t>Dantas, J., Alves, J., Medeiros, O., Capelletto, L. Determinantes do Spread Bancário Ex-Post no Mercado Brasileiro. Banco Central do Brasil, Texto para Discussão 242, 2011.</w:t>
      </w:r>
    </w:p>
    <w:p w14:paraId="79178567" w14:textId="77777777" w:rsidR="00F230FD" w:rsidRDefault="00F230FD" w:rsidP="00F230FD">
      <w:pPr>
        <w:spacing w:before="120" w:line="240" w:lineRule="auto"/>
        <w:jc w:val="both"/>
        <w:rPr>
          <w:rFonts w:cstheme="minorHAnsi"/>
          <w:sz w:val="24"/>
          <w:szCs w:val="24"/>
        </w:rPr>
      </w:pPr>
      <w:r w:rsidRPr="00FC160E">
        <w:rPr>
          <w:rFonts w:cstheme="minorHAnsi"/>
          <w:sz w:val="24"/>
          <w:szCs w:val="24"/>
        </w:rPr>
        <w:t>Dias, V. Ichikava, E. Uma análise empírica da relação entre spread e risco. Revista do BNDES, n. 36, 2011.</w:t>
      </w:r>
    </w:p>
    <w:bookmarkEnd w:id="7"/>
    <w:p w14:paraId="4E2CCA41" w14:textId="035C6A81" w:rsidR="00F302FC" w:rsidRDefault="00342865" w:rsidP="00F230FD">
      <w:pPr>
        <w:spacing w:before="120" w:line="240" w:lineRule="auto"/>
        <w:jc w:val="both"/>
        <w:rPr>
          <w:rFonts w:cstheme="minorHAnsi"/>
          <w:sz w:val="24"/>
          <w:szCs w:val="24"/>
        </w:rPr>
      </w:pPr>
      <w:r w:rsidRPr="00FC160E">
        <w:rPr>
          <w:rFonts w:cstheme="minorHAnsi"/>
          <w:sz w:val="24"/>
          <w:szCs w:val="24"/>
        </w:rPr>
        <w:t>Enomoto, N. S. Uma Contribuição à Gestão do Risco de Crédito Baseado no Modelo RARIC – Retorno ajustado ao risco do capital. Dissertação de Mestrado. Escola Brasileira de Administração Pública e de Empresas, 2002.</w:t>
      </w:r>
    </w:p>
    <w:p w14:paraId="3CA422CA" w14:textId="77777777" w:rsidR="00F230FD" w:rsidRPr="00F230FD" w:rsidRDefault="00F230FD" w:rsidP="00F230FD">
      <w:pPr>
        <w:spacing w:before="120" w:line="240" w:lineRule="auto"/>
        <w:jc w:val="both"/>
        <w:rPr>
          <w:rFonts w:cstheme="minorHAnsi"/>
          <w:sz w:val="24"/>
          <w:szCs w:val="24"/>
          <w:lang w:val="en-US"/>
        </w:rPr>
      </w:pPr>
      <w:r w:rsidRPr="00F230FD">
        <w:rPr>
          <w:rFonts w:cstheme="minorHAnsi"/>
          <w:sz w:val="24"/>
          <w:szCs w:val="24"/>
          <w:lang w:val="en-US"/>
        </w:rPr>
        <w:t xml:space="preserve">Hawtrey, K., Liang, H. Bank interest margins in OECD countries. The North American Journal of Economics and Finance. V. 19 (3), p. 249-260, 2008. </w:t>
      </w:r>
    </w:p>
    <w:p w14:paraId="067AE698" w14:textId="77B0CE85" w:rsidR="00F230FD" w:rsidRPr="00F230FD" w:rsidRDefault="00F230FD" w:rsidP="00F230FD">
      <w:pPr>
        <w:spacing w:before="120" w:line="240" w:lineRule="auto"/>
        <w:jc w:val="both"/>
        <w:rPr>
          <w:rFonts w:cstheme="minorHAnsi"/>
          <w:sz w:val="24"/>
          <w:szCs w:val="24"/>
          <w:lang w:val="en-US"/>
        </w:rPr>
      </w:pPr>
      <w:r w:rsidRPr="00F230FD">
        <w:rPr>
          <w:rFonts w:cstheme="minorHAnsi"/>
          <w:sz w:val="24"/>
          <w:szCs w:val="24"/>
          <w:lang w:val="en-US"/>
        </w:rPr>
        <w:t>Jorion, Philippe. Value-at-Risk: the new benchmark for controlling market risk. New York: McGraw-Hill, 1997.</w:t>
      </w:r>
    </w:p>
    <w:p w14:paraId="4502685C" w14:textId="0D477495" w:rsidR="00F230FD" w:rsidRDefault="00F230FD" w:rsidP="00F230FD">
      <w:pPr>
        <w:spacing w:before="120" w:line="240" w:lineRule="auto"/>
        <w:jc w:val="both"/>
        <w:rPr>
          <w:rFonts w:cstheme="minorHAnsi"/>
          <w:sz w:val="24"/>
          <w:szCs w:val="24"/>
          <w:lang w:val="en-US"/>
        </w:rPr>
      </w:pPr>
      <w:r w:rsidRPr="00F230FD">
        <w:rPr>
          <w:rFonts w:cstheme="minorHAnsi"/>
          <w:sz w:val="24"/>
          <w:szCs w:val="24"/>
          <w:lang w:val="en-US"/>
        </w:rPr>
        <w:t>Jorion, P. Value-at-Risk: The new benchmark for managing financial risk. 2 edition. Chicago: Richard Irwin. 2000.</w:t>
      </w:r>
    </w:p>
    <w:p w14:paraId="7B72AE69" w14:textId="3CD71BEA" w:rsidR="003B57BB" w:rsidRPr="003B57BB" w:rsidRDefault="003B57BB" w:rsidP="003B57BB">
      <w:pPr>
        <w:spacing w:before="120" w:line="240" w:lineRule="auto"/>
        <w:jc w:val="both"/>
        <w:rPr>
          <w:rFonts w:cstheme="minorHAnsi"/>
          <w:sz w:val="24"/>
          <w:szCs w:val="24"/>
        </w:rPr>
      </w:pPr>
      <w:r w:rsidRPr="003B57BB">
        <w:rPr>
          <w:rFonts w:cstheme="minorHAnsi"/>
          <w:sz w:val="24"/>
          <w:szCs w:val="24"/>
          <w:lang w:val="en-US"/>
        </w:rPr>
        <w:t>Kim,</w:t>
      </w:r>
      <w:r>
        <w:rPr>
          <w:rFonts w:cstheme="minorHAnsi"/>
          <w:sz w:val="24"/>
          <w:szCs w:val="24"/>
          <w:lang w:val="en-US"/>
        </w:rPr>
        <w:t xml:space="preserve"> M.,</w:t>
      </w:r>
      <w:r w:rsidRPr="003B57BB">
        <w:rPr>
          <w:rFonts w:cstheme="minorHAnsi"/>
          <w:sz w:val="24"/>
          <w:szCs w:val="24"/>
          <w:lang w:val="en-US"/>
        </w:rPr>
        <w:t xml:space="preserve"> Lee</w:t>
      </w:r>
      <w:r>
        <w:rPr>
          <w:rFonts w:cstheme="minorHAnsi"/>
          <w:sz w:val="24"/>
          <w:szCs w:val="24"/>
          <w:lang w:val="en-US"/>
        </w:rPr>
        <w:t xml:space="preserve">, S. </w:t>
      </w:r>
      <w:r w:rsidRPr="003B57BB">
        <w:rPr>
          <w:rFonts w:cstheme="minorHAnsi"/>
          <w:sz w:val="24"/>
          <w:szCs w:val="24"/>
          <w:lang w:val="en-US"/>
        </w:rPr>
        <w:t>Nonlinear expectile regression with application to Value-at-Risk and expected shortfall estimation</w:t>
      </w:r>
      <w:r>
        <w:rPr>
          <w:rFonts w:cstheme="minorHAnsi"/>
          <w:sz w:val="24"/>
          <w:szCs w:val="24"/>
          <w:lang w:val="en-US"/>
        </w:rPr>
        <w:t xml:space="preserve">. </w:t>
      </w:r>
      <w:r w:rsidRPr="003B57BB">
        <w:rPr>
          <w:rFonts w:cstheme="minorHAnsi"/>
          <w:sz w:val="24"/>
          <w:szCs w:val="24"/>
        </w:rPr>
        <w:t>Computational Statistics &amp; Data Analysis, V. 94, P. 1-19, 2016.</w:t>
      </w:r>
      <w:r>
        <w:rPr>
          <w:rFonts w:cstheme="minorHAnsi"/>
          <w:sz w:val="24"/>
          <w:szCs w:val="24"/>
        </w:rPr>
        <w:t xml:space="preserve"> Disponível em: </w:t>
      </w:r>
      <w:r w:rsidRPr="003B57BB">
        <w:rPr>
          <w:rFonts w:cstheme="minorHAnsi"/>
          <w:sz w:val="24"/>
          <w:szCs w:val="24"/>
        </w:rPr>
        <w:t>https://doi.org/10.1016/j.csda.2015.07.011</w:t>
      </w:r>
    </w:p>
    <w:p w14:paraId="0B6E8CE4" w14:textId="68FDAF3A" w:rsidR="004158BB" w:rsidRPr="00FC160E" w:rsidRDefault="004158BB" w:rsidP="00F230FD">
      <w:pPr>
        <w:spacing w:before="120" w:line="240" w:lineRule="auto"/>
        <w:jc w:val="both"/>
        <w:rPr>
          <w:rFonts w:cstheme="minorHAnsi"/>
          <w:sz w:val="24"/>
          <w:szCs w:val="24"/>
        </w:rPr>
      </w:pPr>
      <w:r w:rsidRPr="00FC160E">
        <w:rPr>
          <w:rFonts w:cstheme="minorHAnsi"/>
          <w:sz w:val="24"/>
          <w:szCs w:val="24"/>
        </w:rPr>
        <w:t xml:space="preserve">Mósca, M. F. M. Criação de valor, gestão do risco e as medidas de performance ajustadas ao risco: aplicação do RAROC – </w:t>
      </w:r>
      <w:r w:rsidRPr="00FC160E">
        <w:rPr>
          <w:rFonts w:cstheme="minorHAnsi"/>
          <w:i/>
          <w:iCs/>
          <w:sz w:val="24"/>
          <w:szCs w:val="24"/>
        </w:rPr>
        <w:t>Risk Adjusted Return on Capital</w:t>
      </w:r>
      <w:r w:rsidRPr="00FC160E">
        <w:rPr>
          <w:rFonts w:cstheme="minorHAnsi"/>
          <w:sz w:val="24"/>
          <w:szCs w:val="24"/>
        </w:rPr>
        <w:t xml:space="preserve"> – ao grupo crédito agrícola. Dissertação de Mestrado. IPL. Lisboa, 2011.</w:t>
      </w:r>
    </w:p>
    <w:p w14:paraId="4095538F" w14:textId="3AC2729C" w:rsidR="00BB3800" w:rsidRPr="00FC160E" w:rsidRDefault="00BB3800" w:rsidP="00F230FD">
      <w:pPr>
        <w:spacing w:before="120" w:line="240" w:lineRule="auto"/>
        <w:jc w:val="both"/>
        <w:rPr>
          <w:rFonts w:cstheme="minorHAnsi"/>
          <w:sz w:val="24"/>
          <w:szCs w:val="24"/>
        </w:rPr>
      </w:pPr>
      <w:r w:rsidRPr="00FC160E">
        <w:rPr>
          <w:rFonts w:cstheme="minorHAnsi"/>
          <w:sz w:val="24"/>
          <w:szCs w:val="24"/>
        </w:rPr>
        <w:t xml:space="preserve">Pimentel, C. L. Implementação do </w:t>
      </w:r>
      <w:r w:rsidRPr="00FC160E">
        <w:rPr>
          <w:rFonts w:cstheme="minorHAnsi"/>
          <w:i/>
          <w:iCs/>
          <w:sz w:val="24"/>
          <w:szCs w:val="24"/>
        </w:rPr>
        <w:t xml:space="preserve">Risk Adjusted Return </w:t>
      </w:r>
      <w:r w:rsidR="004158BB" w:rsidRPr="00FC160E">
        <w:rPr>
          <w:rFonts w:cstheme="minorHAnsi"/>
          <w:i/>
          <w:iCs/>
          <w:sz w:val="24"/>
          <w:szCs w:val="24"/>
        </w:rPr>
        <w:t xml:space="preserve">on </w:t>
      </w:r>
      <w:r w:rsidRPr="00FC160E">
        <w:rPr>
          <w:rFonts w:cstheme="minorHAnsi"/>
          <w:i/>
          <w:iCs/>
          <w:sz w:val="24"/>
          <w:szCs w:val="24"/>
        </w:rPr>
        <w:t>Capital</w:t>
      </w:r>
      <w:r w:rsidRPr="00FC160E">
        <w:rPr>
          <w:rFonts w:cstheme="minorHAnsi"/>
          <w:sz w:val="24"/>
          <w:szCs w:val="24"/>
        </w:rPr>
        <w:t xml:space="preserve"> (Raroc)</w:t>
      </w:r>
      <w:r w:rsidR="0078021B" w:rsidRPr="00FC160E">
        <w:rPr>
          <w:rFonts w:cstheme="minorHAnsi"/>
          <w:sz w:val="24"/>
          <w:szCs w:val="24"/>
        </w:rPr>
        <w:t xml:space="preserve">. </w:t>
      </w:r>
      <w:r w:rsidRPr="00FC160E">
        <w:rPr>
          <w:rFonts w:cstheme="minorHAnsi"/>
          <w:sz w:val="24"/>
          <w:szCs w:val="24"/>
        </w:rPr>
        <w:t>Instrumento de Apoio na Gestão do Risco e Avaliação da Performance</w:t>
      </w:r>
      <w:r w:rsidR="0078021B" w:rsidRPr="00FC160E">
        <w:rPr>
          <w:rFonts w:cstheme="minorHAnsi"/>
          <w:sz w:val="24"/>
          <w:szCs w:val="24"/>
        </w:rPr>
        <w:t xml:space="preserve">. </w:t>
      </w:r>
      <w:r w:rsidR="00342865" w:rsidRPr="00FC160E">
        <w:rPr>
          <w:rFonts w:cstheme="minorHAnsi"/>
          <w:sz w:val="24"/>
          <w:szCs w:val="24"/>
        </w:rPr>
        <w:t xml:space="preserve">Dissertação de </w:t>
      </w:r>
      <w:r w:rsidRPr="00FC160E">
        <w:rPr>
          <w:rFonts w:cstheme="minorHAnsi"/>
          <w:sz w:val="24"/>
          <w:szCs w:val="24"/>
        </w:rPr>
        <w:t>Mestrado em Gestão</w:t>
      </w:r>
      <w:r w:rsidR="0078021B" w:rsidRPr="00FC160E">
        <w:rPr>
          <w:rFonts w:cstheme="minorHAnsi"/>
          <w:sz w:val="24"/>
          <w:szCs w:val="24"/>
        </w:rPr>
        <w:t xml:space="preserve">. </w:t>
      </w:r>
      <w:r w:rsidRPr="00FC160E">
        <w:rPr>
          <w:rFonts w:cstheme="minorHAnsi"/>
          <w:sz w:val="24"/>
          <w:szCs w:val="24"/>
        </w:rPr>
        <w:t xml:space="preserve">ISCTE, </w:t>
      </w:r>
      <w:r w:rsidR="0078021B" w:rsidRPr="00FC160E">
        <w:rPr>
          <w:rFonts w:cstheme="minorHAnsi"/>
          <w:sz w:val="24"/>
          <w:szCs w:val="24"/>
        </w:rPr>
        <w:t xml:space="preserve">Instituto Universitário de Lisboa, </w:t>
      </w:r>
      <w:r w:rsidRPr="00FC160E">
        <w:rPr>
          <w:rFonts w:cstheme="minorHAnsi"/>
          <w:sz w:val="24"/>
          <w:szCs w:val="24"/>
        </w:rPr>
        <w:t>Departamento de Finanças</w:t>
      </w:r>
      <w:r w:rsidR="00B164E1" w:rsidRPr="00FC160E">
        <w:rPr>
          <w:rFonts w:cstheme="minorHAnsi"/>
          <w:sz w:val="24"/>
          <w:szCs w:val="24"/>
        </w:rPr>
        <w:t>.</w:t>
      </w:r>
    </w:p>
    <w:p w14:paraId="67FBE696" w14:textId="6D0CDB8D" w:rsidR="00F302FC" w:rsidRPr="00FC160E" w:rsidRDefault="00F230FD" w:rsidP="00F230FD">
      <w:pPr>
        <w:spacing w:before="120" w:line="240" w:lineRule="auto"/>
        <w:jc w:val="both"/>
        <w:rPr>
          <w:rFonts w:cstheme="minorHAnsi"/>
          <w:sz w:val="24"/>
          <w:szCs w:val="24"/>
        </w:rPr>
      </w:pPr>
      <w:r w:rsidRPr="00FC160E">
        <w:rPr>
          <w:rFonts w:cstheme="minorHAnsi"/>
          <w:sz w:val="24"/>
          <w:szCs w:val="24"/>
        </w:rPr>
        <w:t>Saunders</w:t>
      </w:r>
      <w:r w:rsidR="00B164E1" w:rsidRPr="00FC160E">
        <w:rPr>
          <w:rFonts w:cstheme="minorHAnsi"/>
          <w:sz w:val="24"/>
          <w:szCs w:val="24"/>
        </w:rPr>
        <w:t>, Anthony. Administração de instituições financeiras. São Paulo: Atlas, 2000.</w:t>
      </w:r>
    </w:p>
    <w:p w14:paraId="4BB565C7" w14:textId="67383369" w:rsidR="00A76200" w:rsidRPr="00FC160E" w:rsidRDefault="009C45D3" w:rsidP="00F230FD">
      <w:pPr>
        <w:spacing w:before="120" w:line="240" w:lineRule="auto"/>
        <w:jc w:val="both"/>
        <w:rPr>
          <w:rFonts w:cstheme="minorHAnsi"/>
          <w:sz w:val="24"/>
          <w:szCs w:val="24"/>
        </w:rPr>
      </w:pPr>
      <w:r w:rsidRPr="00FC160E">
        <w:rPr>
          <w:rFonts w:cstheme="minorHAnsi"/>
          <w:sz w:val="24"/>
          <w:szCs w:val="24"/>
        </w:rPr>
        <w:t>Schneider, F</w:t>
      </w:r>
      <w:r w:rsidR="004158BB" w:rsidRPr="00FC160E">
        <w:rPr>
          <w:rFonts w:cstheme="minorHAnsi"/>
          <w:sz w:val="24"/>
          <w:szCs w:val="24"/>
        </w:rPr>
        <w:t xml:space="preserve">. </w:t>
      </w:r>
      <w:r w:rsidRPr="00FC160E">
        <w:rPr>
          <w:rFonts w:cstheme="minorHAnsi"/>
          <w:sz w:val="24"/>
          <w:szCs w:val="24"/>
        </w:rPr>
        <w:t xml:space="preserve">F. Utilização do </w:t>
      </w:r>
      <w:r w:rsidR="004158BB" w:rsidRPr="00FC160E">
        <w:rPr>
          <w:rFonts w:cstheme="minorHAnsi"/>
          <w:sz w:val="24"/>
          <w:szCs w:val="24"/>
        </w:rPr>
        <w:t>M</w:t>
      </w:r>
      <w:r w:rsidRPr="00FC160E">
        <w:rPr>
          <w:rFonts w:cstheme="minorHAnsi"/>
          <w:sz w:val="24"/>
          <w:szCs w:val="24"/>
        </w:rPr>
        <w:t xml:space="preserve">odelo RAROC na </w:t>
      </w:r>
      <w:r w:rsidR="004158BB" w:rsidRPr="00FC160E">
        <w:rPr>
          <w:rFonts w:cstheme="minorHAnsi"/>
          <w:sz w:val="24"/>
          <w:szCs w:val="24"/>
        </w:rPr>
        <w:t>G</w:t>
      </w:r>
      <w:r w:rsidRPr="00FC160E">
        <w:rPr>
          <w:rFonts w:cstheme="minorHAnsi"/>
          <w:sz w:val="24"/>
          <w:szCs w:val="24"/>
        </w:rPr>
        <w:t xml:space="preserve">estão do </w:t>
      </w:r>
      <w:r w:rsidR="004158BB" w:rsidRPr="00FC160E">
        <w:rPr>
          <w:rFonts w:cstheme="minorHAnsi"/>
          <w:sz w:val="24"/>
          <w:szCs w:val="24"/>
        </w:rPr>
        <w:t>R</w:t>
      </w:r>
      <w:r w:rsidRPr="00FC160E">
        <w:rPr>
          <w:rFonts w:cstheme="minorHAnsi"/>
          <w:sz w:val="24"/>
          <w:szCs w:val="24"/>
        </w:rPr>
        <w:t xml:space="preserve">isco de </w:t>
      </w:r>
      <w:r w:rsidR="004158BB" w:rsidRPr="00FC160E">
        <w:rPr>
          <w:rFonts w:cstheme="minorHAnsi"/>
          <w:sz w:val="24"/>
          <w:szCs w:val="24"/>
        </w:rPr>
        <w:t>C</w:t>
      </w:r>
      <w:r w:rsidRPr="00FC160E">
        <w:rPr>
          <w:rFonts w:cstheme="minorHAnsi"/>
          <w:sz w:val="24"/>
          <w:szCs w:val="24"/>
        </w:rPr>
        <w:t>rédito</w:t>
      </w:r>
      <w:r w:rsidR="004158BB" w:rsidRPr="00FC160E">
        <w:rPr>
          <w:rFonts w:cstheme="minorHAnsi"/>
          <w:sz w:val="24"/>
          <w:szCs w:val="24"/>
        </w:rPr>
        <w:t xml:space="preserve">. </w:t>
      </w:r>
      <w:r w:rsidRPr="00FC160E">
        <w:rPr>
          <w:rFonts w:cstheme="minorHAnsi"/>
          <w:sz w:val="24"/>
          <w:szCs w:val="24"/>
        </w:rPr>
        <w:t xml:space="preserve">Universidade Federal do Rio Grande do Sul. Escola de </w:t>
      </w:r>
      <w:r w:rsidR="004158BB" w:rsidRPr="00FC160E">
        <w:rPr>
          <w:rFonts w:cstheme="minorHAnsi"/>
          <w:sz w:val="24"/>
          <w:szCs w:val="24"/>
        </w:rPr>
        <w:t>A</w:t>
      </w:r>
      <w:r w:rsidRPr="00FC160E">
        <w:rPr>
          <w:rFonts w:cstheme="minorHAnsi"/>
          <w:sz w:val="24"/>
          <w:szCs w:val="24"/>
        </w:rPr>
        <w:t>dministração. Curso de Especialização em Finanças - Turma 2013.</w:t>
      </w:r>
    </w:p>
    <w:p w14:paraId="7C4F7F19" w14:textId="77777777" w:rsidR="00A76200" w:rsidRPr="00FC160E" w:rsidRDefault="00A76200" w:rsidP="00F230FD">
      <w:pPr>
        <w:spacing w:before="120" w:line="240" w:lineRule="auto"/>
        <w:jc w:val="both"/>
        <w:rPr>
          <w:rFonts w:cstheme="minorHAnsi"/>
          <w:sz w:val="24"/>
          <w:szCs w:val="24"/>
          <w:lang w:val="en-US"/>
        </w:rPr>
      </w:pPr>
      <w:r w:rsidRPr="001164EE">
        <w:rPr>
          <w:rFonts w:cstheme="minorHAnsi"/>
          <w:sz w:val="24"/>
          <w:szCs w:val="24"/>
          <w:lang w:val="en-US"/>
        </w:rPr>
        <w:t xml:space="preserve">Hastie, T. Tibshirani, R. Friedman, J. The Elements of Statistical Learning. Data Mining, Inference and Prediction. </w:t>
      </w:r>
      <w:r w:rsidRPr="00FC160E">
        <w:rPr>
          <w:rFonts w:cstheme="minorHAnsi"/>
          <w:sz w:val="24"/>
          <w:szCs w:val="24"/>
          <w:lang w:val="en-US"/>
        </w:rPr>
        <w:t>Springer Series in Statistics. 2Ed., 2001.</w:t>
      </w:r>
    </w:p>
    <w:p w14:paraId="116EA550" w14:textId="77777777" w:rsidR="00A76200" w:rsidRPr="001164EE" w:rsidRDefault="00A76200" w:rsidP="00A76200">
      <w:pPr>
        <w:rPr>
          <w:rFonts w:cstheme="minorHAnsi"/>
          <w:color w:val="222222"/>
          <w:sz w:val="24"/>
          <w:szCs w:val="24"/>
          <w:shd w:val="clear" w:color="auto" w:fill="FFFFFF"/>
          <w:lang w:val="en-US"/>
        </w:rPr>
      </w:pPr>
    </w:p>
    <w:p w14:paraId="35EA4DA6" w14:textId="77777777" w:rsidR="007E037F" w:rsidRPr="001164EE" w:rsidRDefault="007E037F" w:rsidP="007E037F">
      <w:pPr>
        <w:rPr>
          <w:rFonts w:cstheme="minorHAnsi"/>
          <w:sz w:val="24"/>
          <w:szCs w:val="24"/>
          <w:lang w:val="en-US"/>
        </w:rPr>
      </w:pPr>
    </w:p>
    <w:sectPr w:rsidR="007E037F" w:rsidRPr="001164EE" w:rsidSect="005A407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5B901" w14:textId="77777777" w:rsidR="00C577DD" w:rsidRDefault="00C577DD" w:rsidP="0010387A">
      <w:pPr>
        <w:spacing w:after="0" w:line="240" w:lineRule="auto"/>
      </w:pPr>
      <w:r>
        <w:separator/>
      </w:r>
    </w:p>
  </w:endnote>
  <w:endnote w:type="continuationSeparator" w:id="0">
    <w:p w14:paraId="145DD683" w14:textId="77777777" w:rsidR="00C577DD" w:rsidRDefault="00C577DD" w:rsidP="00103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649FC" w14:textId="77777777" w:rsidR="00C577DD" w:rsidRDefault="00C577DD" w:rsidP="0010387A">
      <w:pPr>
        <w:spacing w:after="0" w:line="240" w:lineRule="auto"/>
      </w:pPr>
      <w:r>
        <w:separator/>
      </w:r>
    </w:p>
  </w:footnote>
  <w:footnote w:type="continuationSeparator" w:id="0">
    <w:p w14:paraId="1DBEDA36" w14:textId="77777777" w:rsidR="00C577DD" w:rsidRDefault="00C577DD" w:rsidP="00103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C6"/>
    <w:multiLevelType w:val="hybridMultilevel"/>
    <w:tmpl w:val="4418B2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811038"/>
    <w:multiLevelType w:val="hybridMultilevel"/>
    <w:tmpl w:val="EB908B48"/>
    <w:lvl w:ilvl="0" w:tplc="851885A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FBB765C"/>
    <w:multiLevelType w:val="hybridMultilevel"/>
    <w:tmpl w:val="4418B2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A8D3FB9"/>
    <w:multiLevelType w:val="hybridMultilevel"/>
    <w:tmpl w:val="BF5E33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2DF33E4"/>
    <w:multiLevelType w:val="hybridMultilevel"/>
    <w:tmpl w:val="1EA28B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56322D8"/>
    <w:multiLevelType w:val="hybridMultilevel"/>
    <w:tmpl w:val="C97082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62746944">
    <w:abstractNumId w:val="3"/>
  </w:num>
  <w:num w:numId="2" w16cid:durableId="1531189836">
    <w:abstractNumId w:val="2"/>
  </w:num>
  <w:num w:numId="3" w16cid:durableId="451093163">
    <w:abstractNumId w:val="5"/>
  </w:num>
  <w:num w:numId="4" w16cid:durableId="125584865">
    <w:abstractNumId w:val="4"/>
  </w:num>
  <w:num w:numId="5" w16cid:durableId="1250389154">
    <w:abstractNumId w:val="1"/>
  </w:num>
  <w:num w:numId="6" w16cid:durableId="54028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7A"/>
    <w:rsid w:val="000124D2"/>
    <w:rsid w:val="00053DE0"/>
    <w:rsid w:val="000A0F90"/>
    <w:rsid w:val="0010387A"/>
    <w:rsid w:val="00104754"/>
    <w:rsid w:val="001164EE"/>
    <w:rsid w:val="0013017B"/>
    <w:rsid w:val="001E388B"/>
    <w:rsid w:val="002458E6"/>
    <w:rsid w:val="002515F8"/>
    <w:rsid w:val="00262509"/>
    <w:rsid w:val="002A1AAE"/>
    <w:rsid w:val="002C5CE7"/>
    <w:rsid w:val="002E25DF"/>
    <w:rsid w:val="0030592A"/>
    <w:rsid w:val="00307AA6"/>
    <w:rsid w:val="00324D50"/>
    <w:rsid w:val="00342865"/>
    <w:rsid w:val="00392D85"/>
    <w:rsid w:val="00396193"/>
    <w:rsid w:val="003B0B69"/>
    <w:rsid w:val="003B57BB"/>
    <w:rsid w:val="003D031A"/>
    <w:rsid w:val="003D3DD7"/>
    <w:rsid w:val="004158BB"/>
    <w:rsid w:val="0043159A"/>
    <w:rsid w:val="00451825"/>
    <w:rsid w:val="004F7611"/>
    <w:rsid w:val="00500C2C"/>
    <w:rsid w:val="00503FEB"/>
    <w:rsid w:val="00505690"/>
    <w:rsid w:val="0051559D"/>
    <w:rsid w:val="00545096"/>
    <w:rsid w:val="00546F8D"/>
    <w:rsid w:val="00583922"/>
    <w:rsid w:val="005A407B"/>
    <w:rsid w:val="005F0469"/>
    <w:rsid w:val="005F23CA"/>
    <w:rsid w:val="005F5B72"/>
    <w:rsid w:val="0063523E"/>
    <w:rsid w:val="00641432"/>
    <w:rsid w:val="006452F6"/>
    <w:rsid w:val="00656EB6"/>
    <w:rsid w:val="007042CD"/>
    <w:rsid w:val="007268C0"/>
    <w:rsid w:val="0078021B"/>
    <w:rsid w:val="007D1E3C"/>
    <w:rsid w:val="007E037F"/>
    <w:rsid w:val="007E3F39"/>
    <w:rsid w:val="00860798"/>
    <w:rsid w:val="008C31C5"/>
    <w:rsid w:val="00910181"/>
    <w:rsid w:val="009369D7"/>
    <w:rsid w:val="00937126"/>
    <w:rsid w:val="00954C9A"/>
    <w:rsid w:val="009A26BC"/>
    <w:rsid w:val="009C3E23"/>
    <w:rsid w:val="009C45D3"/>
    <w:rsid w:val="009F20D7"/>
    <w:rsid w:val="00A22FE0"/>
    <w:rsid w:val="00A26B83"/>
    <w:rsid w:val="00A52699"/>
    <w:rsid w:val="00A76200"/>
    <w:rsid w:val="00AA740D"/>
    <w:rsid w:val="00AD538F"/>
    <w:rsid w:val="00AE66CA"/>
    <w:rsid w:val="00B12D00"/>
    <w:rsid w:val="00B164E1"/>
    <w:rsid w:val="00B335B5"/>
    <w:rsid w:val="00B65A8F"/>
    <w:rsid w:val="00B72355"/>
    <w:rsid w:val="00BB3800"/>
    <w:rsid w:val="00C577DD"/>
    <w:rsid w:val="00C6617C"/>
    <w:rsid w:val="00C95517"/>
    <w:rsid w:val="00CA427F"/>
    <w:rsid w:val="00D90732"/>
    <w:rsid w:val="00DD2902"/>
    <w:rsid w:val="00EC1E55"/>
    <w:rsid w:val="00EC3F8B"/>
    <w:rsid w:val="00F21F63"/>
    <w:rsid w:val="00F230FD"/>
    <w:rsid w:val="00F302FC"/>
    <w:rsid w:val="00F64AFF"/>
    <w:rsid w:val="00FA1A8C"/>
    <w:rsid w:val="00FC160E"/>
    <w:rsid w:val="00FC4FAD"/>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E7A40"/>
  <w15:chartTrackingRefBased/>
  <w15:docId w15:val="{E3F5C042-D551-4EDD-8889-D457F61A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0387A"/>
    <w:rPr>
      <w:color w:val="808080"/>
    </w:rPr>
  </w:style>
  <w:style w:type="paragraph" w:styleId="PargrafodaLista">
    <w:name w:val="List Paragraph"/>
    <w:basedOn w:val="Normal"/>
    <w:uiPriority w:val="34"/>
    <w:qFormat/>
    <w:rsid w:val="00F64AFF"/>
    <w:pPr>
      <w:ind w:left="720"/>
      <w:contextualSpacing/>
    </w:pPr>
  </w:style>
  <w:style w:type="table" w:styleId="Tabelacomgrade">
    <w:name w:val="Table Grid"/>
    <w:basedOn w:val="Tabelanormal"/>
    <w:uiPriority w:val="39"/>
    <w:rsid w:val="0025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A76200"/>
    <w:rPr>
      <w:sz w:val="16"/>
      <w:szCs w:val="16"/>
    </w:rPr>
  </w:style>
  <w:style w:type="paragraph" w:styleId="Textodecomentrio">
    <w:name w:val="annotation text"/>
    <w:basedOn w:val="Normal"/>
    <w:link w:val="TextodecomentrioChar"/>
    <w:uiPriority w:val="99"/>
    <w:semiHidden/>
    <w:unhideWhenUsed/>
    <w:rsid w:val="00A7620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6200"/>
    <w:rPr>
      <w:sz w:val="20"/>
      <w:szCs w:val="20"/>
    </w:rPr>
  </w:style>
  <w:style w:type="paragraph" w:styleId="Assuntodocomentrio">
    <w:name w:val="annotation subject"/>
    <w:basedOn w:val="Textodecomentrio"/>
    <w:next w:val="Textodecomentrio"/>
    <w:link w:val="AssuntodocomentrioChar"/>
    <w:uiPriority w:val="99"/>
    <w:semiHidden/>
    <w:unhideWhenUsed/>
    <w:rsid w:val="00A76200"/>
    <w:rPr>
      <w:b/>
      <w:bCs/>
    </w:rPr>
  </w:style>
  <w:style w:type="character" w:customStyle="1" w:styleId="AssuntodocomentrioChar">
    <w:name w:val="Assunto do comentário Char"/>
    <w:basedOn w:val="TextodecomentrioChar"/>
    <w:link w:val="Assuntodocomentrio"/>
    <w:uiPriority w:val="99"/>
    <w:semiHidden/>
    <w:rsid w:val="00A76200"/>
    <w:rPr>
      <w:b/>
      <w:bCs/>
      <w:sz w:val="20"/>
      <w:szCs w:val="20"/>
    </w:rPr>
  </w:style>
  <w:style w:type="character" w:styleId="Hyperlink">
    <w:name w:val="Hyperlink"/>
    <w:basedOn w:val="Fontepargpadro"/>
    <w:uiPriority w:val="99"/>
    <w:unhideWhenUsed/>
    <w:rsid w:val="00A76200"/>
    <w:rPr>
      <w:color w:val="0563C1" w:themeColor="hyperlink"/>
      <w:u w:val="single"/>
    </w:rPr>
  </w:style>
  <w:style w:type="paragraph" w:styleId="Legenda">
    <w:name w:val="caption"/>
    <w:basedOn w:val="Normal"/>
    <w:next w:val="Normal"/>
    <w:uiPriority w:val="35"/>
    <w:unhideWhenUsed/>
    <w:qFormat/>
    <w:rsid w:val="00A76200"/>
    <w:pPr>
      <w:spacing w:after="200" w:line="240" w:lineRule="auto"/>
    </w:pPr>
    <w:rPr>
      <w:i/>
      <w:iCs/>
      <w:color w:val="44546A" w:themeColor="text2"/>
      <w:sz w:val="18"/>
      <w:szCs w:val="18"/>
    </w:rPr>
  </w:style>
  <w:style w:type="paragraph" w:styleId="Pr-formataoHTML">
    <w:name w:val="HTML Preformatted"/>
    <w:basedOn w:val="Normal"/>
    <w:link w:val="Pr-formataoHTMLChar"/>
    <w:uiPriority w:val="99"/>
    <w:semiHidden/>
    <w:unhideWhenUsed/>
    <w:rsid w:val="00A7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76200"/>
    <w:rPr>
      <w:rFonts w:ascii="Courier New" w:eastAsia="Times New Roman" w:hAnsi="Courier New" w:cs="Courier New"/>
      <w:sz w:val="20"/>
      <w:szCs w:val="20"/>
      <w:lang w:eastAsia="pt-BR"/>
    </w:rPr>
  </w:style>
  <w:style w:type="character" w:styleId="MenoPendente">
    <w:name w:val="Unresolved Mention"/>
    <w:basedOn w:val="Fontepargpadro"/>
    <w:uiPriority w:val="99"/>
    <w:semiHidden/>
    <w:unhideWhenUsed/>
    <w:rsid w:val="00A76200"/>
    <w:rPr>
      <w:color w:val="605E5C"/>
      <w:shd w:val="clear" w:color="auto" w:fill="E1DFDD"/>
    </w:rPr>
  </w:style>
  <w:style w:type="paragraph" w:styleId="Textodenotaderodap">
    <w:name w:val="footnote text"/>
    <w:basedOn w:val="Normal"/>
    <w:link w:val="TextodenotaderodapChar"/>
    <w:uiPriority w:val="99"/>
    <w:semiHidden/>
    <w:unhideWhenUsed/>
    <w:rsid w:val="00A7620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76200"/>
    <w:rPr>
      <w:sz w:val="20"/>
      <w:szCs w:val="20"/>
    </w:rPr>
  </w:style>
  <w:style w:type="character" w:styleId="Refdenotaderodap">
    <w:name w:val="footnote reference"/>
    <w:basedOn w:val="Fontepargpadro"/>
    <w:uiPriority w:val="99"/>
    <w:semiHidden/>
    <w:unhideWhenUsed/>
    <w:rsid w:val="00A76200"/>
    <w:rPr>
      <w:vertAlign w:val="superscript"/>
    </w:rPr>
  </w:style>
  <w:style w:type="paragraph" w:styleId="Ttulo">
    <w:name w:val="Title"/>
    <w:basedOn w:val="Normal"/>
    <w:next w:val="Normal"/>
    <w:link w:val="TtuloChar"/>
    <w:uiPriority w:val="10"/>
    <w:qFormat/>
    <w:rsid w:val="00B12D0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B12D0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28488">
      <w:bodyDiv w:val="1"/>
      <w:marLeft w:val="0"/>
      <w:marRight w:val="0"/>
      <w:marTop w:val="0"/>
      <w:marBottom w:val="0"/>
      <w:divBdr>
        <w:top w:val="none" w:sz="0" w:space="0" w:color="auto"/>
        <w:left w:val="none" w:sz="0" w:space="0" w:color="auto"/>
        <w:bottom w:val="none" w:sz="0" w:space="0" w:color="auto"/>
        <w:right w:val="none" w:sz="0" w:space="0" w:color="auto"/>
      </w:divBdr>
    </w:div>
    <w:div w:id="406465322">
      <w:bodyDiv w:val="1"/>
      <w:marLeft w:val="0"/>
      <w:marRight w:val="0"/>
      <w:marTop w:val="0"/>
      <w:marBottom w:val="0"/>
      <w:divBdr>
        <w:top w:val="none" w:sz="0" w:space="0" w:color="auto"/>
        <w:left w:val="none" w:sz="0" w:space="0" w:color="auto"/>
        <w:bottom w:val="none" w:sz="0" w:space="0" w:color="auto"/>
        <w:right w:val="none" w:sz="0" w:space="0" w:color="auto"/>
      </w:divBdr>
    </w:div>
    <w:div w:id="690886272">
      <w:bodyDiv w:val="1"/>
      <w:marLeft w:val="0"/>
      <w:marRight w:val="0"/>
      <w:marTop w:val="0"/>
      <w:marBottom w:val="0"/>
      <w:divBdr>
        <w:top w:val="none" w:sz="0" w:space="0" w:color="auto"/>
        <w:left w:val="none" w:sz="0" w:space="0" w:color="auto"/>
        <w:bottom w:val="none" w:sz="0" w:space="0" w:color="auto"/>
        <w:right w:val="none" w:sz="0" w:space="0" w:color="auto"/>
      </w:divBdr>
    </w:div>
    <w:div w:id="1057630088">
      <w:bodyDiv w:val="1"/>
      <w:marLeft w:val="0"/>
      <w:marRight w:val="0"/>
      <w:marTop w:val="0"/>
      <w:marBottom w:val="0"/>
      <w:divBdr>
        <w:top w:val="none" w:sz="0" w:space="0" w:color="auto"/>
        <w:left w:val="none" w:sz="0" w:space="0" w:color="auto"/>
        <w:bottom w:val="none" w:sz="0" w:space="0" w:color="auto"/>
        <w:right w:val="none" w:sz="0" w:space="0" w:color="auto"/>
      </w:divBdr>
    </w:div>
    <w:div w:id="1459642792">
      <w:bodyDiv w:val="1"/>
      <w:marLeft w:val="0"/>
      <w:marRight w:val="0"/>
      <w:marTop w:val="0"/>
      <w:marBottom w:val="0"/>
      <w:divBdr>
        <w:top w:val="none" w:sz="0" w:space="0" w:color="auto"/>
        <w:left w:val="none" w:sz="0" w:space="0" w:color="auto"/>
        <w:bottom w:val="none" w:sz="0" w:space="0" w:color="auto"/>
        <w:right w:val="none" w:sz="0" w:space="0" w:color="auto"/>
      </w:divBdr>
    </w:div>
    <w:div w:id="187106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4EC54D-1B99-434C-AC85-274E33E7776D}" type="doc">
      <dgm:prSet loTypeId="urn:microsoft.com/office/officeart/2005/8/layout/pyramid1" loCatId="pyramid" qsTypeId="urn:microsoft.com/office/officeart/2005/8/quickstyle/simple1" qsCatId="simple" csTypeId="urn:microsoft.com/office/officeart/2005/8/colors/accent1_2" csCatId="accent1" phldr="1"/>
      <dgm:spPr/>
    </dgm:pt>
    <dgm:pt modelId="{2EB77A47-ABB2-4E96-938F-070C671B403D}">
      <dgm:prSet phldrT="[Texto]"/>
      <dgm:spPr/>
      <dgm:t>
        <a:bodyPr/>
        <a:lstStyle/>
        <a:p>
          <a:pPr algn="ctr"/>
          <a:r>
            <a:rPr lang="pt-BR"/>
            <a:t>Portifólio</a:t>
          </a:r>
        </a:p>
      </dgm:t>
    </dgm:pt>
    <dgm:pt modelId="{B50E0A49-463D-4090-8AF8-E527E214D2DA}" type="parTrans" cxnId="{7CBD2ADA-2291-4250-8313-1E1403AA4777}">
      <dgm:prSet/>
      <dgm:spPr/>
      <dgm:t>
        <a:bodyPr/>
        <a:lstStyle/>
        <a:p>
          <a:pPr algn="ctr"/>
          <a:endParaRPr lang="pt-BR"/>
        </a:p>
      </dgm:t>
    </dgm:pt>
    <dgm:pt modelId="{EE58DFD5-DD4A-4E0A-B675-100B0C611D79}" type="sibTrans" cxnId="{7CBD2ADA-2291-4250-8313-1E1403AA4777}">
      <dgm:prSet/>
      <dgm:spPr/>
      <dgm:t>
        <a:bodyPr/>
        <a:lstStyle/>
        <a:p>
          <a:pPr algn="ctr"/>
          <a:endParaRPr lang="pt-BR"/>
        </a:p>
      </dgm:t>
    </dgm:pt>
    <dgm:pt modelId="{68D0781C-7306-4E2B-AA6B-411BD24B8DAF}">
      <dgm:prSet phldrT="[Texto]"/>
      <dgm:spPr/>
      <dgm:t>
        <a:bodyPr/>
        <a:lstStyle/>
        <a:p>
          <a:pPr algn="ctr"/>
          <a:r>
            <a:rPr lang="pt-BR"/>
            <a:t>Grupo de Portifólios</a:t>
          </a:r>
        </a:p>
      </dgm:t>
    </dgm:pt>
    <dgm:pt modelId="{A1342532-C411-435C-A6A3-831FD3D181A6}" type="parTrans" cxnId="{79C9D32C-9B28-44A3-9EE3-42773AC7E96B}">
      <dgm:prSet/>
      <dgm:spPr/>
      <dgm:t>
        <a:bodyPr/>
        <a:lstStyle/>
        <a:p>
          <a:pPr algn="ctr"/>
          <a:endParaRPr lang="pt-BR"/>
        </a:p>
      </dgm:t>
    </dgm:pt>
    <dgm:pt modelId="{ACA1EB36-660F-4528-A062-669AE0F23610}" type="sibTrans" cxnId="{79C9D32C-9B28-44A3-9EE3-42773AC7E96B}">
      <dgm:prSet/>
      <dgm:spPr/>
      <dgm:t>
        <a:bodyPr/>
        <a:lstStyle/>
        <a:p>
          <a:pPr algn="ctr"/>
          <a:endParaRPr lang="pt-BR"/>
        </a:p>
      </dgm:t>
    </dgm:pt>
    <dgm:pt modelId="{8827225B-C3E4-4F1E-A096-D8D689537B1A}">
      <dgm:prSet phldrT="[Texto]"/>
      <dgm:spPr/>
      <dgm:t>
        <a:bodyPr/>
        <a:lstStyle/>
        <a:p>
          <a:pPr algn="ctr"/>
          <a:r>
            <a:rPr lang="pt-BR"/>
            <a:t>Operações</a:t>
          </a:r>
        </a:p>
      </dgm:t>
    </dgm:pt>
    <dgm:pt modelId="{58F58FB1-520F-4188-95D6-5270CC706451}" type="parTrans" cxnId="{DF914296-CFA2-431B-8D14-65CB02891AEA}">
      <dgm:prSet/>
      <dgm:spPr/>
      <dgm:t>
        <a:bodyPr/>
        <a:lstStyle/>
        <a:p>
          <a:pPr algn="ctr"/>
          <a:endParaRPr lang="pt-BR"/>
        </a:p>
      </dgm:t>
    </dgm:pt>
    <dgm:pt modelId="{C496CDF2-D867-4742-9542-A1E3E80AD388}" type="sibTrans" cxnId="{DF914296-CFA2-431B-8D14-65CB02891AEA}">
      <dgm:prSet/>
      <dgm:spPr/>
      <dgm:t>
        <a:bodyPr/>
        <a:lstStyle/>
        <a:p>
          <a:pPr algn="ctr"/>
          <a:endParaRPr lang="pt-BR"/>
        </a:p>
      </dgm:t>
    </dgm:pt>
    <dgm:pt modelId="{94E3F030-43FF-4915-A1B3-78932906AFD7}">
      <dgm:prSet phldrT="[Texto]"/>
      <dgm:spPr/>
      <dgm:t>
        <a:bodyPr/>
        <a:lstStyle/>
        <a:p>
          <a:pPr algn="ctr"/>
          <a:r>
            <a:rPr lang="pt-BR"/>
            <a:t>Clientes</a:t>
          </a:r>
        </a:p>
      </dgm:t>
    </dgm:pt>
    <dgm:pt modelId="{E492D500-D1B0-4953-9BFA-E54F3DE9B19B}" type="parTrans" cxnId="{8962DC22-D52B-4876-8944-AB3A65C80F76}">
      <dgm:prSet/>
      <dgm:spPr/>
      <dgm:t>
        <a:bodyPr/>
        <a:lstStyle/>
        <a:p>
          <a:pPr algn="ctr"/>
          <a:endParaRPr lang="pt-BR"/>
        </a:p>
      </dgm:t>
    </dgm:pt>
    <dgm:pt modelId="{91B8A824-6C44-442D-95C3-58803089AF6D}" type="sibTrans" cxnId="{8962DC22-D52B-4876-8944-AB3A65C80F76}">
      <dgm:prSet/>
      <dgm:spPr/>
      <dgm:t>
        <a:bodyPr/>
        <a:lstStyle/>
        <a:p>
          <a:pPr algn="ctr"/>
          <a:endParaRPr lang="pt-BR"/>
        </a:p>
      </dgm:t>
    </dgm:pt>
    <dgm:pt modelId="{8A838A77-DA54-4011-B082-DEDB48AC1DA8}">
      <dgm:prSet phldrT="[Texto]"/>
      <dgm:spPr/>
      <dgm:t>
        <a:bodyPr/>
        <a:lstStyle/>
        <a:p>
          <a:pPr algn="ctr"/>
          <a:r>
            <a:rPr lang="pt-BR"/>
            <a:t>Unidades de Negócio</a:t>
          </a:r>
        </a:p>
      </dgm:t>
    </dgm:pt>
    <dgm:pt modelId="{F4AAD473-1911-4127-A522-C8CC08D55445}" type="parTrans" cxnId="{7B1BD4E1-5819-4D9E-8409-C40E81915E97}">
      <dgm:prSet/>
      <dgm:spPr/>
      <dgm:t>
        <a:bodyPr/>
        <a:lstStyle/>
        <a:p>
          <a:pPr algn="ctr"/>
          <a:endParaRPr lang="pt-BR"/>
        </a:p>
      </dgm:t>
    </dgm:pt>
    <dgm:pt modelId="{BDBD73CC-D1DC-4359-9A45-813451D2B3E4}" type="sibTrans" cxnId="{7B1BD4E1-5819-4D9E-8409-C40E81915E97}">
      <dgm:prSet/>
      <dgm:spPr/>
      <dgm:t>
        <a:bodyPr/>
        <a:lstStyle/>
        <a:p>
          <a:pPr algn="ctr"/>
          <a:endParaRPr lang="pt-BR"/>
        </a:p>
      </dgm:t>
    </dgm:pt>
    <dgm:pt modelId="{A94B8A91-464A-4A78-B9F5-BC24D97B2B07}" type="pres">
      <dgm:prSet presAssocID="{7A4EC54D-1B99-434C-AC85-274E33E7776D}" presName="Name0" presStyleCnt="0">
        <dgm:presLayoutVars>
          <dgm:dir/>
          <dgm:animLvl val="lvl"/>
          <dgm:resizeHandles val="exact"/>
        </dgm:presLayoutVars>
      </dgm:prSet>
      <dgm:spPr/>
    </dgm:pt>
    <dgm:pt modelId="{86EAD170-5659-4D17-B8BF-9EA5619169A2}" type="pres">
      <dgm:prSet presAssocID="{2EB77A47-ABB2-4E96-938F-070C671B403D}" presName="Name8" presStyleCnt="0"/>
      <dgm:spPr/>
    </dgm:pt>
    <dgm:pt modelId="{FDDD9110-7946-4C7E-A971-68DF26CACF5B}" type="pres">
      <dgm:prSet presAssocID="{2EB77A47-ABB2-4E96-938F-070C671B403D}" presName="level" presStyleLbl="node1" presStyleIdx="0" presStyleCnt="5">
        <dgm:presLayoutVars>
          <dgm:chMax val="1"/>
          <dgm:bulletEnabled val="1"/>
        </dgm:presLayoutVars>
      </dgm:prSet>
      <dgm:spPr/>
    </dgm:pt>
    <dgm:pt modelId="{81721F2D-264F-40DD-8E64-06EC4203D58C}" type="pres">
      <dgm:prSet presAssocID="{2EB77A47-ABB2-4E96-938F-070C671B403D}" presName="levelTx" presStyleLbl="revTx" presStyleIdx="0" presStyleCnt="0">
        <dgm:presLayoutVars>
          <dgm:chMax val="1"/>
          <dgm:bulletEnabled val="1"/>
        </dgm:presLayoutVars>
      </dgm:prSet>
      <dgm:spPr/>
    </dgm:pt>
    <dgm:pt modelId="{F0BD3409-DD90-41EC-BCC1-57D4EC80F501}" type="pres">
      <dgm:prSet presAssocID="{68D0781C-7306-4E2B-AA6B-411BD24B8DAF}" presName="Name8" presStyleCnt="0"/>
      <dgm:spPr/>
    </dgm:pt>
    <dgm:pt modelId="{C9D6BC01-70B0-453C-86DC-96EDA737B4BA}" type="pres">
      <dgm:prSet presAssocID="{68D0781C-7306-4E2B-AA6B-411BD24B8DAF}" presName="level" presStyleLbl="node1" presStyleIdx="1" presStyleCnt="5">
        <dgm:presLayoutVars>
          <dgm:chMax val="1"/>
          <dgm:bulletEnabled val="1"/>
        </dgm:presLayoutVars>
      </dgm:prSet>
      <dgm:spPr/>
    </dgm:pt>
    <dgm:pt modelId="{DC974E7D-C3C9-4716-96CA-E6FD17BBFE9C}" type="pres">
      <dgm:prSet presAssocID="{68D0781C-7306-4E2B-AA6B-411BD24B8DAF}" presName="levelTx" presStyleLbl="revTx" presStyleIdx="0" presStyleCnt="0">
        <dgm:presLayoutVars>
          <dgm:chMax val="1"/>
          <dgm:bulletEnabled val="1"/>
        </dgm:presLayoutVars>
      </dgm:prSet>
      <dgm:spPr/>
    </dgm:pt>
    <dgm:pt modelId="{ED01FAE0-E08A-45A6-9792-17FD3478D5DA}" type="pres">
      <dgm:prSet presAssocID="{8A838A77-DA54-4011-B082-DEDB48AC1DA8}" presName="Name8" presStyleCnt="0"/>
      <dgm:spPr/>
    </dgm:pt>
    <dgm:pt modelId="{00A5E70A-B5F6-41E1-9797-4FE9BA9C17A0}" type="pres">
      <dgm:prSet presAssocID="{8A838A77-DA54-4011-B082-DEDB48AC1DA8}" presName="level" presStyleLbl="node1" presStyleIdx="2" presStyleCnt="5">
        <dgm:presLayoutVars>
          <dgm:chMax val="1"/>
          <dgm:bulletEnabled val="1"/>
        </dgm:presLayoutVars>
      </dgm:prSet>
      <dgm:spPr/>
    </dgm:pt>
    <dgm:pt modelId="{1F78D76C-AEE3-4626-8F51-C15C06A195A4}" type="pres">
      <dgm:prSet presAssocID="{8A838A77-DA54-4011-B082-DEDB48AC1DA8}" presName="levelTx" presStyleLbl="revTx" presStyleIdx="0" presStyleCnt="0">
        <dgm:presLayoutVars>
          <dgm:chMax val="1"/>
          <dgm:bulletEnabled val="1"/>
        </dgm:presLayoutVars>
      </dgm:prSet>
      <dgm:spPr/>
    </dgm:pt>
    <dgm:pt modelId="{97F62DA9-8532-4800-B0A4-9B808BF368E1}" type="pres">
      <dgm:prSet presAssocID="{94E3F030-43FF-4915-A1B3-78932906AFD7}" presName="Name8" presStyleCnt="0"/>
      <dgm:spPr/>
    </dgm:pt>
    <dgm:pt modelId="{85ECD28E-9363-4BDA-93EF-FC0E26AB94CE}" type="pres">
      <dgm:prSet presAssocID="{94E3F030-43FF-4915-A1B3-78932906AFD7}" presName="level" presStyleLbl="node1" presStyleIdx="3" presStyleCnt="5">
        <dgm:presLayoutVars>
          <dgm:chMax val="1"/>
          <dgm:bulletEnabled val="1"/>
        </dgm:presLayoutVars>
      </dgm:prSet>
      <dgm:spPr/>
    </dgm:pt>
    <dgm:pt modelId="{F7766FA9-F1B8-4718-B238-4A7A84CD71D1}" type="pres">
      <dgm:prSet presAssocID="{94E3F030-43FF-4915-A1B3-78932906AFD7}" presName="levelTx" presStyleLbl="revTx" presStyleIdx="0" presStyleCnt="0">
        <dgm:presLayoutVars>
          <dgm:chMax val="1"/>
          <dgm:bulletEnabled val="1"/>
        </dgm:presLayoutVars>
      </dgm:prSet>
      <dgm:spPr/>
    </dgm:pt>
    <dgm:pt modelId="{2676D565-AF55-4110-B9C7-A9D4221A20F1}" type="pres">
      <dgm:prSet presAssocID="{8827225B-C3E4-4F1E-A096-D8D689537B1A}" presName="Name8" presStyleCnt="0"/>
      <dgm:spPr/>
    </dgm:pt>
    <dgm:pt modelId="{1CAFE204-F19F-4AB1-BCFA-C7FD7FF1D536}" type="pres">
      <dgm:prSet presAssocID="{8827225B-C3E4-4F1E-A096-D8D689537B1A}" presName="level" presStyleLbl="node1" presStyleIdx="4" presStyleCnt="5">
        <dgm:presLayoutVars>
          <dgm:chMax val="1"/>
          <dgm:bulletEnabled val="1"/>
        </dgm:presLayoutVars>
      </dgm:prSet>
      <dgm:spPr/>
    </dgm:pt>
    <dgm:pt modelId="{CA0021AE-2BCC-4648-8209-2BEACF0D48C7}" type="pres">
      <dgm:prSet presAssocID="{8827225B-C3E4-4F1E-A096-D8D689537B1A}" presName="levelTx" presStyleLbl="revTx" presStyleIdx="0" presStyleCnt="0">
        <dgm:presLayoutVars>
          <dgm:chMax val="1"/>
          <dgm:bulletEnabled val="1"/>
        </dgm:presLayoutVars>
      </dgm:prSet>
      <dgm:spPr/>
    </dgm:pt>
  </dgm:ptLst>
  <dgm:cxnLst>
    <dgm:cxn modelId="{7F0EB61E-38A9-42F2-B3C9-66AF6E8A3FF1}" type="presOf" srcId="{68D0781C-7306-4E2B-AA6B-411BD24B8DAF}" destId="{DC974E7D-C3C9-4716-96CA-E6FD17BBFE9C}" srcOrd="1" destOrd="0" presId="urn:microsoft.com/office/officeart/2005/8/layout/pyramid1"/>
    <dgm:cxn modelId="{8962DC22-D52B-4876-8944-AB3A65C80F76}" srcId="{7A4EC54D-1B99-434C-AC85-274E33E7776D}" destId="{94E3F030-43FF-4915-A1B3-78932906AFD7}" srcOrd="3" destOrd="0" parTransId="{E492D500-D1B0-4953-9BFA-E54F3DE9B19B}" sibTransId="{91B8A824-6C44-442D-95C3-58803089AF6D}"/>
    <dgm:cxn modelId="{79C9D32C-9B28-44A3-9EE3-42773AC7E96B}" srcId="{7A4EC54D-1B99-434C-AC85-274E33E7776D}" destId="{68D0781C-7306-4E2B-AA6B-411BD24B8DAF}" srcOrd="1" destOrd="0" parTransId="{A1342532-C411-435C-A6A3-831FD3D181A6}" sibTransId="{ACA1EB36-660F-4528-A062-669AE0F23610}"/>
    <dgm:cxn modelId="{DEC3F931-AF1C-4D28-B18E-B9313DA9785E}" type="presOf" srcId="{68D0781C-7306-4E2B-AA6B-411BD24B8DAF}" destId="{C9D6BC01-70B0-453C-86DC-96EDA737B4BA}" srcOrd="0" destOrd="0" presId="urn:microsoft.com/office/officeart/2005/8/layout/pyramid1"/>
    <dgm:cxn modelId="{6CB00636-A23D-4D20-97EB-CE3C09F84FE2}" type="presOf" srcId="{8827225B-C3E4-4F1E-A096-D8D689537B1A}" destId="{CA0021AE-2BCC-4648-8209-2BEACF0D48C7}" srcOrd="1" destOrd="0" presId="urn:microsoft.com/office/officeart/2005/8/layout/pyramid1"/>
    <dgm:cxn modelId="{C8DD986D-77BE-4560-B5EF-9A4061309DD5}" type="presOf" srcId="{7A4EC54D-1B99-434C-AC85-274E33E7776D}" destId="{A94B8A91-464A-4A78-B9F5-BC24D97B2B07}" srcOrd="0" destOrd="0" presId="urn:microsoft.com/office/officeart/2005/8/layout/pyramid1"/>
    <dgm:cxn modelId="{5787C670-9446-41CD-81D8-185E109637CE}" type="presOf" srcId="{8827225B-C3E4-4F1E-A096-D8D689537B1A}" destId="{1CAFE204-F19F-4AB1-BCFA-C7FD7FF1D536}" srcOrd="0" destOrd="0" presId="urn:microsoft.com/office/officeart/2005/8/layout/pyramid1"/>
    <dgm:cxn modelId="{9D810D95-0CDC-4C9F-9240-B047886B0C58}" type="presOf" srcId="{2EB77A47-ABB2-4E96-938F-070C671B403D}" destId="{81721F2D-264F-40DD-8E64-06EC4203D58C}" srcOrd="1" destOrd="0" presId="urn:microsoft.com/office/officeart/2005/8/layout/pyramid1"/>
    <dgm:cxn modelId="{DF914296-CFA2-431B-8D14-65CB02891AEA}" srcId="{7A4EC54D-1B99-434C-AC85-274E33E7776D}" destId="{8827225B-C3E4-4F1E-A096-D8D689537B1A}" srcOrd="4" destOrd="0" parTransId="{58F58FB1-520F-4188-95D6-5270CC706451}" sibTransId="{C496CDF2-D867-4742-9542-A1E3E80AD388}"/>
    <dgm:cxn modelId="{8637E99C-7AB6-4991-9A17-211C3BAEC2A1}" type="presOf" srcId="{94E3F030-43FF-4915-A1B3-78932906AFD7}" destId="{F7766FA9-F1B8-4718-B238-4A7A84CD71D1}" srcOrd="1" destOrd="0" presId="urn:microsoft.com/office/officeart/2005/8/layout/pyramid1"/>
    <dgm:cxn modelId="{47191FB3-3AFD-4F60-8567-56DAD3197DCA}" type="presOf" srcId="{2EB77A47-ABB2-4E96-938F-070C671B403D}" destId="{FDDD9110-7946-4C7E-A971-68DF26CACF5B}" srcOrd="0" destOrd="0" presId="urn:microsoft.com/office/officeart/2005/8/layout/pyramid1"/>
    <dgm:cxn modelId="{CEF634BB-8074-4607-880C-A41F3A042625}" type="presOf" srcId="{8A838A77-DA54-4011-B082-DEDB48AC1DA8}" destId="{00A5E70A-B5F6-41E1-9797-4FE9BA9C17A0}" srcOrd="0" destOrd="0" presId="urn:microsoft.com/office/officeart/2005/8/layout/pyramid1"/>
    <dgm:cxn modelId="{7CBD2ADA-2291-4250-8313-1E1403AA4777}" srcId="{7A4EC54D-1B99-434C-AC85-274E33E7776D}" destId="{2EB77A47-ABB2-4E96-938F-070C671B403D}" srcOrd="0" destOrd="0" parTransId="{B50E0A49-463D-4090-8AF8-E527E214D2DA}" sibTransId="{EE58DFD5-DD4A-4E0A-B675-100B0C611D79}"/>
    <dgm:cxn modelId="{C54C2CDE-3D51-4EC5-A9AC-ED3096A4FD1E}" type="presOf" srcId="{8A838A77-DA54-4011-B082-DEDB48AC1DA8}" destId="{1F78D76C-AEE3-4626-8F51-C15C06A195A4}" srcOrd="1" destOrd="0" presId="urn:microsoft.com/office/officeart/2005/8/layout/pyramid1"/>
    <dgm:cxn modelId="{7B1BD4E1-5819-4D9E-8409-C40E81915E97}" srcId="{7A4EC54D-1B99-434C-AC85-274E33E7776D}" destId="{8A838A77-DA54-4011-B082-DEDB48AC1DA8}" srcOrd="2" destOrd="0" parTransId="{F4AAD473-1911-4127-A522-C8CC08D55445}" sibTransId="{BDBD73CC-D1DC-4359-9A45-813451D2B3E4}"/>
    <dgm:cxn modelId="{2A1EC0FB-8BF1-43BE-8119-2EDB09A2AF88}" type="presOf" srcId="{94E3F030-43FF-4915-A1B3-78932906AFD7}" destId="{85ECD28E-9363-4BDA-93EF-FC0E26AB94CE}" srcOrd="0" destOrd="0" presId="urn:microsoft.com/office/officeart/2005/8/layout/pyramid1"/>
    <dgm:cxn modelId="{03EC805E-0D24-4350-9D7A-C1B0A0D30C91}" type="presParOf" srcId="{A94B8A91-464A-4A78-B9F5-BC24D97B2B07}" destId="{86EAD170-5659-4D17-B8BF-9EA5619169A2}" srcOrd="0" destOrd="0" presId="urn:microsoft.com/office/officeart/2005/8/layout/pyramid1"/>
    <dgm:cxn modelId="{52A6F79A-0098-4C5C-BF78-D1A3F2DB7AE2}" type="presParOf" srcId="{86EAD170-5659-4D17-B8BF-9EA5619169A2}" destId="{FDDD9110-7946-4C7E-A971-68DF26CACF5B}" srcOrd="0" destOrd="0" presId="urn:microsoft.com/office/officeart/2005/8/layout/pyramid1"/>
    <dgm:cxn modelId="{B1533DB7-575B-4E73-87BA-DBD60B1CB03F}" type="presParOf" srcId="{86EAD170-5659-4D17-B8BF-9EA5619169A2}" destId="{81721F2D-264F-40DD-8E64-06EC4203D58C}" srcOrd="1" destOrd="0" presId="urn:microsoft.com/office/officeart/2005/8/layout/pyramid1"/>
    <dgm:cxn modelId="{7EBFA346-DA1A-47DD-87F9-0AF485A138C9}" type="presParOf" srcId="{A94B8A91-464A-4A78-B9F5-BC24D97B2B07}" destId="{F0BD3409-DD90-41EC-BCC1-57D4EC80F501}" srcOrd="1" destOrd="0" presId="urn:microsoft.com/office/officeart/2005/8/layout/pyramid1"/>
    <dgm:cxn modelId="{097D2166-B22A-44DF-8A15-F385513F4BF8}" type="presParOf" srcId="{F0BD3409-DD90-41EC-BCC1-57D4EC80F501}" destId="{C9D6BC01-70B0-453C-86DC-96EDA737B4BA}" srcOrd="0" destOrd="0" presId="urn:microsoft.com/office/officeart/2005/8/layout/pyramid1"/>
    <dgm:cxn modelId="{1B8FBC41-760C-43FF-8F70-27260241EE23}" type="presParOf" srcId="{F0BD3409-DD90-41EC-BCC1-57D4EC80F501}" destId="{DC974E7D-C3C9-4716-96CA-E6FD17BBFE9C}" srcOrd="1" destOrd="0" presId="urn:microsoft.com/office/officeart/2005/8/layout/pyramid1"/>
    <dgm:cxn modelId="{36E878E2-57CC-4A7E-A5BC-D0FDA7E04EA9}" type="presParOf" srcId="{A94B8A91-464A-4A78-B9F5-BC24D97B2B07}" destId="{ED01FAE0-E08A-45A6-9792-17FD3478D5DA}" srcOrd="2" destOrd="0" presId="urn:microsoft.com/office/officeart/2005/8/layout/pyramid1"/>
    <dgm:cxn modelId="{3BBEF894-44F6-402F-B022-AD0862FDF86B}" type="presParOf" srcId="{ED01FAE0-E08A-45A6-9792-17FD3478D5DA}" destId="{00A5E70A-B5F6-41E1-9797-4FE9BA9C17A0}" srcOrd="0" destOrd="0" presId="urn:microsoft.com/office/officeart/2005/8/layout/pyramid1"/>
    <dgm:cxn modelId="{3E7E46B3-7859-469F-BD4D-027EA6576641}" type="presParOf" srcId="{ED01FAE0-E08A-45A6-9792-17FD3478D5DA}" destId="{1F78D76C-AEE3-4626-8F51-C15C06A195A4}" srcOrd="1" destOrd="0" presId="urn:microsoft.com/office/officeart/2005/8/layout/pyramid1"/>
    <dgm:cxn modelId="{B8EB22BF-FB76-4747-87D2-68154AE2293D}" type="presParOf" srcId="{A94B8A91-464A-4A78-B9F5-BC24D97B2B07}" destId="{97F62DA9-8532-4800-B0A4-9B808BF368E1}" srcOrd="3" destOrd="0" presId="urn:microsoft.com/office/officeart/2005/8/layout/pyramid1"/>
    <dgm:cxn modelId="{5CFF9CA1-DA35-4126-9CB6-E450CE99D551}" type="presParOf" srcId="{97F62DA9-8532-4800-B0A4-9B808BF368E1}" destId="{85ECD28E-9363-4BDA-93EF-FC0E26AB94CE}" srcOrd="0" destOrd="0" presId="urn:microsoft.com/office/officeart/2005/8/layout/pyramid1"/>
    <dgm:cxn modelId="{1FEA2534-D58A-4B56-9798-58911EB54B26}" type="presParOf" srcId="{97F62DA9-8532-4800-B0A4-9B808BF368E1}" destId="{F7766FA9-F1B8-4718-B238-4A7A84CD71D1}" srcOrd="1" destOrd="0" presId="urn:microsoft.com/office/officeart/2005/8/layout/pyramid1"/>
    <dgm:cxn modelId="{5B7F063A-CDDD-4CBA-A8D3-C40FAC6BF14D}" type="presParOf" srcId="{A94B8A91-464A-4A78-B9F5-BC24D97B2B07}" destId="{2676D565-AF55-4110-B9C7-A9D4221A20F1}" srcOrd="4" destOrd="0" presId="urn:microsoft.com/office/officeart/2005/8/layout/pyramid1"/>
    <dgm:cxn modelId="{B29E753A-1AE9-4FDA-9C34-AED0AB82677C}" type="presParOf" srcId="{2676D565-AF55-4110-B9C7-A9D4221A20F1}" destId="{1CAFE204-F19F-4AB1-BCFA-C7FD7FF1D536}" srcOrd="0" destOrd="0" presId="urn:microsoft.com/office/officeart/2005/8/layout/pyramid1"/>
    <dgm:cxn modelId="{3B8A8530-4AE2-4D04-B577-E7487F1EFAFD}" type="presParOf" srcId="{2676D565-AF55-4110-B9C7-A9D4221A20F1}" destId="{CA0021AE-2BCC-4648-8209-2BEACF0D48C7}"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DD9110-7946-4C7E-A971-68DF26CACF5B}">
      <dsp:nvSpPr>
        <dsp:cNvPr id="0" name=""/>
        <dsp:cNvSpPr/>
      </dsp:nvSpPr>
      <dsp:spPr>
        <a:xfrm>
          <a:off x="1382268" y="0"/>
          <a:ext cx="691134" cy="470535"/>
        </a:xfrm>
        <a:prstGeom prst="trapezoid">
          <a:avLst>
            <a:gd name="adj" fmla="val 7344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pt-BR" sz="1300" kern="1200"/>
            <a:t>Portifólio</a:t>
          </a:r>
        </a:p>
      </dsp:txBody>
      <dsp:txXfrm>
        <a:off x="1382268" y="0"/>
        <a:ext cx="691134" cy="470535"/>
      </dsp:txXfrm>
    </dsp:sp>
    <dsp:sp modelId="{C9D6BC01-70B0-453C-86DC-96EDA737B4BA}">
      <dsp:nvSpPr>
        <dsp:cNvPr id="0" name=""/>
        <dsp:cNvSpPr/>
      </dsp:nvSpPr>
      <dsp:spPr>
        <a:xfrm>
          <a:off x="1036701" y="470535"/>
          <a:ext cx="1382268" cy="470535"/>
        </a:xfrm>
        <a:prstGeom prst="trapezoid">
          <a:avLst>
            <a:gd name="adj" fmla="val 7344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pt-BR" sz="1300" kern="1200"/>
            <a:t>Grupo de Portifólios</a:t>
          </a:r>
        </a:p>
      </dsp:txBody>
      <dsp:txXfrm>
        <a:off x="1278597" y="470535"/>
        <a:ext cx="898474" cy="470535"/>
      </dsp:txXfrm>
    </dsp:sp>
    <dsp:sp modelId="{00A5E70A-B5F6-41E1-9797-4FE9BA9C17A0}">
      <dsp:nvSpPr>
        <dsp:cNvPr id="0" name=""/>
        <dsp:cNvSpPr/>
      </dsp:nvSpPr>
      <dsp:spPr>
        <a:xfrm>
          <a:off x="691133" y="941070"/>
          <a:ext cx="2073402" cy="470535"/>
        </a:xfrm>
        <a:prstGeom prst="trapezoid">
          <a:avLst>
            <a:gd name="adj" fmla="val 7344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pt-BR" sz="1300" kern="1200"/>
            <a:t>Unidades de Negócio</a:t>
          </a:r>
        </a:p>
      </dsp:txBody>
      <dsp:txXfrm>
        <a:off x="1053979" y="941070"/>
        <a:ext cx="1347711" cy="470535"/>
      </dsp:txXfrm>
    </dsp:sp>
    <dsp:sp modelId="{85ECD28E-9363-4BDA-93EF-FC0E26AB94CE}">
      <dsp:nvSpPr>
        <dsp:cNvPr id="0" name=""/>
        <dsp:cNvSpPr/>
      </dsp:nvSpPr>
      <dsp:spPr>
        <a:xfrm>
          <a:off x="345567" y="1411605"/>
          <a:ext cx="2764536" cy="470535"/>
        </a:xfrm>
        <a:prstGeom prst="trapezoid">
          <a:avLst>
            <a:gd name="adj" fmla="val 7344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pt-BR" sz="1300" kern="1200"/>
            <a:t>Clientes</a:t>
          </a:r>
        </a:p>
      </dsp:txBody>
      <dsp:txXfrm>
        <a:off x="829360" y="1411605"/>
        <a:ext cx="1796948" cy="470535"/>
      </dsp:txXfrm>
    </dsp:sp>
    <dsp:sp modelId="{1CAFE204-F19F-4AB1-BCFA-C7FD7FF1D536}">
      <dsp:nvSpPr>
        <dsp:cNvPr id="0" name=""/>
        <dsp:cNvSpPr/>
      </dsp:nvSpPr>
      <dsp:spPr>
        <a:xfrm>
          <a:off x="0" y="1882140"/>
          <a:ext cx="3455670" cy="470535"/>
        </a:xfrm>
        <a:prstGeom prst="trapezoid">
          <a:avLst>
            <a:gd name="adj" fmla="val 7344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pt-BR" sz="1300" kern="1200"/>
            <a:t>Operações</a:t>
          </a:r>
        </a:p>
      </dsp:txBody>
      <dsp:txXfrm>
        <a:off x="604742" y="1882140"/>
        <a:ext cx="2246185" cy="47053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E8061-F078-4BD2-BBCB-E54AC9EBD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Pages>
  <Words>6430</Words>
  <Characters>34722</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21</cp:revision>
  <dcterms:created xsi:type="dcterms:W3CDTF">2023-06-14T14:43:00Z</dcterms:created>
  <dcterms:modified xsi:type="dcterms:W3CDTF">2023-06-29T16:02:00Z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2023-01-07T13:49:28Z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56c0a1ca-61f3-40ec-9a8e-137f78407088</vt:lpwstr>
  </property>
  <property fmtid="{D5CDD505-2E9C-101B-9397-08002B2CF9AE}" pid="8" name="MSIP_Label_6459b2e0-2ec4-47e6-afc1-6e3f8b684f6a_ContentBits">
    <vt:lpwstr>0</vt:lpwstr>
  </property>
</Properties>
</file>