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39F0" w14:textId="33B2DD35" w:rsidR="008C1416" w:rsidRPr="00556779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O Value-at-Risk (VaR) emergiu como uma ferramenta adequada e notável para quantificar o risco, e tornou-se popular e predominante durante a década de 1990 devido à sua simplicidade e fácil implementação</w:t>
      </w:r>
      <w:r>
        <w:rPr>
          <w:rFonts w:ascii="Arial" w:hAnsi="Arial" w:cs="Arial"/>
        </w:rPr>
        <w:t xml:space="preserve">. Atualmente é </w:t>
      </w:r>
      <w:r w:rsidR="008C1416" w:rsidRPr="00556779">
        <w:rPr>
          <w:rFonts w:ascii="Arial" w:hAnsi="Arial" w:cs="Arial"/>
        </w:rPr>
        <w:t>utilizad</w:t>
      </w:r>
      <w:r>
        <w:rPr>
          <w:rFonts w:ascii="Arial" w:hAnsi="Arial" w:cs="Arial"/>
        </w:rPr>
        <w:t xml:space="preserve">o </w:t>
      </w:r>
      <w:r w:rsidR="008C1416" w:rsidRPr="00556779">
        <w:rPr>
          <w:rFonts w:ascii="Arial" w:hAnsi="Arial" w:cs="Arial"/>
        </w:rPr>
        <w:t>por instituições financeiras para mensuração de perda máximas em um portfólio</w:t>
      </w:r>
      <w:r w:rsidR="00860ACA" w:rsidRPr="00556779">
        <w:rPr>
          <w:rFonts w:ascii="Arial" w:hAnsi="Arial" w:cs="Arial"/>
        </w:rPr>
        <w:t xml:space="preserve">, monitoração </w:t>
      </w:r>
      <w:r w:rsidR="008C1416" w:rsidRPr="00556779">
        <w:rPr>
          <w:rFonts w:ascii="Arial" w:hAnsi="Arial" w:cs="Arial"/>
        </w:rPr>
        <w:t xml:space="preserve">de </w:t>
      </w:r>
      <w:r w:rsidR="00860ACA" w:rsidRPr="00556779">
        <w:rPr>
          <w:rFonts w:ascii="Arial" w:hAnsi="Arial" w:cs="Arial"/>
        </w:rPr>
        <w:t xml:space="preserve">nos riscos e antecipação de </w:t>
      </w:r>
      <w:r w:rsidR="008C1416" w:rsidRPr="00556779">
        <w:rPr>
          <w:rFonts w:ascii="Arial" w:hAnsi="Arial" w:cs="Arial"/>
        </w:rPr>
        <w:t>mudanças inesperadas de mercado</w:t>
      </w:r>
      <w:r w:rsidR="00860ACA" w:rsidRPr="00556779">
        <w:rPr>
          <w:rFonts w:ascii="Arial" w:hAnsi="Arial" w:cs="Arial"/>
        </w:rPr>
        <w:t>.</w:t>
      </w:r>
    </w:p>
    <w:p w14:paraId="0E085D86" w14:textId="77777777" w:rsidR="00A1211D" w:rsidRDefault="00A1211D" w:rsidP="00002C6E">
      <w:pPr>
        <w:rPr>
          <w:rFonts w:ascii="Arial" w:hAnsi="Arial" w:cs="Arial"/>
        </w:rPr>
      </w:pPr>
    </w:p>
    <w:p w14:paraId="597E17C1" w14:textId="31EC4453" w:rsid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O VaR proposto por Jorion (1995) é definido como a pior perda esperada em um determinado horizonte em diferentes níveis de confiança.</w:t>
      </w:r>
      <w:r>
        <w:rPr>
          <w:rFonts w:ascii="Arial" w:hAnsi="Arial" w:cs="Arial"/>
        </w:rPr>
        <w:t xml:space="preserve"> </w:t>
      </w:r>
    </w:p>
    <w:p w14:paraId="33740156" w14:textId="77777777" w:rsidR="00A1211D" w:rsidRDefault="00A1211D" w:rsidP="00A1211D">
      <w:pPr>
        <w:rPr>
          <w:rFonts w:ascii="Arial" w:hAnsi="Arial" w:cs="Arial"/>
        </w:rPr>
      </w:pPr>
    </w:p>
    <w:p w14:paraId="09B0290E" w14:textId="5562340F" w:rsidR="00002C6E" w:rsidRPr="00556779" w:rsidRDefault="00002C6E" w:rsidP="00A1211D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Segundo a </w:t>
      </w:r>
      <w:r w:rsidR="00860ACA" w:rsidRPr="00556779">
        <w:rPr>
          <w:rFonts w:ascii="Arial" w:hAnsi="Arial" w:cs="Arial"/>
        </w:rPr>
        <w:t>definição básica</w:t>
      </w:r>
      <w:r w:rsidRPr="00556779">
        <w:rPr>
          <w:rFonts w:ascii="Arial" w:hAnsi="Arial" w:cs="Arial"/>
        </w:rPr>
        <w:t xml:space="preserve">, </w:t>
      </w:r>
      <w:r w:rsidR="00A60F72" w:rsidRPr="00556779">
        <w:rPr>
          <w:rFonts w:ascii="Arial" w:hAnsi="Arial" w:cs="Arial"/>
          <w:i/>
          <w:iCs/>
        </w:rPr>
        <w:t>Value at Risk</w:t>
      </w:r>
      <w:r w:rsidR="00A60F72" w:rsidRPr="00556779">
        <w:rPr>
          <w:rFonts w:ascii="Arial" w:hAnsi="Arial" w:cs="Arial"/>
        </w:rPr>
        <w:t xml:space="preserve"> (</w:t>
      </w:r>
      <w:r w:rsidR="00860ACA" w:rsidRPr="00556779">
        <w:rPr>
          <w:rFonts w:ascii="Arial" w:hAnsi="Arial" w:cs="Arial"/>
        </w:rPr>
        <w:t>VaR</w:t>
      </w:r>
      <w:r w:rsidR="00A60F72" w:rsidRPr="00556779">
        <w:rPr>
          <w:rFonts w:ascii="Arial" w:hAnsi="Arial" w:cs="Arial"/>
        </w:rPr>
        <w:t>)</w:t>
      </w:r>
      <w:r w:rsidR="00860ACA" w:rsidRPr="00556779">
        <w:rPr>
          <w:rFonts w:ascii="Arial" w:hAnsi="Arial" w:cs="Arial"/>
        </w:rPr>
        <w:t xml:space="preserve"> </w:t>
      </w:r>
      <w:r w:rsidRPr="00556779">
        <w:rPr>
          <w:rFonts w:ascii="Arial" w:hAnsi="Arial" w:cs="Arial"/>
        </w:rPr>
        <w:t xml:space="preserve">é o </w:t>
      </w:r>
      <w:r w:rsidR="00860ACA" w:rsidRPr="00556779">
        <w:rPr>
          <w:rFonts w:ascii="Arial" w:hAnsi="Arial" w:cs="Arial"/>
        </w:rPr>
        <w:t xml:space="preserve">potencial de perda máxima esperada </w:t>
      </w:r>
      <w:r w:rsidRPr="00556779">
        <w:rPr>
          <w:rFonts w:ascii="Arial" w:hAnsi="Arial" w:cs="Arial"/>
        </w:rPr>
        <w:t xml:space="preserve">de </w:t>
      </w:r>
      <w:r w:rsidR="00860ACA" w:rsidRPr="00556779">
        <w:rPr>
          <w:rFonts w:ascii="Arial" w:hAnsi="Arial" w:cs="Arial"/>
        </w:rPr>
        <w:t xml:space="preserve">um portifólio, </w:t>
      </w:r>
      <w:r w:rsidRPr="00556779">
        <w:rPr>
          <w:rFonts w:ascii="Arial" w:hAnsi="Arial" w:cs="Arial"/>
        </w:rPr>
        <w:t xml:space="preserve">em </w:t>
      </w:r>
      <w:r w:rsidR="00860ACA" w:rsidRPr="00556779">
        <w:rPr>
          <w:rFonts w:ascii="Arial" w:hAnsi="Arial" w:cs="Arial"/>
        </w:rPr>
        <w:t>dado um horizonte de tempo, intervalo de confiança e condições de normalidade de mercado (Jorion, 2001).</w:t>
      </w:r>
      <w:r w:rsidRPr="00556779">
        <w:rPr>
          <w:rFonts w:ascii="Arial" w:hAnsi="Arial" w:cs="Arial"/>
        </w:rPr>
        <w:t xml:space="preserve"> Conforme esta definição podemos identificar três elementos necessários na construção do VaR: </w:t>
      </w:r>
    </w:p>
    <w:p w14:paraId="16DAD2C4" w14:textId="40F08483" w:rsidR="00002C6E" w:rsidRPr="00556779" w:rsidRDefault="00002C6E" w:rsidP="00002C6E">
      <w:pPr>
        <w:rPr>
          <w:rFonts w:ascii="Arial" w:hAnsi="Arial" w:cs="Arial"/>
        </w:rPr>
      </w:pPr>
      <w:r w:rsidRPr="00556779">
        <w:rPr>
          <w:rFonts w:ascii="Arial" w:hAnsi="Arial" w:cs="Arial"/>
        </w:rPr>
        <w:t>1. Horizonte de tempo.</w:t>
      </w:r>
    </w:p>
    <w:p w14:paraId="63D4672B" w14:textId="63934A29" w:rsidR="00002C6E" w:rsidRPr="00556779" w:rsidRDefault="00002C6E" w:rsidP="00002C6E">
      <w:pPr>
        <w:rPr>
          <w:rFonts w:ascii="Arial" w:hAnsi="Arial" w:cs="Arial"/>
        </w:rPr>
      </w:pPr>
      <w:r w:rsidRPr="00556779">
        <w:rPr>
          <w:rFonts w:ascii="Arial" w:hAnsi="Arial" w:cs="Arial"/>
        </w:rPr>
        <w:t>2. O valor monetário da carteira de ativos ou portifólio.</w:t>
      </w:r>
    </w:p>
    <w:p w14:paraId="6686BEC6" w14:textId="0084B24A" w:rsidR="00002C6E" w:rsidRPr="00556779" w:rsidRDefault="00002C6E" w:rsidP="00002C6E">
      <w:pPr>
        <w:rPr>
          <w:rFonts w:ascii="Arial" w:hAnsi="Arial" w:cs="Arial"/>
        </w:rPr>
      </w:pPr>
      <w:r w:rsidRPr="00556779">
        <w:rPr>
          <w:rFonts w:ascii="Arial" w:hAnsi="Arial" w:cs="Arial"/>
        </w:rPr>
        <w:t>3. Normalidade de mercado representada pelo intervalo de confiança.</w:t>
      </w:r>
    </w:p>
    <w:p w14:paraId="7DB86E70" w14:textId="2771A950" w:rsidR="00F662A8" w:rsidRPr="00556779" w:rsidRDefault="00F662A8" w:rsidP="00002C6E">
      <w:pPr>
        <w:rPr>
          <w:rFonts w:ascii="Arial" w:hAnsi="Arial" w:cs="Arial"/>
        </w:rPr>
      </w:pPr>
    </w:p>
    <w:p w14:paraId="3AA69998" w14:textId="77777777" w:rsidR="00F662A8" w:rsidRPr="00556779" w:rsidRDefault="00A60F72" w:rsidP="00CD4D06">
      <w:pPr>
        <w:jc w:val="both"/>
        <w:rPr>
          <w:rFonts w:ascii="Arial" w:hAnsi="Arial" w:cs="Arial"/>
        </w:rPr>
      </w:pPr>
      <w:r w:rsidRPr="00556779">
        <w:rPr>
          <w:rFonts w:ascii="Arial" w:hAnsi="Arial" w:cs="Arial"/>
        </w:rPr>
        <w:t>Esta seção possui como seguintes objetivos: (i) Descrever alguns fundamentos matemáticos d</w:t>
      </w:r>
      <w:r w:rsidR="00002C6E" w:rsidRPr="00556779">
        <w:rPr>
          <w:rFonts w:ascii="Arial" w:hAnsi="Arial" w:cs="Arial"/>
        </w:rPr>
        <w:t>o VaR</w:t>
      </w:r>
      <w:r w:rsidRPr="00556779">
        <w:rPr>
          <w:rFonts w:ascii="Arial" w:hAnsi="Arial" w:cs="Arial"/>
        </w:rPr>
        <w:t xml:space="preserve">; (ii) Apresentar algumas </w:t>
      </w:r>
      <w:r w:rsidR="00002C6E" w:rsidRPr="00556779">
        <w:rPr>
          <w:rFonts w:ascii="Arial" w:hAnsi="Arial" w:cs="Arial"/>
        </w:rPr>
        <w:t xml:space="preserve">diferentes metodologias para estimar </w:t>
      </w:r>
      <w:r w:rsidRPr="00556779">
        <w:rPr>
          <w:rFonts w:ascii="Arial" w:hAnsi="Arial" w:cs="Arial"/>
        </w:rPr>
        <w:t>d</w:t>
      </w:r>
      <w:r w:rsidR="00002C6E" w:rsidRPr="00556779">
        <w:rPr>
          <w:rFonts w:ascii="Arial" w:hAnsi="Arial" w:cs="Arial"/>
        </w:rPr>
        <w:t>o</w:t>
      </w:r>
      <w:r w:rsidRPr="00556779">
        <w:rPr>
          <w:rFonts w:ascii="Arial" w:hAnsi="Arial" w:cs="Arial"/>
        </w:rPr>
        <w:t xml:space="preserve"> VaR; e (ii) Debater benefícios e fragilidades das diferentes abordagens de construção do </w:t>
      </w:r>
      <w:r w:rsidR="00002C6E" w:rsidRPr="00556779">
        <w:rPr>
          <w:rFonts w:ascii="Arial" w:hAnsi="Arial" w:cs="Arial"/>
        </w:rPr>
        <w:t>VaR.</w:t>
      </w:r>
      <w:r w:rsidR="00F662A8" w:rsidRPr="00556779">
        <w:rPr>
          <w:rFonts w:ascii="Arial" w:hAnsi="Arial" w:cs="Arial"/>
        </w:rPr>
        <w:t xml:space="preserve"> </w:t>
      </w:r>
    </w:p>
    <w:p w14:paraId="738730AC" w14:textId="77777777" w:rsidR="00F662A8" w:rsidRPr="00556779" w:rsidRDefault="00F662A8" w:rsidP="00CD4D06">
      <w:pPr>
        <w:jc w:val="both"/>
        <w:rPr>
          <w:rFonts w:ascii="Arial" w:hAnsi="Arial" w:cs="Arial"/>
        </w:rPr>
      </w:pPr>
    </w:p>
    <w:p w14:paraId="1395DC4E" w14:textId="02A84164" w:rsidR="00F662A8" w:rsidRPr="00556779" w:rsidRDefault="00F662A8" w:rsidP="00F662A8">
      <w:pPr>
        <w:rPr>
          <w:rFonts w:ascii="Arial" w:hAnsi="Arial" w:cs="Arial"/>
          <w:b/>
          <w:bCs/>
          <w:i/>
          <w:iCs/>
        </w:rPr>
      </w:pPr>
      <w:r w:rsidRPr="00556779">
        <w:rPr>
          <w:rFonts w:ascii="Arial" w:hAnsi="Arial" w:cs="Arial"/>
          <w:b/>
          <w:bCs/>
        </w:rPr>
        <w:t xml:space="preserve">Definição Matemática de </w:t>
      </w:r>
      <w:r w:rsidRPr="00556779">
        <w:rPr>
          <w:rFonts w:ascii="Arial" w:hAnsi="Arial" w:cs="Arial"/>
          <w:b/>
          <w:bCs/>
          <w:i/>
          <w:iCs/>
        </w:rPr>
        <w:t>Value at Risk</w:t>
      </w:r>
    </w:p>
    <w:p w14:paraId="0BE14BE9" w14:textId="5D29CE10" w:rsidR="00F662A8" w:rsidRPr="00556779" w:rsidRDefault="00F662A8" w:rsidP="00F662A8">
      <w:pPr>
        <w:rPr>
          <w:rFonts w:ascii="Arial" w:hAnsi="Arial" w:cs="Arial"/>
          <w:i/>
          <w:iCs/>
        </w:rPr>
      </w:pPr>
    </w:p>
    <w:p w14:paraId="27D310EC" w14:textId="673D0579" w:rsidR="00F662A8" w:rsidRPr="00556779" w:rsidRDefault="00F662A8" w:rsidP="00F662A8">
      <w:pPr>
        <w:rPr>
          <w:rFonts w:ascii="Arial" w:hAnsi="Arial" w:cs="Arial"/>
          <w:i/>
          <w:iCs/>
        </w:rPr>
      </w:pPr>
    </w:p>
    <w:p w14:paraId="71A5208B" w14:textId="40E04332" w:rsidR="00F662A8" w:rsidRPr="00556779" w:rsidRDefault="00F662A8" w:rsidP="00CD4D06">
      <w:pPr>
        <w:jc w:val="both"/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Dado um nível de confiança de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</w:t>
      </w:r>
      <w:r w:rsidRPr="00556779">
        <w:rPr>
          <w:rFonts w:ascii="Cambria Math" w:hAnsi="Cambria Math" w:cs="Cambria Math"/>
        </w:rPr>
        <w:t>∈</w:t>
      </w:r>
      <w:r w:rsidRPr="00556779">
        <w:rPr>
          <w:rFonts w:ascii="Arial" w:hAnsi="Arial" w:cs="Arial"/>
        </w:rPr>
        <w:t xml:space="preserve"> (0,1), no horizonte de tempo </w:t>
      </w:r>
      <w:r w:rsidRPr="00556779">
        <w:rPr>
          <w:rFonts w:ascii="Arial" w:hAnsi="Arial" w:cs="Arial"/>
          <w:i/>
          <w:iCs/>
        </w:rPr>
        <w:t>t</w:t>
      </w:r>
      <w:r w:rsidRPr="00556779">
        <w:rPr>
          <w:rFonts w:ascii="Arial" w:hAnsi="Arial" w:cs="Arial"/>
        </w:rPr>
        <w:t xml:space="preserve"> e</w:t>
      </w:r>
      <w:r w:rsidRPr="00556779">
        <w:rPr>
          <w:rFonts w:ascii="Arial" w:hAnsi="Arial" w:cs="Arial"/>
          <w:i/>
          <w:iCs/>
        </w:rPr>
        <w:t xml:space="preserve"> t+α</w:t>
      </w:r>
      <w:r w:rsidRPr="00556779">
        <w:rPr>
          <w:rFonts w:ascii="Arial" w:hAnsi="Arial" w:cs="Arial"/>
        </w:rPr>
        <w:t>, desejamos calcular a mudança na posição do no ativo financeiro 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 durante o período 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. Seja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 xml:space="preserve"> 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>) a função de distribuição acumulada de 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>). Uma vez que a posição financeira é 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)≤0, podemos definir o VaR de uma ativo no tempo 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 para um dado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como sendo:</w:t>
      </w:r>
    </w:p>
    <w:p w14:paraId="55239633" w14:textId="77777777" w:rsidR="00F662A8" w:rsidRPr="00556779" w:rsidRDefault="00F662A8" w:rsidP="00F662A8">
      <w:pPr>
        <w:rPr>
          <w:rFonts w:ascii="Arial" w:hAnsi="Arial" w:cs="Arial"/>
          <w:i/>
          <w:iCs/>
        </w:rPr>
      </w:pPr>
    </w:p>
    <w:p w14:paraId="7CDFA369" w14:textId="432A9F07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= </w:t>
      </w:r>
      <w:r w:rsidRPr="00556779">
        <w:rPr>
          <w:rFonts w:ascii="Cambria Math" w:hAnsi="Cambria Math" w:cs="Cambria Math"/>
        </w:rPr>
        <w:t>ℙ</w:t>
      </w:r>
      <w:r w:rsidRPr="00556779">
        <w:rPr>
          <w:rFonts w:ascii="Arial" w:hAnsi="Arial" w:cs="Arial"/>
        </w:rPr>
        <w:t xml:space="preserve"> [Δ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 ≤ </w:t>
      </w:r>
      <w:r w:rsidRPr="00556779">
        <w:rPr>
          <w:rFonts w:ascii="Arial" w:hAnsi="Arial" w:cs="Arial"/>
          <w:i/>
          <w:iCs/>
        </w:rPr>
        <w:t xml:space="preserve">VaR </w:t>
      </w:r>
      <w:r w:rsidRPr="00556779">
        <w:rPr>
          <w:rFonts w:ascii="Arial" w:hAnsi="Arial" w:cs="Arial"/>
        </w:rPr>
        <w:t xml:space="preserve">] =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 xml:space="preserve"> 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>)</w:t>
      </w:r>
    </w:p>
    <w:p w14:paraId="7F7EEBD7" w14:textId="77777777" w:rsidR="00F662A8" w:rsidRPr="00556779" w:rsidRDefault="00F662A8" w:rsidP="00F662A8">
      <w:pPr>
        <w:rPr>
          <w:rFonts w:ascii="Arial" w:hAnsi="Arial" w:cs="Arial"/>
        </w:rPr>
      </w:pPr>
    </w:p>
    <w:p w14:paraId="7E183B37" w14:textId="13E13C0C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Considerando o detentor de uma posição, em um determinado tempo 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 com probabilidade </w:t>
      </w:r>
      <w:r w:rsidRPr="00556779">
        <w:rPr>
          <w:rFonts w:ascii="Arial" w:hAnsi="Arial" w:cs="Arial"/>
          <w:i/>
          <w:iCs/>
        </w:rPr>
        <w:t xml:space="preserve">p </w:t>
      </w:r>
      <w:r w:rsidRPr="00556779">
        <w:rPr>
          <w:rFonts w:ascii="Arial" w:hAnsi="Arial" w:cs="Arial"/>
        </w:rPr>
        <w:t>uma posição 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>)≤0, o VaR é então definido como sendo:</w:t>
      </w:r>
    </w:p>
    <w:p w14:paraId="15B563DB" w14:textId="27A95ACA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= </w:t>
      </w:r>
      <w:r w:rsidRPr="00556779">
        <w:rPr>
          <w:rFonts w:ascii="Cambria Math" w:hAnsi="Cambria Math" w:cs="Cambria Math"/>
        </w:rPr>
        <w:t>ℙ</w:t>
      </w:r>
      <w:r w:rsidRPr="00556779">
        <w:rPr>
          <w:rFonts w:ascii="Arial" w:hAnsi="Arial" w:cs="Arial"/>
        </w:rPr>
        <w:t xml:space="preserve"> [Δ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 </w:t>
      </w:r>
      <w:r w:rsidR="007941E9" w:rsidRPr="00556779">
        <w:rPr>
          <w:rFonts w:ascii="Arial" w:hAnsi="Arial" w:cs="Arial"/>
        </w:rPr>
        <w:t xml:space="preserve">≥ </w:t>
      </w:r>
      <w:r w:rsidRPr="00556779">
        <w:rPr>
          <w:rFonts w:ascii="Arial" w:hAnsi="Arial" w:cs="Arial"/>
          <w:i/>
          <w:iCs/>
        </w:rPr>
        <w:t xml:space="preserve">VaR </w:t>
      </w:r>
      <w:r w:rsidRPr="00556779">
        <w:rPr>
          <w:rFonts w:ascii="Arial" w:hAnsi="Arial" w:cs="Arial"/>
        </w:rPr>
        <w:t xml:space="preserve">] = 1- </w:t>
      </w:r>
      <w:r w:rsidRPr="00556779">
        <w:rPr>
          <w:rFonts w:ascii="Cambria Math" w:hAnsi="Cambria Math" w:cs="Cambria Math"/>
        </w:rPr>
        <w:t>ℙ</w:t>
      </w:r>
      <w:r w:rsidRPr="00556779">
        <w:rPr>
          <w:rFonts w:ascii="Arial" w:hAnsi="Arial" w:cs="Arial"/>
        </w:rPr>
        <w:t xml:space="preserve"> [Δ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 ≤ </w:t>
      </w:r>
      <w:r w:rsidRPr="00556779">
        <w:rPr>
          <w:rFonts w:ascii="Arial" w:hAnsi="Arial" w:cs="Arial"/>
          <w:i/>
          <w:iCs/>
        </w:rPr>
        <w:t xml:space="preserve">VaR </w:t>
      </w:r>
      <w:r w:rsidRPr="00556779">
        <w:rPr>
          <w:rFonts w:ascii="Arial" w:hAnsi="Arial" w:cs="Arial"/>
        </w:rPr>
        <w:t xml:space="preserve">] </w:t>
      </w:r>
      <w:r w:rsidR="007941E9" w:rsidRPr="00556779">
        <w:rPr>
          <w:rFonts w:ascii="Arial" w:hAnsi="Arial" w:cs="Arial"/>
        </w:rPr>
        <w:t xml:space="preserve">= 1-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 xml:space="preserve"> 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>)</w:t>
      </w:r>
    </w:p>
    <w:p w14:paraId="7916408E" w14:textId="6FE53BA4" w:rsidR="00F662A8" w:rsidRPr="00556779" w:rsidRDefault="007941E9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Agora definimos o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-quantil de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 xml:space="preserve"> 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 xml:space="preserve">), o qual para cada nível de confiança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</w:t>
      </w:r>
      <w:r w:rsidRPr="00556779">
        <w:rPr>
          <w:rFonts w:ascii="Cambria Math" w:hAnsi="Cambria Math" w:cs="Cambria Math"/>
        </w:rPr>
        <w:t>∈</w:t>
      </w:r>
      <w:r w:rsidRPr="00556779">
        <w:rPr>
          <w:rFonts w:ascii="Arial" w:hAnsi="Arial" w:cs="Arial"/>
        </w:rPr>
        <w:t xml:space="preserve"> (0,1): </w:t>
      </w:r>
      <w:r w:rsidR="00F662A8" w:rsidRPr="00556779">
        <w:rPr>
          <w:rFonts w:ascii="Arial" w:hAnsi="Arial" w:cs="Arial"/>
        </w:rPr>
        <w:t>0,1 é</w:t>
      </w:r>
    </w:p>
    <w:p w14:paraId="0F11BE71" w14:textId="3EF5C26D" w:rsidR="007941E9" w:rsidRPr="00556779" w:rsidRDefault="007941E9" w:rsidP="007941E9">
      <w:pPr>
        <w:rPr>
          <w:rFonts w:ascii="Arial" w:hAnsi="Arial" w:cs="Arial"/>
        </w:rPr>
      </w:pPr>
      <w:r w:rsidRPr="00556779">
        <w:rPr>
          <w:rFonts w:ascii="Arial" w:hAnsi="Arial" w:cs="Arial"/>
          <w:i/>
          <w:iCs/>
        </w:rPr>
        <w:lastRenderedPageBreak/>
        <w:t>VaR</w:t>
      </w:r>
      <w:r w:rsidRPr="00556779">
        <w:rPr>
          <w:rFonts w:ascii="Arial" w:hAnsi="Arial" w:cs="Arial"/>
          <w:i/>
          <w:iCs/>
          <w:vertAlign w:val="subscript"/>
        </w:rPr>
        <w:t>p</w:t>
      </w:r>
      <w:r w:rsidRPr="00556779">
        <w:rPr>
          <w:rFonts w:ascii="Arial" w:hAnsi="Arial" w:cs="Arial"/>
        </w:rPr>
        <w:t xml:space="preserve"> = 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  <w:i/>
          <w:iCs/>
          <w:vertAlign w:val="subscript"/>
        </w:rPr>
        <w:t>p</w:t>
      </w:r>
      <w:r w:rsidRPr="00556779">
        <w:rPr>
          <w:rFonts w:ascii="Arial" w:hAnsi="Arial" w:cs="Arial"/>
        </w:rPr>
        <w:t xml:space="preserve"> =INF{ 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 xml:space="preserve"> |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 xml:space="preserve">) &gt;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}</w:t>
      </w:r>
    </w:p>
    <w:p w14:paraId="4A03653A" w14:textId="4A79F798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>Portanto, o comportamento da cauda de</w:t>
      </w:r>
      <w:r w:rsidR="007941E9" w:rsidRPr="00556779">
        <w:rPr>
          <w:rFonts w:ascii="Arial" w:hAnsi="Arial" w:cs="Arial"/>
        </w:rPr>
        <w:t xml:space="preserve"> </w:t>
      </w:r>
      <w:r w:rsidR="007941E9" w:rsidRPr="00556779">
        <w:rPr>
          <w:rFonts w:ascii="Arial" w:hAnsi="Arial" w:cs="Arial"/>
          <w:i/>
          <w:iCs/>
        </w:rPr>
        <w:t>F</w:t>
      </w:r>
      <w:r w:rsidR="007941E9" w:rsidRPr="00556779">
        <w:rPr>
          <w:rFonts w:ascii="Arial" w:hAnsi="Arial" w:cs="Arial"/>
          <w:i/>
          <w:iCs/>
          <w:vertAlign w:val="subscript"/>
        </w:rPr>
        <w:t>α</w:t>
      </w:r>
      <w:r w:rsidR="007941E9" w:rsidRPr="00556779">
        <w:rPr>
          <w:rFonts w:ascii="Arial" w:hAnsi="Arial" w:cs="Arial"/>
        </w:rPr>
        <w:t>(</w:t>
      </w:r>
      <w:r w:rsidR="007941E9" w:rsidRPr="00556779">
        <w:rPr>
          <w:rFonts w:ascii="Arial" w:hAnsi="Arial" w:cs="Arial"/>
          <w:i/>
          <w:iCs/>
        </w:rPr>
        <w:t>x</w:t>
      </w:r>
      <w:r w:rsidR="007941E9" w:rsidRPr="00556779">
        <w:rPr>
          <w:rFonts w:ascii="Arial" w:hAnsi="Arial" w:cs="Arial"/>
        </w:rPr>
        <w:t xml:space="preserve">), ou seja, os quantis, são a condição </w:t>
      </w:r>
      <w:r w:rsidRPr="00556779">
        <w:rPr>
          <w:rFonts w:ascii="Arial" w:hAnsi="Arial" w:cs="Arial"/>
        </w:rPr>
        <w:t>necessária para</w:t>
      </w:r>
      <w:r w:rsidR="007941E9" w:rsidRPr="00556779">
        <w:rPr>
          <w:rFonts w:ascii="Arial" w:hAnsi="Arial" w:cs="Arial"/>
        </w:rPr>
        <w:t xml:space="preserve"> </w:t>
      </w:r>
      <w:r w:rsidRPr="00556779">
        <w:rPr>
          <w:rFonts w:ascii="Arial" w:hAnsi="Arial" w:cs="Arial"/>
        </w:rPr>
        <w:t xml:space="preserve">cálculo </w:t>
      </w:r>
      <w:r w:rsidR="007941E9" w:rsidRPr="00556779">
        <w:rPr>
          <w:rFonts w:ascii="Arial" w:hAnsi="Arial" w:cs="Arial"/>
        </w:rPr>
        <w:t xml:space="preserve">aproximado </w:t>
      </w:r>
      <w:r w:rsidRPr="00556779">
        <w:rPr>
          <w:rFonts w:ascii="Arial" w:hAnsi="Arial" w:cs="Arial"/>
        </w:rPr>
        <w:t>do VaR.</w:t>
      </w:r>
    </w:p>
    <w:p w14:paraId="7F4F2DD2" w14:textId="6FB994BF" w:rsidR="00B91C0E" w:rsidRPr="00556779" w:rsidRDefault="00B91C0E" w:rsidP="00B91C0E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Além dos 03 fatores já mencionados, podemos adicionar para calcular o </w:t>
      </w:r>
      <w:r w:rsidR="00F662A8" w:rsidRPr="00556779">
        <w:rPr>
          <w:rFonts w:ascii="Arial" w:hAnsi="Arial" w:cs="Arial"/>
        </w:rPr>
        <w:t>VaR</w:t>
      </w:r>
      <w:r w:rsidRPr="00556779">
        <w:rPr>
          <w:rFonts w:ascii="Arial" w:hAnsi="Arial" w:cs="Arial"/>
        </w:rPr>
        <w:t xml:space="preserve"> a frequência e a distribuição de probabilidade acumulada. Assim temos os elementos,</w:t>
      </w:r>
    </w:p>
    <w:p w14:paraId="3D8C5B33" w14:textId="4C937816" w:rsidR="00B91C0E" w:rsidRPr="00556779" w:rsidRDefault="00B91C0E" w:rsidP="00B91C0E">
      <w:pPr>
        <w:rPr>
          <w:rFonts w:ascii="Arial" w:hAnsi="Arial" w:cs="Arial"/>
        </w:rPr>
      </w:pPr>
    </w:p>
    <w:p w14:paraId="5E1178BB" w14:textId="2246F1F5" w:rsidR="00B91C0E" w:rsidRPr="00556779" w:rsidRDefault="00B91C0E" w:rsidP="00B91C0E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1. Horizonte de tempo 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>.</w:t>
      </w:r>
    </w:p>
    <w:p w14:paraId="5F5174D9" w14:textId="7EA7E959" w:rsidR="00B91C0E" w:rsidRPr="00556779" w:rsidRDefault="00B91C0E" w:rsidP="00B91C0E">
      <w:pPr>
        <w:rPr>
          <w:rFonts w:ascii="Arial" w:hAnsi="Arial" w:cs="Arial"/>
        </w:rPr>
      </w:pPr>
      <w:r w:rsidRPr="00556779">
        <w:rPr>
          <w:rFonts w:ascii="Arial" w:hAnsi="Arial" w:cs="Arial"/>
        </w:rPr>
        <w:t>2. Valor monetário do VaR.</w:t>
      </w:r>
    </w:p>
    <w:p w14:paraId="52FC9DA5" w14:textId="77777777" w:rsidR="00B91C0E" w:rsidRPr="00556779" w:rsidRDefault="00B91C0E" w:rsidP="00B91C0E">
      <w:pPr>
        <w:rPr>
          <w:rFonts w:ascii="Arial" w:hAnsi="Arial" w:cs="Arial"/>
        </w:rPr>
      </w:pPr>
      <w:r w:rsidRPr="00556779">
        <w:rPr>
          <w:rFonts w:ascii="Arial" w:hAnsi="Arial" w:cs="Arial"/>
        </w:rPr>
        <w:t>3. Normalidade de mercado representada pelo intervalo de confiança.</w:t>
      </w:r>
    </w:p>
    <w:p w14:paraId="75B686C9" w14:textId="6C185D39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4. </w:t>
      </w:r>
      <w:r w:rsidR="00B91C0E" w:rsidRPr="00556779">
        <w:rPr>
          <w:rFonts w:ascii="Arial" w:hAnsi="Arial" w:cs="Arial"/>
        </w:rPr>
        <w:t>F</w:t>
      </w:r>
      <w:r w:rsidRPr="00556779">
        <w:rPr>
          <w:rFonts w:ascii="Arial" w:hAnsi="Arial" w:cs="Arial"/>
        </w:rPr>
        <w:t>requência dos dados.</w:t>
      </w:r>
    </w:p>
    <w:p w14:paraId="2B07E7B2" w14:textId="68D30376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5. </w:t>
      </w:r>
      <w:r w:rsidR="00B91C0E" w:rsidRPr="00556779">
        <w:rPr>
          <w:rFonts w:ascii="Arial" w:hAnsi="Arial" w:cs="Arial"/>
        </w:rPr>
        <w:t xml:space="preserve">Distribuição de probabilidade acumulada </w:t>
      </w:r>
      <w:r w:rsidR="00B91C0E" w:rsidRPr="00556779">
        <w:rPr>
          <w:rFonts w:ascii="Arial" w:hAnsi="Arial" w:cs="Arial"/>
          <w:i/>
          <w:iCs/>
        </w:rPr>
        <w:t>F</w:t>
      </w:r>
      <w:r w:rsidR="00B91C0E" w:rsidRPr="00556779">
        <w:rPr>
          <w:rFonts w:ascii="Arial" w:hAnsi="Arial" w:cs="Arial"/>
          <w:i/>
          <w:iCs/>
          <w:vertAlign w:val="subscript"/>
        </w:rPr>
        <w:t>α</w:t>
      </w:r>
      <w:r w:rsidR="00B91C0E" w:rsidRPr="00556779">
        <w:rPr>
          <w:rFonts w:ascii="Arial" w:hAnsi="Arial" w:cs="Arial"/>
        </w:rPr>
        <w:t xml:space="preserve"> (</w:t>
      </w:r>
      <w:r w:rsidR="00B91C0E" w:rsidRPr="00556779">
        <w:rPr>
          <w:rFonts w:ascii="Arial" w:hAnsi="Arial" w:cs="Arial"/>
          <w:i/>
          <w:iCs/>
        </w:rPr>
        <w:t>x</w:t>
      </w:r>
      <w:r w:rsidR="00B91C0E" w:rsidRPr="00556779">
        <w:rPr>
          <w:rFonts w:ascii="Arial" w:hAnsi="Arial" w:cs="Arial"/>
        </w:rPr>
        <w:t>) e seus quantis</w:t>
      </w:r>
      <w:r w:rsidRPr="00556779">
        <w:rPr>
          <w:rFonts w:ascii="Arial" w:hAnsi="Arial" w:cs="Arial"/>
        </w:rPr>
        <w:t>.</w:t>
      </w:r>
    </w:p>
    <w:p w14:paraId="23109557" w14:textId="5005F932" w:rsidR="00002C6E" w:rsidRDefault="00002C6E" w:rsidP="00A60F72">
      <w:pPr>
        <w:rPr>
          <w:rFonts w:ascii="Arial" w:hAnsi="Arial" w:cs="Arial"/>
        </w:rPr>
      </w:pPr>
    </w:p>
    <w:p w14:paraId="01FF9497" w14:textId="25B3DB9E" w:rsidR="00A1211D" w:rsidRDefault="00A1211D" w:rsidP="00A60F72">
      <w:pPr>
        <w:rPr>
          <w:rFonts w:ascii="Arial" w:hAnsi="Arial" w:cs="Arial"/>
        </w:rPr>
      </w:pPr>
    </w:p>
    <w:p w14:paraId="7FFD08AC" w14:textId="2942AB3E" w:rsidR="00A1211D" w:rsidRDefault="00A1211D" w:rsidP="00A60F72">
      <w:pPr>
        <w:rPr>
          <w:rFonts w:ascii="Arial" w:hAnsi="Arial" w:cs="Arial"/>
        </w:rPr>
      </w:pPr>
    </w:p>
    <w:p w14:paraId="7DB02DA1" w14:textId="7E8C3477" w:rsidR="00A1211D" w:rsidRDefault="00A1211D" w:rsidP="00A60F72">
      <w:pPr>
        <w:rPr>
          <w:rFonts w:ascii="Arial" w:hAnsi="Arial" w:cs="Arial"/>
        </w:rPr>
      </w:pPr>
      <w:r>
        <w:rPr>
          <w:rFonts w:ascii="Arial" w:hAnsi="Arial" w:cs="Arial"/>
        </w:rPr>
        <w:t>Métodos para Calcular o VaR</w:t>
      </w:r>
    </w:p>
    <w:p w14:paraId="6081E724" w14:textId="728D432A" w:rsidR="00A1211D" w:rsidRDefault="00A1211D" w:rsidP="00A60F72">
      <w:pPr>
        <w:rPr>
          <w:rFonts w:ascii="Arial" w:hAnsi="Arial" w:cs="Arial"/>
        </w:rPr>
      </w:pPr>
    </w:p>
    <w:p w14:paraId="43D81965" w14:textId="0F78BB3D" w:rsid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Embora conceitualmente simples e utilizáveis, as estimativas de VaR têm</w:t>
      </w:r>
      <w:r>
        <w:rPr>
          <w:rFonts w:ascii="Arial" w:hAnsi="Arial" w:cs="Arial"/>
        </w:rPr>
        <w:t xml:space="preserve"> </w:t>
      </w:r>
      <w:r w:rsidRPr="00A1211D">
        <w:rPr>
          <w:rFonts w:ascii="Arial" w:hAnsi="Arial" w:cs="Arial"/>
        </w:rPr>
        <w:t>tornaram-se mais complicados e sofisticados durante a última década.</w:t>
      </w:r>
    </w:p>
    <w:p w14:paraId="3056A276" w14:textId="63C5B4A3" w:rsidR="00A1211D" w:rsidRDefault="00A1211D" w:rsidP="00A60F72">
      <w:pPr>
        <w:rPr>
          <w:rFonts w:ascii="Arial" w:hAnsi="Arial" w:cs="Arial"/>
        </w:rPr>
      </w:pPr>
    </w:p>
    <w:p w14:paraId="0C4376EC" w14:textId="546D1524" w:rsidR="00A1211D" w:rsidRDefault="00A1211D" w:rsidP="00A121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forma geral, os métodos de estimação do </w:t>
      </w:r>
      <w:r w:rsidRPr="00A1211D">
        <w:rPr>
          <w:rFonts w:ascii="Arial" w:hAnsi="Arial" w:cs="Arial"/>
        </w:rPr>
        <w:t xml:space="preserve">VaR podem ser </w:t>
      </w:r>
      <w:r>
        <w:rPr>
          <w:rFonts w:ascii="Arial" w:hAnsi="Arial" w:cs="Arial"/>
        </w:rPr>
        <w:t xml:space="preserve">organizados </w:t>
      </w:r>
      <w:r w:rsidRPr="00A1211D">
        <w:rPr>
          <w:rFonts w:ascii="Arial" w:hAnsi="Arial" w:cs="Arial"/>
        </w:rPr>
        <w:t>em três</w:t>
      </w:r>
      <w:r>
        <w:rPr>
          <w:rFonts w:ascii="Arial" w:hAnsi="Arial" w:cs="Arial"/>
        </w:rPr>
        <w:t xml:space="preserve"> grandes categorias </w:t>
      </w:r>
      <w:r w:rsidRPr="00A1211D">
        <w:rPr>
          <w:rFonts w:ascii="Arial" w:hAnsi="Arial" w:cs="Arial"/>
        </w:rPr>
        <w:t>(Kim e Lee, 2016)</w:t>
      </w:r>
      <w:r>
        <w:rPr>
          <w:rFonts w:ascii="Arial" w:hAnsi="Arial" w:cs="Arial"/>
        </w:rPr>
        <w:t xml:space="preserve">: </w:t>
      </w:r>
      <w:r w:rsidR="00841ACB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étodo paramétrico, </w:t>
      </w:r>
      <w:r w:rsidR="00841ACB">
        <w:rPr>
          <w:rFonts w:ascii="Arial" w:hAnsi="Arial" w:cs="Arial"/>
        </w:rPr>
        <w:t>semi-</w:t>
      </w:r>
      <w:r w:rsidR="00841ACB">
        <w:rPr>
          <w:rFonts w:ascii="Arial" w:hAnsi="Arial" w:cs="Arial"/>
        </w:rPr>
        <w:t>paramétrico</w:t>
      </w:r>
      <w:r w:rsidR="00841ACB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não-</w:t>
      </w:r>
      <w:r>
        <w:rPr>
          <w:rFonts w:ascii="Arial" w:hAnsi="Arial" w:cs="Arial"/>
        </w:rPr>
        <w:t>paramétrico</w:t>
      </w:r>
      <w:r w:rsidR="00841ACB">
        <w:rPr>
          <w:rFonts w:ascii="Arial" w:hAnsi="Arial" w:cs="Arial"/>
        </w:rPr>
        <w:t>,</w:t>
      </w:r>
    </w:p>
    <w:p w14:paraId="5AF967FC" w14:textId="77777777" w:rsidR="00A1211D" w:rsidRDefault="00A1211D" w:rsidP="00A1211D">
      <w:pPr>
        <w:rPr>
          <w:rFonts w:ascii="Arial" w:hAnsi="Arial" w:cs="Arial"/>
        </w:rPr>
      </w:pPr>
    </w:p>
    <w:p w14:paraId="0BCD61C4" w14:textId="0F96D95D" w:rsidR="00A1211D" w:rsidRPr="00A1211D" w:rsidRDefault="00A1211D" w:rsidP="00841A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método </w:t>
      </w:r>
      <w:r w:rsidRPr="00A1211D">
        <w:rPr>
          <w:rFonts w:ascii="Arial" w:hAnsi="Arial" w:cs="Arial"/>
        </w:rPr>
        <w:t>paramétric</w:t>
      </w:r>
      <w:r>
        <w:rPr>
          <w:rFonts w:ascii="Arial" w:hAnsi="Arial" w:cs="Arial"/>
        </w:rPr>
        <w:t xml:space="preserve">o consiste </w:t>
      </w:r>
      <w:r w:rsidR="00841ACB">
        <w:rPr>
          <w:rFonts w:ascii="Arial" w:hAnsi="Arial" w:cs="Arial"/>
        </w:rPr>
        <w:t xml:space="preserve">em gerar </w:t>
      </w:r>
      <w:r>
        <w:rPr>
          <w:rFonts w:ascii="Arial" w:hAnsi="Arial" w:cs="Arial"/>
        </w:rPr>
        <w:t>uma série de retornos monetários</w:t>
      </w:r>
      <w:r w:rsidRPr="00A1211D">
        <w:rPr>
          <w:rFonts w:ascii="Arial" w:hAnsi="Arial" w:cs="Arial"/>
        </w:rPr>
        <w:t xml:space="preserve">, </w:t>
      </w:r>
      <w:r w:rsidR="00841ACB">
        <w:rPr>
          <w:rFonts w:ascii="Arial" w:hAnsi="Arial" w:cs="Arial"/>
        </w:rPr>
        <w:t xml:space="preserve">onde os erros seguem </w:t>
      </w:r>
      <w:r w:rsidRPr="00A1211D">
        <w:rPr>
          <w:rFonts w:ascii="Arial" w:hAnsi="Arial" w:cs="Arial"/>
        </w:rPr>
        <w:t xml:space="preserve">uma distribuição específica. </w:t>
      </w:r>
      <w:r w:rsidR="00841ACB">
        <w:rPr>
          <w:rFonts w:ascii="Arial" w:hAnsi="Arial" w:cs="Arial"/>
        </w:rPr>
        <w:t xml:space="preserve">Por </w:t>
      </w:r>
      <w:r w:rsidRPr="00A1211D">
        <w:rPr>
          <w:rFonts w:ascii="Arial" w:hAnsi="Arial" w:cs="Arial"/>
        </w:rPr>
        <w:t>exemplo</w:t>
      </w:r>
      <w:r w:rsidR="00841ACB">
        <w:rPr>
          <w:rFonts w:ascii="Arial" w:hAnsi="Arial" w:cs="Arial"/>
        </w:rPr>
        <w:t xml:space="preserve">, </w:t>
      </w:r>
      <w:r w:rsidRPr="00A1211D">
        <w:rPr>
          <w:rFonts w:ascii="Arial" w:hAnsi="Arial" w:cs="Arial"/>
        </w:rPr>
        <w:t xml:space="preserve">o </w:t>
      </w:r>
      <w:r w:rsidR="00841ACB">
        <w:rPr>
          <w:rFonts w:ascii="Arial" w:hAnsi="Arial" w:cs="Arial"/>
        </w:rPr>
        <w:t xml:space="preserve">modelo </w:t>
      </w:r>
      <w:r w:rsidRPr="00A1211D">
        <w:rPr>
          <w:rFonts w:ascii="Arial" w:hAnsi="Arial" w:cs="Arial"/>
        </w:rPr>
        <w:t xml:space="preserve">Autorregressivo Condicionalmente Heteroscedástico </w:t>
      </w:r>
      <w:r w:rsidR="00841ACB">
        <w:rPr>
          <w:rFonts w:ascii="Arial" w:hAnsi="Arial" w:cs="Arial"/>
        </w:rPr>
        <w:t xml:space="preserve">e Generalizado </w:t>
      </w:r>
      <w:r w:rsidRPr="00A1211D">
        <w:rPr>
          <w:rFonts w:ascii="Arial" w:hAnsi="Arial" w:cs="Arial"/>
        </w:rPr>
        <w:t>(GARCH)</w:t>
      </w:r>
      <w:r w:rsidR="00841ACB">
        <w:rPr>
          <w:rFonts w:ascii="Arial" w:hAnsi="Arial" w:cs="Arial"/>
        </w:rPr>
        <w:t>,</w:t>
      </w:r>
      <w:r w:rsidRPr="00A1211D">
        <w:rPr>
          <w:rFonts w:ascii="Arial" w:hAnsi="Arial" w:cs="Arial"/>
        </w:rPr>
        <w:t xml:space="preserve"> que usa</w:t>
      </w:r>
      <w:r w:rsidR="00841ACB">
        <w:rPr>
          <w:rFonts w:ascii="Arial" w:hAnsi="Arial" w:cs="Arial"/>
        </w:rPr>
        <w:t xml:space="preserve"> </w:t>
      </w:r>
      <w:r w:rsidRPr="00A1211D">
        <w:rPr>
          <w:rFonts w:ascii="Arial" w:hAnsi="Arial" w:cs="Arial"/>
        </w:rPr>
        <w:t xml:space="preserve">variação </w:t>
      </w:r>
      <w:r w:rsidR="00841ACB">
        <w:rPr>
          <w:rFonts w:ascii="Arial" w:hAnsi="Arial" w:cs="Arial"/>
        </w:rPr>
        <w:t xml:space="preserve">da série </w:t>
      </w:r>
      <w:r w:rsidRPr="00A1211D">
        <w:rPr>
          <w:rFonts w:ascii="Arial" w:hAnsi="Arial" w:cs="Arial"/>
        </w:rPr>
        <w:t xml:space="preserve">histórica para prever a volatilidade futura sob a hipótese de heterocedasticidade condicional. </w:t>
      </w:r>
    </w:p>
    <w:p w14:paraId="599587F6" w14:textId="6AFC883E" w:rsidR="00841ACB" w:rsidRDefault="00841ACB" w:rsidP="00841A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método </w:t>
      </w:r>
      <w:r w:rsidR="00A1211D" w:rsidRPr="00A1211D">
        <w:rPr>
          <w:rFonts w:ascii="Arial" w:hAnsi="Arial" w:cs="Arial"/>
        </w:rPr>
        <w:t>semi-paramétrico</w:t>
      </w:r>
      <w:r>
        <w:rPr>
          <w:rFonts w:ascii="Arial" w:hAnsi="Arial" w:cs="Arial"/>
        </w:rPr>
        <w:t xml:space="preserve"> faz uso da </w:t>
      </w:r>
      <w:r w:rsidR="00A1211D" w:rsidRPr="00A1211D">
        <w:rPr>
          <w:rFonts w:ascii="Arial" w:hAnsi="Arial" w:cs="Arial"/>
        </w:rPr>
        <w:t>regressão quantílica</w:t>
      </w:r>
      <w:r>
        <w:rPr>
          <w:rFonts w:ascii="Arial" w:hAnsi="Arial" w:cs="Arial"/>
        </w:rPr>
        <w:t xml:space="preserve"> ou da </w:t>
      </w:r>
      <w:r w:rsidR="00A1211D" w:rsidRPr="00A1211D">
        <w:rPr>
          <w:rFonts w:ascii="Arial" w:hAnsi="Arial" w:cs="Arial"/>
        </w:rPr>
        <w:t xml:space="preserve">Teoria do Valor Extremo (EVT) </w:t>
      </w:r>
      <w:r>
        <w:rPr>
          <w:rFonts w:ascii="Arial" w:hAnsi="Arial" w:cs="Arial"/>
        </w:rPr>
        <w:t>(</w:t>
      </w:r>
      <w:r w:rsidR="00A1211D" w:rsidRPr="00A1211D">
        <w:rPr>
          <w:rFonts w:ascii="Arial" w:hAnsi="Arial" w:cs="Arial"/>
        </w:rPr>
        <w:t>Smith</w:t>
      </w:r>
      <w:r>
        <w:rPr>
          <w:rFonts w:ascii="Arial" w:hAnsi="Arial" w:cs="Arial"/>
        </w:rPr>
        <w:t xml:space="preserve">, </w:t>
      </w:r>
      <w:r w:rsidR="00A1211D" w:rsidRPr="00A1211D">
        <w:rPr>
          <w:rFonts w:ascii="Arial" w:hAnsi="Arial" w:cs="Arial"/>
        </w:rPr>
        <w:t xml:space="preserve">1989). O EVT </w:t>
      </w:r>
      <w:r>
        <w:rPr>
          <w:rFonts w:ascii="Arial" w:hAnsi="Arial" w:cs="Arial"/>
        </w:rPr>
        <w:t xml:space="preserve">permite </w:t>
      </w:r>
      <w:r w:rsidR="00A1211D" w:rsidRPr="00A1211D">
        <w:rPr>
          <w:rFonts w:ascii="Arial" w:hAnsi="Arial" w:cs="Arial"/>
        </w:rPr>
        <w:t>modelar caudas extremas analisando a parte superior e</w:t>
      </w:r>
      <w:r>
        <w:rPr>
          <w:rFonts w:ascii="Arial" w:hAnsi="Arial" w:cs="Arial"/>
        </w:rPr>
        <w:t xml:space="preserve"> </w:t>
      </w:r>
      <w:r w:rsidR="00A1211D" w:rsidRPr="00A1211D">
        <w:rPr>
          <w:rFonts w:ascii="Arial" w:hAnsi="Arial" w:cs="Arial"/>
        </w:rPr>
        <w:t>quantis inferiores da distribuição correspondente</w:t>
      </w:r>
      <w:r>
        <w:rPr>
          <w:rFonts w:ascii="Arial" w:hAnsi="Arial" w:cs="Arial"/>
        </w:rPr>
        <w:t xml:space="preserve">, enquanto o método de regressão quantilica permite a estimação de quantis para representar perdas máximas. </w:t>
      </w:r>
    </w:p>
    <w:p w14:paraId="0F1B7555" w14:textId="77777777" w:rsidR="00841ACB" w:rsidRPr="00A1211D" w:rsidRDefault="00841ACB" w:rsidP="00841ACB">
      <w:pPr>
        <w:rPr>
          <w:rFonts w:ascii="Arial" w:hAnsi="Arial" w:cs="Arial"/>
        </w:rPr>
      </w:pPr>
    </w:p>
    <w:p w14:paraId="2E8BAB9B" w14:textId="019BAFE2" w:rsidR="00841ACB" w:rsidRPr="00A1211D" w:rsidRDefault="00841ACB" w:rsidP="00841A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método </w:t>
      </w:r>
      <w:r>
        <w:rPr>
          <w:rFonts w:ascii="Arial" w:hAnsi="Arial" w:cs="Arial"/>
        </w:rPr>
        <w:t>não</w:t>
      </w:r>
      <w:r w:rsidRPr="00A1211D">
        <w:rPr>
          <w:rFonts w:ascii="Arial" w:hAnsi="Arial" w:cs="Arial"/>
        </w:rPr>
        <w:t>-paramétrico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faz uso da aprendizagem de máquina para estimar perdas máximas esperadas, sem necessitar estabelecer muitas hipóteses a respeito do modelo e da distribuição de probabilidade dos dados.</w:t>
      </w:r>
    </w:p>
    <w:p w14:paraId="3F432A9B" w14:textId="51753D89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. Uma rede neural artificial (ANN) é uma das</w:t>
      </w:r>
    </w:p>
    <w:p w14:paraId="0EC65939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lastRenderedPageBreak/>
        <w:t>http://dx.doi.org/10.1016/j.econmod.2017.02.014</w:t>
      </w:r>
    </w:p>
    <w:p w14:paraId="6A599C2C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Recebido em 21 de julho de 2016; Recebido em forma revisada em 7 de janeiro de 2017; Aceito em 15 de fevereiro de 2017</w:t>
      </w:r>
    </w:p>
    <w:p w14:paraId="0AC9343B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Tahoma" w:hAnsi="Tahoma" w:cs="Tahoma"/>
        </w:rPr>
        <w:t>⁎</w:t>
      </w:r>
      <w:r w:rsidRPr="00A1211D">
        <w:rPr>
          <w:rFonts w:ascii="Arial" w:hAnsi="Arial" w:cs="Arial"/>
        </w:rPr>
        <w:t xml:space="preserve"> Autor correspondente.</w:t>
      </w:r>
    </w:p>
    <w:p w14:paraId="63E572A7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Endereço de e-mail: fei.su@uts.edu.au (F. Su). 1 Para uma introdução completa ao EVT, consulte Smith (1989) e McNeil (1997), bem como as referências nele contidas.</w:t>
      </w:r>
    </w:p>
    <w:p w14:paraId="746C6BD9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Modelagem econômica xxx (xxxx) xxx–xxx</w:t>
      </w:r>
    </w:p>
    <w:p w14:paraId="7E725558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0264-9993/ © 2017 Elsevier B.V. Todos os direitos reservados.</w:t>
      </w:r>
    </w:p>
    <w:p w14:paraId="0341185E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Por favor, cite este artigo como: Zhang, H.-G., Economic Modeling (2017), http://dx.doi.org/10.1016/j.econmod.2017.02.014</w:t>
      </w:r>
    </w:p>
    <w:p w14:paraId="73508A50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estruturas primitivas de aprendizado de máquina, motivadas pelo aprendizado</w:t>
      </w:r>
    </w:p>
    <w:p w14:paraId="73D719CB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capacidades do cérebro humano, e capaz de realizar funções paralelas</w:t>
      </w:r>
    </w:p>
    <w:p w14:paraId="1E0585E5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Cálculo para previsão de séries temporais. Existem muitas variações de ANN, como as redes de retropropagação (BP) introduzidas por Williams</w:t>
      </w:r>
    </w:p>
    <w:p w14:paraId="54EE737D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e Hinton (1986), e a função de base radial (RBF) proposta por</w:t>
      </w:r>
    </w:p>
    <w:p w14:paraId="5AD15F52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Lowe (1989), entre muitos outros. No entanto, gargalos em áreas como</w:t>
      </w:r>
    </w:p>
    <w:p w14:paraId="2D42AF9F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como overfitting, mínimos locais e tempo de computação, etc., podem restringir o</w:t>
      </w:r>
    </w:p>
    <w:p w14:paraId="725830A3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escalabilidade desses modelos em implementações convencionais. Cortes</w:t>
      </w:r>
    </w:p>
    <w:p w14:paraId="3C4EE12A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e Vapnik (1995) apresentaram a teoria da aprendizagem estatística e</w:t>
      </w:r>
    </w:p>
    <w:p w14:paraId="3920DD27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desenvolver a Support Vector Machine (SVM) com base no risco estrutural</w:t>
      </w:r>
    </w:p>
    <w:p w14:paraId="3CD0F34A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princípio de minimização (SRM), que busca minimizar um</w:t>
      </w:r>
    </w:p>
    <w:p w14:paraId="37123AB8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limitado na dimensão Vapnik Chervonenkis (VC) do erro de generalização. Além desses modelos, o aprendizado profundo tornou-se uma</w:t>
      </w:r>
    </w:p>
    <w:p w14:paraId="516380B5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tópico popular desde que Hinton e Salakhutdinov (2006) propuseram a</w:t>
      </w:r>
    </w:p>
    <w:p w14:paraId="714D6DC0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redes de crenças profundas (DBN).</w:t>
      </w:r>
    </w:p>
    <w:p w14:paraId="42786253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Um DBN pode lidar com séries temporais complexas e de alta dimensão, explorando arquiteturas de redes neurais hierárquicas multicamadas. Além disso, as redes neurais convolucionais</w:t>
      </w:r>
    </w:p>
    <w:p w14:paraId="1F60E27F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(CNNs) introduzidas por LeCun et al. (1989) são uma família de multicamadas</w:t>
      </w:r>
    </w:p>
    <w:p w14:paraId="62DDDB88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redes neurais que aprendem automaticamente recursos hierárquicos e</w:t>
      </w:r>
    </w:p>
    <w:p w14:paraId="743BCF7D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portanto, extraia características invariantes complexas de tradução e distorção</w:t>
      </w:r>
    </w:p>
    <w:p w14:paraId="3593DB82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em camadas superiores. Uma breve introdução a esses modelos de relevância é</w:t>
      </w:r>
    </w:p>
    <w:p w14:paraId="0458CFB0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apresentados na Seção II também. Uma das vantagens mais importantes</w:t>
      </w:r>
    </w:p>
    <w:p w14:paraId="5E245506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desses modelos de aprendizado de máquina é que eles são orientados por dados. em outro</w:t>
      </w:r>
    </w:p>
    <w:p w14:paraId="32DEA8F6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lastRenderedPageBreak/>
        <w:t>palavras, os modelos podem ser razoavelmente estimados sem suposições prévias sobre a natureza da distribuição de erro.</w:t>
      </w:r>
    </w:p>
    <w:p w14:paraId="2304C0C8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Na era do big data, como modelar e calcular o VaR para</w:t>
      </w:r>
    </w:p>
    <w:p w14:paraId="08648337" w14:textId="77777777" w:rsidR="00A1211D" w:rsidRP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séries temporais de alta dimensão se tornam um tópico desafiador. berman</w:t>
      </w:r>
    </w:p>
    <w:p w14:paraId="6797EFAE" w14:textId="130A7E32" w:rsidR="00A1211D" w:rsidRPr="00556779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>(2013) constata que as características únicas de big data são alta dimensionalidade, complexid</w:t>
      </w:r>
    </w:p>
    <w:sectPr w:rsidR="00A1211D" w:rsidRPr="00556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C53FB" w14:textId="77777777" w:rsidR="005E096B" w:rsidRDefault="005E096B" w:rsidP="00A60F72">
      <w:pPr>
        <w:spacing w:after="0" w:line="240" w:lineRule="auto"/>
      </w:pPr>
      <w:r>
        <w:separator/>
      </w:r>
    </w:p>
  </w:endnote>
  <w:endnote w:type="continuationSeparator" w:id="0">
    <w:p w14:paraId="4ED0805D" w14:textId="77777777" w:rsidR="005E096B" w:rsidRDefault="005E096B" w:rsidP="00A6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852D" w14:textId="77777777" w:rsidR="005E096B" w:rsidRDefault="005E096B" w:rsidP="00A60F72">
      <w:pPr>
        <w:spacing w:after="0" w:line="240" w:lineRule="auto"/>
      </w:pPr>
      <w:r>
        <w:separator/>
      </w:r>
    </w:p>
  </w:footnote>
  <w:footnote w:type="continuationSeparator" w:id="0">
    <w:p w14:paraId="68751631" w14:textId="77777777" w:rsidR="005E096B" w:rsidRDefault="005E096B" w:rsidP="00A60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6"/>
    <w:rsid w:val="00002C6E"/>
    <w:rsid w:val="00556779"/>
    <w:rsid w:val="005E096B"/>
    <w:rsid w:val="006E75F5"/>
    <w:rsid w:val="006F6AD9"/>
    <w:rsid w:val="007941E9"/>
    <w:rsid w:val="00841ACB"/>
    <w:rsid w:val="00860ACA"/>
    <w:rsid w:val="008C1416"/>
    <w:rsid w:val="00A1211D"/>
    <w:rsid w:val="00A60F72"/>
    <w:rsid w:val="00B91C0E"/>
    <w:rsid w:val="00CD4D06"/>
    <w:rsid w:val="00F6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9E13C0"/>
  <w15:chartTrackingRefBased/>
  <w15:docId w15:val="{4F414BB7-4387-4A24-89A2-A2E0453A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4</Pages>
  <Words>981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5</cp:revision>
  <dcterms:created xsi:type="dcterms:W3CDTF">2023-01-14T12:34:00Z</dcterms:created>
  <dcterms:modified xsi:type="dcterms:W3CDTF">2023-01-18T02:12:00Z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2023-01-14T14:40:13Z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32aecd88-0000-4042-8c10-dfbffbc2c2c5</vt:lpwstr>
  </property>
  <property fmtid="{D5CDD505-2E9C-101B-9397-08002B2CF9AE}" pid="8" name="MSIP_Label_6459b2e0-2ec4-47e6-afc1-6e3f8b684f6a_ContentBits">
    <vt:lpwstr>0</vt:lpwstr>
  </property>
</Properties>
</file>