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75F" w:rsidRDefault="00B5375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87059" w:rsidRPr="00B5375F" w:rsidRDefault="001462D1" w:rsidP="00B5375F">
      <w:pPr>
        <w:jc w:val="both"/>
        <w:rPr>
          <w:rFonts w:cstheme="minorHAnsi"/>
          <w:sz w:val="24"/>
          <w:szCs w:val="24"/>
        </w:rPr>
      </w:pP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>O RAROC (</w:t>
      </w: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 xml:space="preserve">Risk </w:t>
      </w: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>A</w:t>
      </w: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 xml:space="preserve">djusted </w:t>
      </w: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>R</w:t>
      </w: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 xml:space="preserve">eturn on </w:t>
      </w: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>C</w:t>
      </w: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>apital</w:t>
      </w: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>)</w:t>
      </w:r>
      <w:r w:rsidRPr="00B5375F">
        <w:rPr>
          <w:rFonts w:cstheme="minorHAnsi"/>
          <w:color w:val="222222"/>
          <w:sz w:val="24"/>
          <w:szCs w:val="24"/>
          <w:shd w:val="clear" w:color="auto" w:fill="FFFFFF"/>
        </w:rPr>
        <w:t xml:space="preserve"> é uma </w:t>
      </w:r>
      <w:r w:rsidRPr="00B5375F">
        <w:rPr>
          <w:rFonts w:cstheme="minorHAnsi"/>
          <w:sz w:val="24"/>
          <w:szCs w:val="24"/>
        </w:rPr>
        <w:t xml:space="preserve">métrica </w:t>
      </w:r>
      <w:r w:rsidRPr="00B5375F">
        <w:rPr>
          <w:rFonts w:cstheme="minorHAnsi"/>
          <w:sz w:val="24"/>
          <w:szCs w:val="24"/>
        </w:rPr>
        <w:t xml:space="preserve">utilizada por instituições financeiras para </w:t>
      </w:r>
      <w:r w:rsidRPr="00B5375F">
        <w:rPr>
          <w:rFonts w:cstheme="minorHAnsi"/>
          <w:sz w:val="24"/>
          <w:szCs w:val="24"/>
        </w:rPr>
        <w:t>suporte à tomada de decisão</w:t>
      </w:r>
      <w:r w:rsidRPr="00B5375F">
        <w:rPr>
          <w:rFonts w:cstheme="minorHAnsi"/>
          <w:sz w:val="24"/>
          <w:szCs w:val="24"/>
        </w:rPr>
        <w:t xml:space="preserve"> </w:t>
      </w:r>
      <w:r w:rsidRPr="00B5375F">
        <w:rPr>
          <w:rFonts w:cstheme="minorHAnsi"/>
          <w:sz w:val="24"/>
          <w:szCs w:val="24"/>
        </w:rPr>
        <w:t>e na avaliação do desempenho de operações</w:t>
      </w:r>
      <w:r w:rsidRPr="00B5375F">
        <w:rPr>
          <w:rFonts w:cstheme="minorHAnsi"/>
          <w:sz w:val="24"/>
          <w:szCs w:val="24"/>
        </w:rPr>
        <w:t xml:space="preserve">. </w:t>
      </w:r>
      <w:bookmarkStart w:id="0" w:name="_Hlk12959169"/>
      <w:r w:rsidR="00B5375F">
        <w:rPr>
          <w:rFonts w:cstheme="minorHAnsi"/>
          <w:sz w:val="24"/>
          <w:szCs w:val="24"/>
        </w:rPr>
        <w:t xml:space="preserve">Resumidamente, </w:t>
      </w:r>
      <w:r w:rsidR="00A71C68">
        <w:rPr>
          <w:rFonts w:cstheme="minorHAnsi"/>
          <w:sz w:val="24"/>
          <w:szCs w:val="24"/>
        </w:rPr>
        <w:t xml:space="preserve">o RAROC </w:t>
      </w:r>
      <w:r w:rsidR="00B5375F" w:rsidRPr="00B5375F">
        <w:rPr>
          <w:rFonts w:cstheme="minorHAnsi"/>
          <w:sz w:val="24"/>
          <w:szCs w:val="24"/>
        </w:rPr>
        <w:t xml:space="preserve">é </w:t>
      </w:r>
      <w:r w:rsidR="00B5375F">
        <w:rPr>
          <w:rFonts w:cstheme="minorHAnsi"/>
          <w:sz w:val="24"/>
          <w:szCs w:val="24"/>
        </w:rPr>
        <w:t xml:space="preserve">dado pela </w:t>
      </w:r>
      <w:r w:rsidR="00B5375F" w:rsidRPr="00B5375F">
        <w:rPr>
          <w:rFonts w:cstheme="minorHAnsi"/>
          <w:sz w:val="24"/>
          <w:szCs w:val="24"/>
        </w:rPr>
        <w:t xml:space="preserve">a relação entre as receitas esperadas de uma determinada </w:t>
      </w:r>
      <w:r w:rsidR="00B5375F">
        <w:rPr>
          <w:rFonts w:cstheme="minorHAnsi"/>
          <w:sz w:val="24"/>
          <w:szCs w:val="24"/>
        </w:rPr>
        <w:t xml:space="preserve">operação </w:t>
      </w:r>
      <w:r w:rsidR="00B5375F" w:rsidRPr="00B5375F">
        <w:rPr>
          <w:rFonts w:cstheme="minorHAnsi"/>
          <w:sz w:val="24"/>
          <w:szCs w:val="24"/>
        </w:rPr>
        <w:t xml:space="preserve">e sua contribuição para o </w:t>
      </w:r>
      <w:r w:rsidR="00B5375F" w:rsidRPr="00B5375F">
        <w:rPr>
          <w:rFonts w:cstheme="minorHAnsi"/>
          <w:sz w:val="24"/>
          <w:szCs w:val="24"/>
        </w:rPr>
        <w:t>risco d</w:t>
      </w:r>
      <w:r w:rsidR="00B5375F" w:rsidRPr="00B5375F">
        <w:rPr>
          <w:rFonts w:cstheme="minorHAnsi"/>
          <w:sz w:val="24"/>
          <w:szCs w:val="24"/>
        </w:rPr>
        <w:t>a instituição.</w:t>
      </w:r>
      <w:bookmarkEnd w:id="0"/>
    </w:p>
    <w:p w:rsidR="00B5375F" w:rsidRDefault="00B5375F"/>
    <w:p w:rsidR="00B5375F" w:rsidRPr="00A71C68" w:rsidRDefault="00B5375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RAROC=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Resultado Ajustado ao Risco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Capital Alocado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:rsidR="00B5375F" w:rsidRDefault="00B5375F"/>
    <w:p w:rsidR="00B5375F" w:rsidRDefault="00B5375F" w:rsidP="00B5375F">
      <w:r>
        <w:t xml:space="preserve">O RAROC pode ser </w:t>
      </w:r>
      <w:r w:rsidR="00A71C68">
        <w:t xml:space="preserve">avaliado </w:t>
      </w:r>
      <w:r>
        <w:t xml:space="preserve">como uma medida de desempenho </w:t>
      </w:r>
      <w:r w:rsidR="00A71C68">
        <w:t xml:space="preserve">passado </w:t>
      </w:r>
      <w:r>
        <w:t xml:space="preserve">ou </w:t>
      </w:r>
      <w:r w:rsidR="00A71C68">
        <w:t xml:space="preserve">como um indicador para </w:t>
      </w:r>
      <w:r>
        <w:t>decisão de investiment</w:t>
      </w:r>
      <w:r w:rsidR="00A71C68">
        <w:t>o.</w:t>
      </w:r>
    </w:p>
    <w:p w:rsidR="00B5375F" w:rsidRDefault="00A71C68" w:rsidP="00B5375F">
      <w:pPr>
        <w:pStyle w:val="PargrafodaLista"/>
        <w:numPr>
          <w:ilvl w:val="0"/>
          <w:numId w:val="1"/>
        </w:numPr>
      </w:pPr>
      <w:r>
        <w:t>RAROC R</w:t>
      </w:r>
      <w:r w:rsidR="00B5375F">
        <w:t>etrospectivo</w:t>
      </w:r>
      <w:r>
        <w:t xml:space="preserve">: </w:t>
      </w:r>
      <w:r>
        <w:t xml:space="preserve">Medida de </w:t>
      </w:r>
      <w:r>
        <w:t>d</w:t>
      </w:r>
      <w:r>
        <w:t>esempenho</w:t>
      </w:r>
      <w:r>
        <w:t xml:space="preserve"> das operações passadas.</w:t>
      </w:r>
    </w:p>
    <w:p w:rsidR="00B5375F" w:rsidRDefault="00A71C68" w:rsidP="00B5375F">
      <w:pPr>
        <w:pStyle w:val="PargrafodaLista"/>
        <w:numPr>
          <w:ilvl w:val="0"/>
          <w:numId w:val="1"/>
        </w:numPr>
      </w:pPr>
      <w:r>
        <w:t xml:space="preserve">RAROC </w:t>
      </w:r>
      <w:r>
        <w:t>P</w:t>
      </w:r>
      <w:r w:rsidR="00B5375F">
        <w:t>rospectivo</w:t>
      </w:r>
      <w:r>
        <w:t xml:space="preserve">: Ferramenta suporte à decisao </w:t>
      </w:r>
      <w:r w:rsidR="00B5375F">
        <w:t xml:space="preserve">de </w:t>
      </w:r>
      <w:r>
        <w:t>investimento.</w:t>
      </w:r>
    </w:p>
    <w:p w:rsidR="00B5375F" w:rsidRDefault="00B5375F" w:rsidP="00B5375F"/>
    <w:p w:rsidR="00A71C68" w:rsidRDefault="00A71C68" w:rsidP="00B5375F"/>
    <w:p w:rsidR="00A71C68" w:rsidRDefault="00A71C68" w:rsidP="00B5375F">
      <w:bookmarkStart w:id="1" w:name="_GoBack"/>
      <w:r>
        <w:rPr>
          <w:noProof/>
        </w:rPr>
        <w:drawing>
          <wp:inline distT="0" distB="0" distL="0" distR="0">
            <wp:extent cx="5676900" cy="1819275"/>
            <wp:effectExtent l="38100" t="57150" r="38100" b="4762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1"/>
    </w:p>
    <w:p w:rsidR="00A71C68" w:rsidRDefault="00A71C68" w:rsidP="00B5375F"/>
    <w:p w:rsidR="00A71C68" w:rsidRDefault="00A71C68" w:rsidP="00B5375F">
      <w:pPr>
        <w:rPr>
          <w:noProof/>
        </w:rPr>
      </w:pPr>
    </w:p>
    <w:p w:rsidR="00A71C68" w:rsidRDefault="00A71C68" w:rsidP="00B5375F">
      <w:pPr>
        <w:rPr>
          <w:noProof/>
        </w:rPr>
      </w:pPr>
    </w:p>
    <w:p w:rsidR="00A71C68" w:rsidRDefault="00A71C68" w:rsidP="00B5375F"/>
    <w:p w:rsidR="00A71C68" w:rsidRDefault="00A71C68" w:rsidP="00B5375F"/>
    <w:p w:rsidR="00A71C68" w:rsidRDefault="00A71C68" w:rsidP="00B5375F"/>
    <w:p w:rsidR="00A71C68" w:rsidRDefault="00A71C68" w:rsidP="00B5375F"/>
    <w:p w:rsidR="00A71C68" w:rsidRDefault="00A71C68" w:rsidP="00B5375F"/>
    <w:p w:rsidR="00487059" w:rsidRDefault="00A71C68" w:rsidP="00487059">
      <w:r>
        <w:t xml:space="preserve">A partir da avaliação do </w:t>
      </w:r>
      <w:r w:rsidR="00487059">
        <w:t>RAROC</w:t>
      </w:r>
      <w:r w:rsidR="003B5CAF">
        <w:t xml:space="preserve">, uma </w:t>
      </w:r>
      <w:r w:rsidR="00487059">
        <w:t xml:space="preserve">operação de crédito só </w:t>
      </w:r>
      <w:r w:rsidR="003B5CAF">
        <w:t xml:space="preserve">valeria a pena caso </w:t>
      </w:r>
      <w:r>
        <w:t xml:space="preserve">o indicador seja </w:t>
      </w:r>
      <w:r w:rsidR="003B5CAF">
        <w:t xml:space="preserve">maior </w:t>
      </w:r>
      <w:r w:rsidR="00487059">
        <w:t xml:space="preserve">que o custo de oportunidade </w:t>
      </w:r>
      <w:r>
        <w:t xml:space="preserve">em emprgar o mesmo recurso numa operação sem </w:t>
      </w:r>
      <w:r>
        <w:lastRenderedPageBreak/>
        <w:t>risco</w:t>
      </w:r>
      <w:r w:rsidR="003B5CAF">
        <w:t xml:space="preserve">. </w:t>
      </w:r>
      <w:r>
        <w:t>S</w:t>
      </w:r>
      <w:r w:rsidR="003B5CAF">
        <w:t xml:space="preserve">o custo </w:t>
      </w:r>
      <w:r w:rsidR="00487059">
        <w:t xml:space="preserve">de oportunidade </w:t>
      </w:r>
      <w:r>
        <w:t xml:space="preserve">for </w:t>
      </w:r>
      <w:r w:rsidR="00487059">
        <w:t xml:space="preserve">superior ao RAROC calculado, </w:t>
      </w:r>
      <w:r>
        <w:t xml:space="preserve">então </w:t>
      </w:r>
      <w:r w:rsidR="00487059">
        <w:t xml:space="preserve">não compensa </w:t>
      </w:r>
      <w:r>
        <w:t xml:space="preserve">correr </w:t>
      </w:r>
      <w:r w:rsidR="00487059">
        <w:t xml:space="preserve">o risco </w:t>
      </w:r>
      <w:r w:rsidR="003B5CAF">
        <w:t>da opera</w:t>
      </w:r>
      <w:r>
        <w:t xml:space="preserve">ção </w:t>
      </w:r>
      <w:r w:rsidR="003B5CAF">
        <w:t>analisada</w:t>
      </w:r>
      <w:r w:rsidR="00487059">
        <w:t xml:space="preserve">. </w:t>
      </w:r>
    </w:p>
    <w:p w:rsidR="00487059" w:rsidRDefault="00487059" w:rsidP="00487059"/>
    <w:p w:rsidR="001462D1" w:rsidRDefault="00A71C68">
      <w:r>
        <w:t xml:space="preserve">Ao invés de analisar somente </w:t>
      </w:r>
      <w:r w:rsidR="00487059">
        <w:t xml:space="preserve">o fluxo de caixa advindo de um empréstimo, </w:t>
      </w:r>
      <w:r>
        <w:t xml:space="preserve">é possível também </w:t>
      </w:r>
      <w:r w:rsidR="00487059">
        <w:t>compara</w:t>
      </w:r>
      <w:r>
        <w:t xml:space="preserve">r </w:t>
      </w:r>
      <w:r w:rsidR="00487059">
        <w:t xml:space="preserve">o rendimento esperado do empréstimo </w:t>
      </w:r>
      <w:r>
        <w:t xml:space="preserve">com o risco incorrido, se necessário, ajustando </w:t>
      </w:r>
      <w:r w:rsidR="001462D1">
        <w:t xml:space="preserve">o </w:t>
      </w:r>
      <w:r w:rsidR="001462D1">
        <w:t>spread</w:t>
      </w:r>
      <w:r w:rsidR="001462D1">
        <w:t xml:space="preserve"> das operações de crédito</w:t>
      </w:r>
      <w:r w:rsidR="001462D1">
        <w:t xml:space="preserve">, conforme as perdas que se espera incorrer. </w:t>
      </w:r>
    </w:p>
    <w:p w:rsidR="00BF2716" w:rsidRDefault="00BF2716"/>
    <w:p w:rsidR="00BF2716" w:rsidRDefault="00BF2716"/>
    <w:p w:rsidR="00BF2716" w:rsidRDefault="00BF2716">
      <w:r>
        <w:t>Metodologia</w:t>
      </w:r>
    </w:p>
    <w:p w:rsidR="00BF2716" w:rsidRDefault="00BF2716"/>
    <w:p w:rsidR="005C60A0" w:rsidRDefault="005C60A0"/>
    <w:p w:rsidR="0015310B" w:rsidRDefault="005C60A0">
      <w:r w:rsidRPr="005C60A0">
        <w:t>O Valor em Risco (VaR) é utilizado como medida de exposição do risco no denominador do RAROC. O Valor em Risco (VaR) estima a perda potencial máxima de um investimento de acordo com um determinado intervalo de confiança, demostrando a exposição ao risco financeiro de uma operação.</w:t>
      </w:r>
    </w:p>
    <w:p w:rsidR="005C60A0" w:rsidRDefault="005C60A0"/>
    <w:p w:rsidR="0015310B" w:rsidRPr="0015310B" w:rsidRDefault="0015310B">
      <w:pPr>
        <w:rPr>
          <w:sz w:val="38"/>
          <w:szCs w:val="38"/>
        </w:rPr>
      </w:pPr>
      <w:bookmarkStart w:id="2" w:name="_Hlk12963122"/>
      <m:oMathPara>
        <m:oMath>
          <m:r>
            <w:rPr>
              <w:rFonts w:ascii="Cambria Math" w:hAnsi="Cambria Math"/>
              <w:sz w:val="38"/>
              <w:szCs w:val="38"/>
            </w:rPr>
            <m:t>VaR</m:t>
          </m:r>
          <m:r>
            <w:rPr>
              <w:rFonts w:ascii="Cambria Math" w:hAnsi="Cambria Math"/>
              <w:sz w:val="38"/>
              <w:szCs w:val="38"/>
            </w:rPr>
            <m:t>=</m:t>
          </m:r>
          <m:r>
            <w:rPr>
              <w:rFonts w:ascii="Cambria Math" w:hAnsi="Cambria Math"/>
              <w:sz w:val="38"/>
              <w:szCs w:val="38"/>
            </w:rPr>
            <m:t>Perda Esperada+</m:t>
          </m:r>
          <m:sSubSup>
            <m:sSubSupPr>
              <m:ctrlPr>
                <w:rPr>
                  <w:rFonts w:ascii="Cambria Math" w:hAnsi="Cambria Math"/>
                  <w:i/>
                  <w:sz w:val="38"/>
                  <w:szCs w:val="38"/>
                </w:rPr>
              </m:ctrlPr>
            </m:sSubSupPr>
            <m:e>
              <m:r>
                <w:rPr>
                  <w:rFonts w:ascii="Cambria Math" w:hAnsi="Cambria Math"/>
                  <w:sz w:val="38"/>
                  <w:szCs w:val="38"/>
                </w:rPr>
                <m:t>p</m:t>
              </m:r>
            </m:e>
            <m:sub>
              <m:r>
                <w:rPr>
                  <w:rFonts w:ascii="Cambria Math" w:hAnsi="Cambria Math"/>
                  <w:sz w:val="38"/>
                  <w:szCs w:val="38"/>
                </w:rPr>
                <m:t>IPROV</m:t>
              </m:r>
            </m:sub>
            <m:sup>
              <m:r>
                <w:rPr>
                  <w:rFonts w:ascii="Cambria Math" w:hAnsi="Cambria Math"/>
                  <w:sz w:val="38"/>
                  <w:szCs w:val="38"/>
                </w:rPr>
                <m:t>95%</m:t>
              </m:r>
            </m:sup>
          </m:sSubSup>
          <m:r>
            <w:rPr>
              <w:rFonts w:ascii="Cambria Math" w:hAnsi="Cambria Math"/>
              <w:sz w:val="38"/>
              <w:szCs w:val="38"/>
            </w:rPr>
            <m:t xml:space="preserve"> ×Valor Liberado</m:t>
          </m:r>
        </m:oMath>
      </m:oMathPara>
    </w:p>
    <w:bookmarkEnd w:id="2"/>
    <w:p w:rsidR="0015310B" w:rsidRDefault="0015310B"/>
    <w:p w:rsidR="0015310B" w:rsidRDefault="00B17D1A">
      <w:r>
        <w:t>Assim s</w:t>
      </w:r>
      <w:r w:rsidR="0015310B">
        <w:t xml:space="preserve">ão necessários </w:t>
      </w:r>
      <w:r w:rsidR="0015310B" w:rsidRPr="0015310B">
        <w:t>três elementos</w:t>
      </w:r>
      <w:r w:rsidR="0015310B">
        <w:t xml:space="preserve"> </w:t>
      </w:r>
      <w:r>
        <w:t xml:space="preserve">na definição </w:t>
      </w:r>
      <w:r w:rsidR="0015310B">
        <w:t>do VaR</w:t>
      </w:r>
      <w:r w:rsidR="0015310B" w:rsidRPr="0015310B">
        <w:t xml:space="preserve">: </w:t>
      </w:r>
    </w:p>
    <w:p w:rsidR="0015310B" w:rsidRDefault="0015310B">
      <w:r w:rsidRPr="0015310B">
        <w:t xml:space="preserve">Estimativa de perda máxima: representa o valor monetário total da carteira que pode ser perdida; </w:t>
      </w:r>
    </w:p>
    <w:p w:rsidR="0015310B" w:rsidRDefault="0015310B">
      <w:r w:rsidRPr="0015310B">
        <w:t>Horizonte de tempo: diz respeito ao intervalo de tempo a ser analisado.</w:t>
      </w:r>
    </w:p>
    <w:p w:rsidR="0015310B" w:rsidRDefault="0015310B">
      <w:r w:rsidRPr="0015310B">
        <w:t xml:space="preserve"> Nível de confiança: mostra o grau de cobertura estatística que o indicador alcança. Para o indicador ser confiável, recomenda-se a utilização de pelo menos 95% de confiança – o que significa, estatisticamente, 2 desvios-padrão.</w:t>
      </w:r>
    </w:p>
    <w:p w:rsidR="0015310B" w:rsidRDefault="0015310B"/>
    <w:p w:rsidR="00BF2716" w:rsidRDefault="00BF2716">
      <w:r>
        <w:t xml:space="preserve">O lucro presumido das operações foi calculado com base na metodologia de </w:t>
      </w:r>
      <w:r w:rsidR="0015310B" w:rsidRPr="0015310B">
        <w:t>Schneider</w:t>
      </w:r>
      <w:r w:rsidR="0015310B" w:rsidRPr="0015310B">
        <w:t xml:space="preserve"> </w:t>
      </w:r>
      <w:r>
        <w:t>().</w:t>
      </w:r>
    </w:p>
    <w:p w:rsidR="00BF2716" w:rsidRDefault="00BF2716"/>
    <w:p w:rsidR="00487059" w:rsidRDefault="00BF2716">
      <w:r>
        <w:t xml:space="preserve">O Valor em Risco (VaR) foi obtido com base no percentil 95% da distribuição de provisionamento, conforme o risco de crédito da operação. </w:t>
      </w:r>
    </w:p>
    <w:sectPr w:rsidR="00487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CAF" w:rsidRDefault="003B5CAF" w:rsidP="003B5CAF">
      <w:pPr>
        <w:spacing w:after="0" w:line="240" w:lineRule="auto"/>
      </w:pPr>
      <w:r>
        <w:separator/>
      </w:r>
    </w:p>
  </w:endnote>
  <w:endnote w:type="continuationSeparator" w:id="0">
    <w:p w:rsidR="003B5CAF" w:rsidRDefault="003B5CAF" w:rsidP="003B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CAF" w:rsidRDefault="003B5CAF" w:rsidP="003B5CAF">
      <w:pPr>
        <w:spacing w:after="0" w:line="240" w:lineRule="auto"/>
      </w:pPr>
      <w:r>
        <w:separator/>
      </w:r>
    </w:p>
  </w:footnote>
  <w:footnote w:type="continuationSeparator" w:id="0">
    <w:p w:rsidR="003B5CAF" w:rsidRDefault="003B5CAF" w:rsidP="003B5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D3FB9"/>
    <w:multiLevelType w:val="hybridMultilevel"/>
    <w:tmpl w:val="BF5E33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D1"/>
    <w:rsid w:val="001462D1"/>
    <w:rsid w:val="0015310B"/>
    <w:rsid w:val="00307AA6"/>
    <w:rsid w:val="003B5CAF"/>
    <w:rsid w:val="00487059"/>
    <w:rsid w:val="005C60A0"/>
    <w:rsid w:val="009F20D7"/>
    <w:rsid w:val="00A71C68"/>
    <w:rsid w:val="00B17D1A"/>
    <w:rsid w:val="00B5375F"/>
    <w:rsid w:val="00BF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7B6EC"/>
  <w15:chartTrackingRefBased/>
  <w15:docId w15:val="{6C18DC73-1A85-4316-9786-E0E6F287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5375F"/>
    <w:rPr>
      <w:color w:val="808080"/>
    </w:rPr>
  </w:style>
  <w:style w:type="paragraph" w:styleId="PargrafodaLista">
    <w:name w:val="List Paragraph"/>
    <w:basedOn w:val="Normal"/>
    <w:uiPriority w:val="34"/>
    <w:qFormat/>
    <w:rsid w:val="00B53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EC7B6F-E66E-4E61-885C-34F34A4A524E}" type="doc">
      <dgm:prSet loTypeId="urn:microsoft.com/office/officeart/2005/8/layout/hLis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2D33E8D-F70E-4F29-971F-91EDB3DF9067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r>
            <a:rPr lang="pt-BR">
              <a:latin typeface="Verdana Pro" panose="020B0604030504040204" pitchFamily="34" charset="0"/>
            </a:rPr>
            <a:t>O RAROC pode ser avaliado como uma medida de desempenho passado ou como um indicador para decisão de investimento futuro.</a:t>
          </a:r>
        </a:p>
      </dgm:t>
    </dgm:pt>
    <dgm:pt modelId="{306615DC-E8BD-4B50-9228-BB25627974DC}" type="parTrans" cxnId="{AC33EF86-0C33-4EE5-8746-4486D11C4E81}">
      <dgm:prSet/>
      <dgm:spPr/>
      <dgm:t>
        <a:bodyPr/>
        <a:lstStyle/>
        <a:p>
          <a:endParaRPr lang="pt-BR"/>
        </a:p>
      </dgm:t>
    </dgm:pt>
    <dgm:pt modelId="{2C729A4D-26A6-4BDD-8885-40772A590928}" type="sibTrans" cxnId="{AC33EF86-0C33-4EE5-8746-4486D11C4E81}">
      <dgm:prSet/>
      <dgm:spPr/>
      <dgm:t>
        <a:bodyPr/>
        <a:lstStyle/>
        <a:p>
          <a:endParaRPr lang="pt-BR"/>
        </a:p>
      </dgm:t>
    </dgm:pt>
    <dgm:pt modelId="{1A4B4491-D9F7-4C92-911D-DBCD04D276DC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pt-BR"/>
            <a:t>Retrospectivo: Medida de desempenho das operações passadas.</a:t>
          </a:r>
        </a:p>
      </dgm:t>
    </dgm:pt>
    <dgm:pt modelId="{48348EE5-1ABD-4F5D-8096-02D98D8258E5}" type="parTrans" cxnId="{BC9C5D29-73F3-4187-859A-031856B0F81A}">
      <dgm:prSet/>
      <dgm:spPr/>
      <dgm:t>
        <a:bodyPr/>
        <a:lstStyle/>
        <a:p>
          <a:endParaRPr lang="pt-BR"/>
        </a:p>
      </dgm:t>
    </dgm:pt>
    <dgm:pt modelId="{C278C471-469E-47DB-920E-B1CC7CFB9D82}" type="sibTrans" cxnId="{BC9C5D29-73F3-4187-859A-031856B0F81A}">
      <dgm:prSet/>
      <dgm:spPr/>
      <dgm:t>
        <a:bodyPr/>
        <a:lstStyle/>
        <a:p>
          <a:endParaRPr lang="pt-BR"/>
        </a:p>
      </dgm:t>
    </dgm:pt>
    <dgm:pt modelId="{3294AA83-E502-4352-A3F1-E516615F170A}">
      <dgm:prSet phldrT="[Texto]"/>
      <dgm:spPr>
        <a:scene3d>
          <a:camera prst="orthographicFront"/>
          <a:lightRig rig="threePt" dir="t"/>
        </a:scene3d>
        <a:sp3d>
          <a:bevelT/>
        </a:sp3d>
      </dgm:spPr>
      <dgm:t>
        <a:bodyPr/>
        <a:lstStyle/>
        <a:p>
          <a:pPr>
            <a:buFont typeface="Symbol" panose="05050102010706020507" pitchFamily="18" charset="2"/>
            <a:buChar char=""/>
          </a:pPr>
          <a:r>
            <a:rPr lang="pt-BR"/>
            <a:t>Prospectivo: Suporte à decisao de investimento.</a:t>
          </a:r>
        </a:p>
      </dgm:t>
    </dgm:pt>
    <dgm:pt modelId="{71DD6CD3-687E-4735-96EA-9CDC4B79F160}" type="parTrans" cxnId="{6B232BDE-C7BE-473E-9A6F-6578C90C49F1}">
      <dgm:prSet/>
      <dgm:spPr/>
      <dgm:t>
        <a:bodyPr/>
        <a:lstStyle/>
        <a:p>
          <a:endParaRPr lang="pt-BR"/>
        </a:p>
      </dgm:t>
    </dgm:pt>
    <dgm:pt modelId="{A858F5A0-9125-4CCF-B2FC-E3AC03FE23CA}" type="sibTrans" cxnId="{6B232BDE-C7BE-473E-9A6F-6578C90C49F1}">
      <dgm:prSet/>
      <dgm:spPr/>
      <dgm:t>
        <a:bodyPr/>
        <a:lstStyle/>
        <a:p>
          <a:endParaRPr lang="pt-BR"/>
        </a:p>
      </dgm:t>
    </dgm:pt>
    <dgm:pt modelId="{34F97745-7B65-4247-B1EA-48F0B077C5B6}" type="pres">
      <dgm:prSet presAssocID="{33EC7B6F-E66E-4E61-885C-34F34A4A524E}" presName="composite" presStyleCnt="0">
        <dgm:presLayoutVars>
          <dgm:chMax val="1"/>
          <dgm:dir/>
          <dgm:resizeHandles val="exact"/>
        </dgm:presLayoutVars>
      </dgm:prSet>
      <dgm:spPr/>
    </dgm:pt>
    <dgm:pt modelId="{12500594-CB4B-4E47-8AAB-FEEEAD5BEAF0}" type="pres">
      <dgm:prSet presAssocID="{82D33E8D-F70E-4F29-971F-91EDB3DF9067}" presName="roof" presStyleLbl="dkBgShp" presStyleIdx="0" presStyleCnt="2"/>
      <dgm:spPr/>
    </dgm:pt>
    <dgm:pt modelId="{C155361D-4AD3-4132-9752-DEB3291DE3C4}" type="pres">
      <dgm:prSet presAssocID="{82D33E8D-F70E-4F29-971F-91EDB3DF9067}" presName="pillars" presStyleCnt="0"/>
      <dgm:spPr>
        <a:scene3d>
          <a:camera prst="orthographicFront"/>
          <a:lightRig rig="threePt" dir="t"/>
        </a:scene3d>
        <a:sp3d>
          <a:bevelT/>
        </a:sp3d>
      </dgm:spPr>
    </dgm:pt>
    <dgm:pt modelId="{C89F26D0-8577-42E1-9ACC-CFD8A53D27A2}" type="pres">
      <dgm:prSet presAssocID="{82D33E8D-F70E-4F29-971F-91EDB3DF9067}" presName="pillar1" presStyleLbl="node1" presStyleIdx="0" presStyleCnt="2">
        <dgm:presLayoutVars>
          <dgm:bulletEnabled val="1"/>
        </dgm:presLayoutVars>
      </dgm:prSet>
      <dgm:spPr/>
    </dgm:pt>
    <dgm:pt modelId="{6473F017-4D8E-44B7-99FB-FD67799EBE29}" type="pres">
      <dgm:prSet presAssocID="{3294AA83-E502-4352-A3F1-E516615F170A}" presName="pillarX" presStyleLbl="node1" presStyleIdx="1" presStyleCnt="2">
        <dgm:presLayoutVars>
          <dgm:bulletEnabled val="1"/>
        </dgm:presLayoutVars>
      </dgm:prSet>
      <dgm:spPr/>
    </dgm:pt>
    <dgm:pt modelId="{9F253776-83A9-4E6C-BEA2-B34C50F6CC41}" type="pres">
      <dgm:prSet presAssocID="{82D33E8D-F70E-4F29-971F-91EDB3DF9067}" presName="base" presStyleLbl="dkBgShp" presStyleIdx="1" presStyleCnt="2"/>
      <dgm:spPr>
        <a:scene3d>
          <a:camera prst="orthographicFront"/>
          <a:lightRig rig="threePt" dir="t"/>
        </a:scene3d>
        <a:sp3d>
          <a:bevelT/>
        </a:sp3d>
      </dgm:spPr>
    </dgm:pt>
  </dgm:ptLst>
  <dgm:cxnLst>
    <dgm:cxn modelId="{BC9C5D29-73F3-4187-859A-031856B0F81A}" srcId="{82D33E8D-F70E-4F29-971F-91EDB3DF9067}" destId="{1A4B4491-D9F7-4C92-911D-DBCD04D276DC}" srcOrd="0" destOrd="0" parTransId="{48348EE5-1ABD-4F5D-8096-02D98D8258E5}" sibTransId="{C278C471-469E-47DB-920E-B1CC7CFB9D82}"/>
    <dgm:cxn modelId="{5AF9E12F-414C-4BFA-ABC6-1E922A641471}" type="presOf" srcId="{82D33E8D-F70E-4F29-971F-91EDB3DF9067}" destId="{12500594-CB4B-4E47-8AAB-FEEEAD5BEAF0}" srcOrd="0" destOrd="0" presId="urn:microsoft.com/office/officeart/2005/8/layout/hList3"/>
    <dgm:cxn modelId="{41F2DA65-A7FA-4ADE-83C3-83EE5DD74A14}" type="presOf" srcId="{1A4B4491-D9F7-4C92-911D-DBCD04D276DC}" destId="{C89F26D0-8577-42E1-9ACC-CFD8A53D27A2}" srcOrd="0" destOrd="0" presId="urn:microsoft.com/office/officeart/2005/8/layout/hList3"/>
    <dgm:cxn modelId="{B4F76172-3CD2-4BF9-B433-62EED5A4480F}" type="presOf" srcId="{33EC7B6F-E66E-4E61-885C-34F34A4A524E}" destId="{34F97745-7B65-4247-B1EA-48F0B077C5B6}" srcOrd="0" destOrd="0" presId="urn:microsoft.com/office/officeart/2005/8/layout/hList3"/>
    <dgm:cxn modelId="{70934F7E-3540-4619-894F-4CC18B56AA0B}" type="presOf" srcId="{3294AA83-E502-4352-A3F1-E516615F170A}" destId="{6473F017-4D8E-44B7-99FB-FD67799EBE29}" srcOrd="0" destOrd="0" presId="urn:microsoft.com/office/officeart/2005/8/layout/hList3"/>
    <dgm:cxn modelId="{AC33EF86-0C33-4EE5-8746-4486D11C4E81}" srcId="{33EC7B6F-E66E-4E61-885C-34F34A4A524E}" destId="{82D33E8D-F70E-4F29-971F-91EDB3DF9067}" srcOrd="0" destOrd="0" parTransId="{306615DC-E8BD-4B50-9228-BB25627974DC}" sibTransId="{2C729A4D-26A6-4BDD-8885-40772A590928}"/>
    <dgm:cxn modelId="{6B232BDE-C7BE-473E-9A6F-6578C90C49F1}" srcId="{82D33E8D-F70E-4F29-971F-91EDB3DF9067}" destId="{3294AA83-E502-4352-A3F1-E516615F170A}" srcOrd="1" destOrd="0" parTransId="{71DD6CD3-687E-4735-96EA-9CDC4B79F160}" sibTransId="{A858F5A0-9125-4CCF-B2FC-E3AC03FE23CA}"/>
    <dgm:cxn modelId="{ECA30455-8A4E-4A2A-9911-ED632C5EE402}" type="presParOf" srcId="{34F97745-7B65-4247-B1EA-48F0B077C5B6}" destId="{12500594-CB4B-4E47-8AAB-FEEEAD5BEAF0}" srcOrd="0" destOrd="0" presId="urn:microsoft.com/office/officeart/2005/8/layout/hList3"/>
    <dgm:cxn modelId="{AB9638C4-9FE9-42A2-932D-7F196D5A1BD7}" type="presParOf" srcId="{34F97745-7B65-4247-B1EA-48F0B077C5B6}" destId="{C155361D-4AD3-4132-9752-DEB3291DE3C4}" srcOrd="1" destOrd="0" presId="urn:microsoft.com/office/officeart/2005/8/layout/hList3"/>
    <dgm:cxn modelId="{03385D07-58EB-4A0B-9B5B-E9EAE40BCCA7}" type="presParOf" srcId="{C155361D-4AD3-4132-9752-DEB3291DE3C4}" destId="{C89F26D0-8577-42E1-9ACC-CFD8A53D27A2}" srcOrd="0" destOrd="0" presId="urn:microsoft.com/office/officeart/2005/8/layout/hList3"/>
    <dgm:cxn modelId="{88370DBC-E7C2-451C-808B-7FB5B6299403}" type="presParOf" srcId="{C155361D-4AD3-4132-9752-DEB3291DE3C4}" destId="{6473F017-4D8E-44B7-99FB-FD67799EBE29}" srcOrd="1" destOrd="0" presId="urn:microsoft.com/office/officeart/2005/8/layout/hList3"/>
    <dgm:cxn modelId="{526D7231-5AEE-41CA-9F1A-A42A10F045DA}" type="presParOf" srcId="{34F97745-7B65-4247-B1EA-48F0B077C5B6}" destId="{9F253776-83A9-4E6C-BEA2-B34C50F6CC41}" srcOrd="2" destOrd="0" presId="urn:microsoft.com/office/officeart/2005/8/layout/hLis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500594-CB4B-4E47-8AAB-FEEEAD5BEAF0}">
      <dsp:nvSpPr>
        <dsp:cNvPr id="0" name=""/>
        <dsp:cNvSpPr/>
      </dsp:nvSpPr>
      <dsp:spPr>
        <a:xfrm>
          <a:off x="0" y="0"/>
          <a:ext cx="5676900" cy="545782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latin typeface="Verdana Pro" panose="020B0604030504040204" pitchFamily="34" charset="0"/>
            </a:rPr>
            <a:t>O RAROC pode ser avaliado como uma medida de desempenho passado ou como um indicador para decisão de investimento futuro.</a:t>
          </a:r>
        </a:p>
      </dsp:txBody>
      <dsp:txXfrm>
        <a:off x="0" y="0"/>
        <a:ext cx="5676900" cy="545782"/>
      </dsp:txXfrm>
    </dsp:sp>
    <dsp:sp modelId="{C89F26D0-8577-42E1-9ACC-CFD8A53D27A2}">
      <dsp:nvSpPr>
        <dsp:cNvPr id="0" name=""/>
        <dsp:cNvSpPr/>
      </dsp:nvSpPr>
      <dsp:spPr>
        <a:xfrm>
          <a:off x="0" y="545782"/>
          <a:ext cx="2838450" cy="11461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pt-BR" sz="2200" kern="1200"/>
            <a:t>Retrospectivo: Medida de desempenho das operações passadas.</a:t>
          </a:r>
        </a:p>
      </dsp:txBody>
      <dsp:txXfrm>
        <a:off x="0" y="545782"/>
        <a:ext cx="2838450" cy="1146143"/>
      </dsp:txXfrm>
    </dsp:sp>
    <dsp:sp modelId="{6473F017-4D8E-44B7-99FB-FD67799EBE29}">
      <dsp:nvSpPr>
        <dsp:cNvPr id="0" name=""/>
        <dsp:cNvSpPr/>
      </dsp:nvSpPr>
      <dsp:spPr>
        <a:xfrm>
          <a:off x="2838450" y="545782"/>
          <a:ext cx="2838450" cy="11461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3820" tIns="83820" rIns="83820" bIns="8382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pt-BR" sz="2200" kern="1200"/>
            <a:t>Prospectivo: Suporte à decisao de investimento.</a:t>
          </a:r>
        </a:p>
      </dsp:txBody>
      <dsp:txXfrm>
        <a:off x="2838450" y="545782"/>
        <a:ext cx="2838450" cy="1146143"/>
      </dsp:txXfrm>
    </dsp:sp>
    <dsp:sp modelId="{9F253776-83A9-4E6C-BEA2-B34C50F6CC41}">
      <dsp:nvSpPr>
        <dsp:cNvPr id="0" name=""/>
        <dsp:cNvSpPr/>
      </dsp:nvSpPr>
      <dsp:spPr>
        <a:xfrm>
          <a:off x="0" y="1691925"/>
          <a:ext cx="5676900" cy="127349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/>
        </a:scene3d>
        <a:sp3d>
          <a:bevelT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3">
  <dgm:title val=""/>
  <dgm:desc val=""/>
  <dgm:catLst>
    <dgm:cat type="list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5" srcId="0" destId="1" srcOrd="0" destOrd="0"/>
        <dgm:cxn modelId="6" srcId="1" destId="2" srcOrd="0" destOrd="0"/>
        <dgm:cxn modelId="7" srcId="1" destId="3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</dgm:ptLst>
      <dgm:cxnLst>
        <dgm:cxn modelId="6" srcId="0" destId="1" srcOrd="0" destOrd="0"/>
        <dgm:cxn modelId="7" srcId="1" destId="2" srcOrd="0" destOrd="0"/>
        <dgm:cxn modelId="8" srcId="1" destId="3" srcOrd="1" destOrd="0"/>
        <dgm:cxn modelId="9" srcId="1" destId="4" srcOrd="2" destOrd="0"/>
        <dgm:cxn modelId="10" srcId="1" destId="5" srcOrd="3" destOrd="0"/>
      </dgm:cxnLst>
      <dgm:bg/>
      <dgm:whole/>
    </dgm:dataModel>
  </dgm:clrData>
  <dgm:layoutNode name="composite">
    <dgm:varLst>
      <dgm:chMax val="1"/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roof" refType="w"/>
      <dgm:constr type="h" for="ch" forName="roof" refType="h" fact="0.3"/>
      <dgm:constr type="primFontSz" for="ch" forName="roof" val="65"/>
      <dgm:constr type="w" for="ch" forName="pillars" refType="w"/>
      <dgm:constr type="h" for="ch" forName="pillars" refType="h" fact="0.63"/>
      <dgm:constr type="t" for="ch" forName="pillars" refType="h" fact="0.3"/>
      <dgm:constr type="primFontSz" for="des" forName="pillar1" val="65"/>
      <dgm:constr type="primFontSz" for="des" forName="pillarX" refType="primFontSz" refFor="des" refForName="pillar1" op="equ"/>
      <dgm:constr type="w" for="ch" forName="base" refType="w"/>
      <dgm:constr type="h" for="ch" forName="base" refType="h" fact="0.07"/>
      <dgm:constr type="t" for="ch" forName="base" refType="h" fact="0.93"/>
    </dgm:constrLst>
    <dgm:ruleLst/>
    <dgm:forEach name="Name0" axis="ch" ptType="node" cnt="1">
      <dgm:layoutNode name="roof" styleLbl="dkBgShp">
        <dgm:alg type="tx"/>
        <dgm:shape xmlns:r="http://schemas.openxmlformats.org/officeDocument/2006/relationships" type="rect" r:blip="">
          <dgm:adjLst/>
        </dgm:shape>
        <dgm:presOf axis="self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illars" styleLbl="node1">
        <dgm:choose name="Name1">
          <dgm:if name="Name2" func="var" arg="dir" op="equ" val="norm">
            <dgm:alg type="lin">
              <dgm:param type="linDir" val="fromL"/>
            </dgm:alg>
          </dgm:if>
          <dgm:else name="Name3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illar1" refType="w"/>
          <dgm:constr type="h" for="ch" forName="pillar1" refType="h"/>
          <dgm:constr type="w" for="ch" forName="pillarX" refType="w"/>
          <dgm:constr type="h" for="ch" forName="pillarX" refType="h"/>
        </dgm:constrLst>
        <dgm:ruleLst/>
        <dgm:layoutNode name="pillar1" styleLbl="node1">
          <dgm:varLst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forEach name="Name4" axis="ch" ptType="node" st="2">
          <dgm:layoutNode name="pillarX" styleLbl="node1">
            <dgm:varLst>
              <dgm:bulletEnabled val="1"/>
            </dgm:varLst>
            <dgm:alg type="tx"/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forEach>
      </dgm:layoutNode>
      <dgm:layoutNode name="base" styleLbl="dkBgShp">
        <dgm:alg type="sp"/>
        <dgm:shape xmlns:r="http://schemas.openxmlformats.org/officeDocument/2006/relationships" type="rect" r:blip="">
          <dgm:adjLst/>
        </dgm:shap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2</cp:revision>
  <dcterms:created xsi:type="dcterms:W3CDTF">2019-07-02T13:21:00Z</dcterms:created>
  <dcterms:modified xsi:type="dcterms:W3CDTF">2019-07-02T17:15:00Z</dcterms:modified>
</cp:coreProperties>
</file>