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BF17" w14:textId="345D808A" w:rsidR="001C5ECC" w:rsidRPr="00E6320A" w:rsidRDefault="001C5ECC" w:rsidP="001C5ECC">
      <w:pPr>
        <w:jc w:val="center"/>
        <w:rPr>
          <w:b/>
          <w:bCs/>
          <w:sz w:val="24"/>
          <w:szCs w:val="24"/>
        </w:rPr>
      </w:pPr>
      <w:r w:rsidRPr="00E6320A">
        <w:rPr>
          <w:b/>
          <w:bCs/>
          <w:sz w:val="24"/>
          <w:szCs w:val="24"/>
        </w:rPr>
        <w:t xml:space="preserve">Inteligência Artificial </w:t>
      </w:r>
      <w:r w:rsidR="00E6320A" w:rsidRPr="00E6320A">
        <w:rPr>
          <w:b/>
          <w:bCs/>
          <w:sz w:val="24"/>
          <w:szCs w:val="24"/>
        </w:rPr>
        <w:t xml:space="preserve">e </w:t>
      </w:r>
      <w:r w:rsidRPr="00E6320A">
        <w:rPr>
          <w:b/>
          <w:bCs/>
          <w:sz w:val="24"/>
          <w:szCs w:val="24"/>
        </w:rPr>
        <w:t xml:space="preserve">Crescimento Econômico </w:t>
      </w:r>
    </w:p>
    <w:p w14:paraId="49D4DF0E" w14:textId="77777777" w:rsidR="001C5ECC" w:rsidRDefault="001C5ECC" w:rsidP="001C5ECC">
      <w:pPr>
        <w:jc w:val="both"/>
      </w:pPr>
    </w:p>
    <w:p w14:paraId="3D2F4B90" w14:textId="2EAF84A4" w:rsidR="001C5ECC" w:rsidRDefault="001C5ECC" w:rsidP="001C5ECC">
      <w:pPr>
        <w:jc w:val="both"/>
      </w:pPr>
    </w:p>
    <w:p w14:paraId="379EB254" w14:textId="6CB35FF1" w:rsidR="001B6AEE" w:rsidRDefault="00117380" w:rsidP="006F4E63">
      <w:pPr>
        <w:ind w:firstLine="708"/>
        <w:jc w:val="both"/>
      </w:pPr>
      <w:r>
        <w:t xml:space="preserve">Nos </w:t>
      </w:r>
      <w:r w:rsidR="001B6AEE">
        <w:t>últim</w:t>
      </w:r>
      <w:r>
        <w:t xml:space="preserve">os 20 anos </w:t>
      </w:r>
      <w:r w:rsidR="001B6AEE">
        <w:t xml:space="preserve">a economia brasileira esteve estagnada, apresentando taxas de média de </w:t>
      </w:r>
      <w:r>
        <w:t>crescimento do PIB negativa</w:t>
      </w:r>
      <w:r w:rsidR="0066623E">
        <w:t xml:space="preserve"> e crescimento abaixo dos países da OECD e dos EUA</w:t>
      </w:r>
      <w:r>
        <w:t>.</w:t>
      </w:r>
      <w:r w:rsidR="0066623E">
        <w:t xml:space="preserve"> </w:t>
      </w:r>
      <w:r>
        <w:t xml:space="preserve">Este cenário se mantém, mesmo excluindo o período da crise pandêmica. </w:t>
      </w:r>
      <w:r w:rsidR="0066623E">
        <w:t>Mesmo diante de condições estruturalmente, ainda experimentamos ganhos de produtividade, mas não o suficiente para aliviar a desigualdade, pois a crise de pandemia trouxe um do número de domicílios sem renda</w:t>
      </w:r>
      <w:r w:rsidR="001B6AEE">
        <w:t xml:space="preserve">. </w:t>
      </w:r>
    </w:p>
    <w:p w14:paraId="48BAA4CA" w14:textId="750F16C9" w:rsidR="00C67AD4" w:rsidRDefault="0066623E" w:rsidP="006F4E63">
      <w:pPr>
        <w:ind w:firstLine="708"/>
        <w:jc w:val="both"/>
      </w:pPr>
      <w:r>
        <w:t>Em comparação com outros países, o Brasil vem experimentando um baixo engajamento na produção intelectual e inovação tecnológica, vetores que poderiam reverter o cenário de estagnação. Entretanto</w:t>
      </w:r>
      <w:r w:rsidR="00C466B3">
        <w:t xml:space="preserve"> </w:t>
      </w:r>
      <w:r>
        <w:t xml:space="preserve">é possível </w:t>
      </w:r>
      <w:r w:rsidR="00C466B3">
        <w:t xml:space="preserve">reverter este cenário de estagnação se soubermos aproveitar as novas oportunidades as </w:t>
      </w:r>
      <w:r>
        <w:t xml:space="preserve">vantagens competitivas proporcionadas pela </w:t>
      </w:r>
      <w:r w:rsidR="00C466B3">
        <w:t>Inteligência Artificial (IA)</w:t>
      </w:r>
      <w:r>
        <w:t>.</w:t>
      </w:r>
      <w:r w:rsidR="00C466B3">
        <w:t xml:space="preserve"> Sendo </w:t>
      </w:r>
      <w:r w:rsidR="00C466B3" w:rsidRPr="001C5ECC">
        <w:t xml:space="preserve">referida como tecnologia de uso geral, </w:t>
      </w:r>
      <w:r w:rsidR="00C466B3">
        <w:t xml:space="preserve">a IA pode </w:t>
      </w:r>
      <w:r w:rsidR="00C466B3" w:rsidRPr="001C5ECC">
        <w:t xml:space="preserve">trazer melhorias </w:t>
      </w:r>
      <w:r w:rsidR="00C466B3">
        <w:t xml:space="preserve">definitivas nos atuais paradigmas tecnológicos, e possui </w:t>
      </w:r>
      <w:r w:rsidR="001C5ECC">
        <w:t xml:space="preserve">o potencial de afetar significativamente o crescimento econômico e transformar amplamente o cenário econômico e as indústrias. </w:t>
      </w:r>
    </w:p>
    <w:p w14:paraId="635E2EBE" w14:textId="03D24A5C" w:rsidR="001C5ECC" w:rsidRDefault="001C5ECC" w:rsidP="001C5ECC"/>
    <w:p w14:paraId="466B7D5F" w14:textId="77777777" w:rsidR="006042AC" w:rsidRDefault="006042AC" w:rsidP="001C5ECC"/>
    <w:p w14:paraId="357B4C04" w14:textId="4899BB3E" w:rsidR="006042AC" w:rsidRDefault="006042AC" w:rsidP="006042AC">
      <w:pPr>
        <w:pStyle w:val="PargrafodaLista"/>
        <w:numPr>
          <w:ilvl w:val="0"/>
          <w:numId w:val="2"/>
        </w:numPr>
        <w:rPr>
          <w:b/>
          <w:bCs/>
        </w:rPr>
      </w:pPr>
      <w:r w:rsidRPr="006042AC">
        <w:rPr>
          <w:b/>
          <w:bCs/>
        </w:rPr>
        <w:t>Indicadores de Crescimento</w:t>
      </w:r>
    </w:p>
    <w:p w14:paraId="4CB1244C" w14:textId="42CA4B3B" w:rsidR="006042AC" w:rsidRDefault="006042AC" w:rsidP="006042AC">
      <w:pPr>
        <w:pStyle w:val="PargrafodaLista"/>
        <w:rPr>
          <w:b/>
          <w:bCs/>
        </w:rPr>
      </w:pPr>
    </w:p>
    <w:p w14:paraId="65B4E52E" w14:textId="161837F0" w:rsidR="006042AC" w:rsidRPr="006042AC" w:rsidRDefault="006042AC" w:rsidP="00AE4609">
      <w:pPr>
        <w:ind w:firstLine="360"/>
        <w:jc w:val="both"/>
      </w:pPr>
      <w:r>
        <w:t xml:space="preserve">Historicamente o </w:t>
      </w:r>
      <w:r w:rsidRPr="006042AC">
        <w:t xml:space="preserve">Brasil </w:t>
      </w:r>
      <w:r>
        <w:t>PIB per capita abaixo dos países mais desenvolvidos, tendo havido inclusive uma ligeira reversão nos anos mais recentes, quando mensurado em dólares americanos</w:t>
      </w:r>
      <w:r w:rsidR="00E6320A">
        <w:t xml:space="preserve"> </w:t>
      </w:r>
      <w:r w:rsidR="00E6320A">
        <w:t>(Gráfico</w:t>
      </w:r>
      <w:r w:rsidR="00E6320A">
        <w:t xml:space="preserve"> 1</w:t>
      </w:r>
      <w:r w:rsidR="00E6320A">
        <w:t>)</w:t>
      </w:r>
      <w:r>
        <w:t xml:space="preserve">. </w:t>
      </w:r>
    </w:p>
    <w:p w14:paraId="68ADA52D" w14:textId="004D09E8" w:rsidR="006F4E63" w:rsidRDefault="006F4E63" w:rsidP="00AE4609">
      <w:pPr>
        <w:jc w:val="center"/>
      </w:pPr>
      <w:r>
        <w:rPr>
          <w:noProof/>
        </w:rPr>
        <w:drawing>
          <wp:inline distT="0" distB="0" distL="0" distR="0" wp14:anchorId="4ECEB293" wp14:editId="7268ABAF">
            <wp:extent cx="5115245" cy="265557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9440" cy="2668131"/>
                    </a:xfrm>
                    <a:prstGeom prst="rect">
                      <a:avLst/>
                    </a:prstGeom>
                    <a:noFill/>
                  </pic:spPr>
                </pic:pic>
              </a:graphicData>
            </a:graphic>
          </wp:inline>
        </w:drawing>
      </w:r>
    </w:p>
    <w:p w14:paraId="2F38CFF6" w14:textId="77777777" w:rsidR="00E6320A" w:rsidRPr="00E6320A" w:rsidRDefault="006F4E63" w:rsidP="00E6320A">
      <w:pPr>
        <w:rPr>
          <w:sz w:val="20"/>
          <w:szCs w:val="20"/>
        </w:rPr>
      </w:pPr>
      <w:r w:rsidRPr="00E6320A">
        <w:rPr>
          <w:sz w:val="20"/>
          <w:szCs w:val="20"/>
        </w:rPr>
        <w:t xml:space="preserve">Gráfico </w:t>
      </w:r>
      <w:r w:rsidRPr="00E6320A">
        <w:rPr>
          <w:sz w:val="20"/>
          <w:szCs w:val="20"/>
        </w:rPr>
        <w:fldChar w:fldCharType="begin"/>
      </w:r>
      <w:r w:rsidRPr="00E6320A">
        <w:rPr>
          <w:sz w:val="20"/>
          <w:szCs w:val="20"/>
        </w:rPr>
        <w:instrText xml:space="preserve"> SEQ Gráfico \* ARABIC </w:instrText>
      </w:r>
      <w:r w:rsidRPr="00E6320A">
        <w:rPr>
          <w:sz w:val="20"/>
          <w:szCs w:val="20"/>
        </w:rPr>
        <w:fldChar w:fldCharType="separate"/>
      </w:r>
      <w:r w:rsidRPr="00E6320A">
        <w:rPr>
          <w:noProof/>
          <w:sz w:val="20"/>
          <w:szCs w:val="20"/>
        </w:rPr>
        <w:t>1</w:t>
      </w:r>
      <w:r w:rsidRPr="00E6320A">
        <w:rPr>
          <w:sz w:val="20"/>
          <w:szCs w:val="20"/>
        </w:rPr>
        <w:fldChar w:fldCharType="end"/>
      </w:r>
      <w:r w:rsidRPr="00E6320A">
        <w:rPr>
          <w:sz w:val="20"/>
          <w:szCs w:val="20"/>
        </w:rPr>
        <w:t xml:space="preserve"> – Evolução do PIB per capita (U$) nos últimos 20 anos: Brasil, EUA e Países da </w:t>
      </w:r>
      <w:r w:rsidRPr="00E6320A">
        <w:rPr>
          <w:sz w:val="20"/>
          <w:szCs w:val="20"/>
        </w:rPr>
        <w:t>Organização para a Cooperação e Desenvolvimento Econômico</w:t>
      </w:r>
      <w:r w:rsidRPr="00E6320A">
        <w:rPr>
          <w:sz w:val="20"/>
          <w:szCs w:val="20"/>
        </w:rPr>
        <w:t xml:space="preserve"> (OCDE).</w:t>
      </w:r>
      <w:r w:rsidR="00E6320A" w:rsidRPr="00E6320A">
        <w:rPr>
          <w:sz w:val="20"/>
          <w:szCs w:val="20"/>
        </w:rPr>
        <w:t xml:space="preserve"> </w:t>
      </w:r>
      <w:r w:rsidR="00E6320A" w:rsidRPr="00E6320A">
        <w:rPr>
          <w:sz w:val="20"/>
          <w:szCs w:val="20"/>
        </w:rPr>
        <w:t>Fonte: Base de dados da OCDE</w:t>
      </w:r>
    </w:p>
    <w:p w14:paraId="1D3C10D4" w14:textId="318EE6E9" w:rsidR="001C5ECC" w:rsidRPr="006F4E63" w:rsidRDefault="001C5ECC" w:rsidP="00AE4609">
      <w:pPr>
        <w:pStyle w:val="Legenda"/>
        <w:jc w:val="center"/>
        <w:rPr>
          <w:i w:val="0"/>
          <w:iCs w:val="0"/>
          <w:color w:val="auto"/>
          <w:sz w:val="20"/>
          <w:szCs w:val="20"/>
        </w:rPr>
      </w:pPr>
    </w:p>
    <w:p w14:paraId="051DFBF2" w14:textId="3C66E9CC" w:rsidR="006F4E63" w:rsidRDefault="006042AC" w:rsidP="006042AC">
      <w:pPr>
        <w:jc w:val="center"/>
        <w:rPr>
          <w:b/>
          <w:bCs/>
        </w:rPr>
      </w:pPr>
      <w:r>
        <w:rPr>
          <w:noProof/>
        </w:rPr>
        <w:lastRenderedPageBreak/>
        <w:drawing>
          <wp:inline distT="0" distB="0" distL="0" distR="0" wp14:anchorId="6D3EE755" wp14:editId="415F784B">
            <wp:extent cx="5096869" cy="3355340"/>
            <wp:effectExtent l="0" t="0" r="8890" b="16510"/>
            <wp:docPr id="3" name="Gráfico 3">
              <a:extLst xmlns:a="http://schemas.openxmlformats.org/drawingml/2006/main">
                <a:ext uri="{FF2B5EF4-FFF2-40B4-BE49-F238E27FC236}">
                  <a16:creationId xmlns:a16="http://schemas.microsoft.com/office/drawing/2014/main" id="{AC42C04F-7833-47F4-B50E-A80311447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645E4D" w14:textId="77777777" w:rsidR="00E6320A" w:rsidRPr="00E6320A" w:rsidRDefault="006042AC" w:rsidP="00E6320A">
      <w:pPr>
        <w:jc w:val="both"/>
        <w:rPr>
          <w:sz w:val="20"/>
          <w:szCs w:val="20"/>
        </w:rPr>
      </w:pPr>
      <w:r w:rsidRPr="00E6320A">
        <w:rPr>
          <w:sz w:val="20"/>
          <w:szCs w:val="20"/>
        </w:rPr>
        <w:t xml:space="preserve">Gráfico </w:t>
      </w:r>
      <w:r w:rsidRPr="00E6320A">
        <w:rPr>
          <w:sz w:val="20"/>
          <w:szCs w:val="20"/>
        </w:rPr>
        <w:fldChar w:fldCharType="begin"/>
      </w:r>
      <w:r w:rsidRPr="00E6320A">
        <w:rPr>
          <w:sz w:val="20"/>
          <w:szCs w:val="20"/>
        </w:rPr>
        <w:instrText xml:space="preserve"> SEQ Gráfico \* ARABIC </w:instrText>
      </w:r>
      <w:r w:rsidRPr="00E6320A">
        <w:rPr>
          <w:sz w:val="20"/>
          <w:szCs w:val="20"/>
        </w:rPr>
        <w:fldChar w:fldCharType="separate"/>
      </w:r>
      <w:r w:rsidR="001418A4" w:rsidRPr="00E6320A">
        <w:rPr>
          <w:noProof/>
          <w:sz w:val="20"/>
          <w:szCs w:val="20"/>
        </w:rPr>
        <w:t>2</w:t>
      </w:r>
      <w:r w:rsidRPr="00E6320A">
        <w:rPr>
          <w:sz w:val="20"/>
          <w:szCs w:val="20"/>
        </w:rPr>
        <w:fldChar w:fldCharType="end"/>
      </w:r>
      <w:r w:rsidRPr="00E6320A">
        <w:rPr>
          <w:sz w:val="20"/>
          <w:szCs w:val="20"/>
        </w:rPr>
        <w:t xml:space="preserve"> – </w:t>
      </w:r>
      <w:r w:rsidRPr="00E6320A">
        <w:rPr>
          <w:sz w:val="20"/>
          <w:szCs w:val="20"/>
        </w:rPr>
        <w:t xml:space="preserve">Produtividade segundo Metodologia da OCDE </w:t>
      </w:r>
      <w:r w:rsidRPr="00E6320A">
        <w:rPr>
          <w:sz w:val="20"/>
          <w:szCs w:val="20"/>
        </w:rPr>
        <w:t xml:space="preserve">nos últimos 20 anos: </w:t>
      </w:r>
      <w:r w:rsidRPr="00E6320A">
        <w:rPr>
          <w:sz w:val="20"/>
          <w:szCs w:val="20"/>
        </w:rPr>
        <w:t xml:space="preserve">Indicador de taxa de crescimento do PIB per capita, produtividade dos serviços prestados, e custo da unidade do trabalho </w:t>
      </w:r>
      <w:r w:rsidRPr="00E6320A">
        <w:rPr>
          <w:sz w:val="20"/>
          <w:szCs w:val="20"/>
        </w:rPr>
        <w:t>(</w:t>
      </w:r>
      <w:r w:rsidRPr="00E6320A">
        <w:rPr>
          <w:sz w:val="20"/>
          <w:szCs w:val="20"/>
        </w:rPr>
        <w:t>ULC</w:t>
      </w:r>
      <w:r w:rsidRPr="00E6320A">
        <w:rPr>
          <w:sz w:val="20"/>
          <w:szCs w:val="20"/>
        </w:rPr>
        <w:t>).</w:t>
      </w:r>
      <w:r w:rsidR="00E6320A" w:rsidRPr="00E6320A">
        <w:rPr>
          <w:sz w:val="20"/>
          <w:szCs w:val="20"/>
        </w:rPr>
        <w:t xml:space="preserve"> </w:t>
      </w:r>
      <w:r w:rsidR="00E6320A" w:rsidRPr="00E6320A">
        <w:rPr>
          <w:sz w:val="20"/>
          <w:szCs w:val="20"/>
        </w:rPr>
        <w:t>Fonte: Base de dados da OCDE</w:t>
      </w:r>
    </w:p>
    <w:p w14:paraId="207B7C93" w14:textId="69826DB6" w:rsidR="006042AC" w:rsidRPr="006F4E63" w:rsidRDefault="006042AC" w:rsidP="00AE4609">
      <w:pPr>
        <w:pStyle w:val="Legenda"/>
        <w:jc w:val="center"/>
        <w:rPr>
          <w:i w:val="0"/>
          <w:iCs w:val="0"/>
          <w:color w:val="auto"/>
          <w:sz w:val="20"/>
          <w:szCs w:val="20"/>
        </w:rPr>
      </w:pPr>
    </w:p>
    <w:p w14:paraId="631FD282" w14:textId="1E60E9CD" w:rsidR="006042AC" w:rsidRDefault="002C7F4F" w:rsidP="00AE4609">
      <w:pPr>
        <w:ind w:firstLine="708"/>
        <w:jc w:val="both"/>
      </w:pPr>
      <w:r>
        <w:t>Houve grandes variações da produtividade nos últimos 20 anos</w:t>
      </w:r>
      <w:r w:rsidR="006042AC">
        <w:t xml:space="preserve">, segundo índice mensurado pela OCDE. </w:t>
      </w:r>
      <w:r>
        <w:t xml:space="preserve">A variação no crescimento da produtividade do Brasil acompanha </w:t>
      </w:r>
      <w:r w:rsidR="006042AC">
        <w:t>a tendencia de outros países, enfrentando sob níveis mais baixos</w:t>
      </w:r>
      <w:r>
        <w:t xml:space="preserve"> de produtividade</w:t>
      </w:r>
      <w:r w:rsidR="006042AC">
        <w:t>.</w:t>
      </w:r>
      <w:r w:rsidR="006042AC">
        <w:t xml:space="preserve"> </w:t>
      </w:r>
    </w:p>
    <w:p w14:paraId="652E1662" w14:textId="341D99B9" w:rsidR="006042AC" w:rsidRDefault="006042AC" w:rsidP="006042AC">
      <w:pPr>
        <w:jc w:val="both"/>
      </w:pPr>
    </w:p>
    <w:p w14:paraId="6E9F2C2A" w14:textId="0F242193" w:rsidR="006042AC" w:rsidRPr="006042AC" w:rsidRDefault="00E6320A" w:rsidP="00AE4609">
      <w:pPr>
        <w:jc w:val="center"/>
      </w:pPr>
      <w:r>
        <w:rPr>
          <w:noProof/>
        </w:rPr>
        <w:drawing>
          <wp:inline distT="0" distB="0" distL="0" distR="0" wp14:anchorId="7828CF07" wp14:editId="71ADF2DA">
            <wp:extent cx="5400040" cy="3180522"/>
            <wp:effectExtent l="0" t="0" r="10160" b="1270"/>
            <wp:docPr id="1" name="Gráfico 1">
              <a:extLst xmlns:a="http://schemas.openxmlformats.org/drawingml/2006/main">
                <a:ext uri="{FF2B5EF4-FFF2-40B4-BE49-F238E27FC236}">
                  <a16:creationId xmlns:a16="http://schemas.microsoft.com/office/drawing/2014/main" id="{F6AF7AB8-9848-4BD8-877D-1172EA2B5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1C3430" w14:textId="77777777" w:rsidR="00E6320A" w:rsidRPr="00E6320A" w:rsidRDefault="002F768A" w:rsidP="00E6320A">
      <w:pPr>
        <w:rPr>
          <w:sz w:val="20"/>
          <w:szCs w:val="20"/>
        </w:rPr>
      </w:pPr>
      <w:r w:rsidRPr="00E6320A">
        <w:rPr>
          <w:sz w:val="20"/>
          <w:szCs w:val="20"/>
        </w:rPr>
        <w:t xml:space="preserve">Gráfico </w:t>
      </w:r>
      <w:r w:rsidRPr="00E6320A">
        <w:rPr>
          <w:sz w:val="20"/>
          <w:szCs w:val="20"/>
        </w:rPr>
        <w:fldChar w:fldCharType="begin"/>
      </w:r>
      <w:r w:rsidRPr="00E6320A">
        <w:rPr>
          <w:sz w:val="20"/>
          <w:szCs w:val="20"/>
        </w:rPr>
        <w:instrText xml:space="preserve"> SEQ Gráfico \* ARABIC </w:instrText>
      </w:r>
      <w:r w:rsidRPr="00E6320A">
        <w:rPr>
          <w:sz w:val="20"/>
          <w:szCs w:val="20"/>
        </w:rPr>
        <w:fldChar w:fldCharType="separate"/>
      </w:r>
      <w:r w:rsidRPr="00E6320A">
        <w:rPr>
          <w:noProof/>
          <w:sz w:val="20"/>
          <w:szCs w:val="20"/>
        </w:rPr>
        <w:t>3</w:t>
      </w:r>
      <w:r w:rsidRPr="00E6320A">
        <w:rPr>
          <w:sz w:val="20"/>
          <w:szCs w:val="20"/>
        </w:rPr>
        <w:fldChar w:fldCharType="end"/>
      </w:r>
      <w:r w:rsidRPr="00E6320A">
        <w:rPr>
          <w:sz w:val="20"/>
          <w:szCs w:val="20"/>
        </w:rPr>
        <w:t xml:space="preserve"> – </w:t>
      </w:r>
      <w:r w:rsidRPr="00E6320A">
        <w:rPr>
          <w:sz w:val="20"/>
          <w:szCs w:val="20"/>
        </w:rPr>
        <w:t xml:space="preserve">Registro de Patentes </w:t>
      </w:r>
      <w:r w:rsidRPr="00E6320A">
        <w:rPr>
          <w:sz w:val="20"/>
          <w:szCs w:val="20"/>
        </w:rPr>
        <w:t>nos últimos 20 anos.</w:t>
      </w:r>
      <w:r w:rsidR="00E6320A" w:rsidRPr="00E6320A">
        <w:rPr>
          <w:sz w:val="20"/>
          <w:szCs w:val="20"/>
        </w:rPr>
        <w:t xml:space="preserve"> </w:t>
      </w:r>
      <w:r w:rsidR="00E6320A" w:rsidRPr="00E6320A">
        <w:rPr>
          <w:sz w:val="20"/>
          <w:szCs w:val="20"/>
        </w:rPr>
        <w:t>Fonte: Base de dados da OCDE</w:t>
      </w:r>
    </w:p>
    <w:p w14:paraId="0CF6E5D9" w14:textId="630AF0A0" w:rsidR="002F768A" w:rsidRPr="006F4E63" w:rsidRDefault="002F768A" w:rsidP="00AE4609">
      <w:pPr>
        <w:pStyle w:val="Legenda"/>
        <w:jc w:val="center"/>
        <w:rPr>
          <w:i w:val="0"/>
          <w:iCs w:val="0"/>
          <w:color w:val="auto"/>
          <w:sz w:val="20"/>
          <w:szCs w:val="20"/>
        </w:rPr>
      </w:pPr>
    </w:p>
    <w:p w14:paraId="28B236EA" w14:textId="57F16D92" w:rsidR="006042AC" w:rsidRDefault="006042AC" w:rsidP="001C5ECC">
      <w:pPr>
        <w:rPr>
          <w:b/>
          <w:bCs/>
        </w:rPr>
      </w:pPr>
    </w:p>
    <w:p w14:paraId="5DCF1EEF" w14:textId="7CA6D96F" w:rsidR="002F768A" w:rsidRDefault="001418A4" w:rsidP="002C7F4F">
      <w:pPr>
        <w:ind w:firstLine="708"/>
        <w:jc w:val="both"/>
      </w:pPr>
      <w:r>
        <w:t>Existem desafios ainda não superados para estimular desenvolvimento e registro de patentes no Brasil.</w:t>
      </w:r>
      <w:r>
        <w:t xml:space="preserve"> </w:t>
      </w:r>
      <w:r w:rsidR="002F768A">
        <w:t xml:space="preserve">O registro de patentes encontra-se estagnado nos </w:t>
      </w:r>
      <w:r w:rsidR="002F768A">
        <w:t>últimos 20 anos</w:t>
      </w:r>
      <w:r w:rsidR="002F768A">
        <w:t>, em comparação com outros países mais desenvolvidos</w:t>
      </w:r>
      <w:r w:rsidR="00E6320A">
        <w:t xml:space="preserve"> </w:t>
      </w:r>
      <w:r w:rsidR="00E6320A">
        <w:t xml:space="preserve">(Gráfico </w:t>
      </w:r>
      <w:r w:rsidR="00E6320A">
        <w:t>3)</w:t>
      </w:r>
      <w:r w:rsidR="002F768A">
        <w:t>.</w:t>
      </w:r>
      <w:r w:rsidR="002F768A">
        <w:t xml:space="preserve"> </w:t>
      </w:r>
      <w:r>
        <w:t>Conforme relatório da OCDE</w:t>
      </w:r>
      <w:r w:rsidR="00AE4609">
        <w:t xml:space="preserve"> (2023)</w:t>
      </w:r>
      <w:r>
        <w:t>, as empresas baseadas em inteligência artificial também possuem baixo engajamento no registro de patentes e marca registrada, ao contrário das universidades nas proximidades e das demais empresas nos mesmos setores. Portanto o registro de patente é mais um indicador do estado maturidade tecnológica, e das condições encontradas no meio ambiente de negócios</w:t>
      </w:r>
    </w:p>
    <w:p w14:paraId="64056D94" w14:textId="3F49A40D" w:rsidR="006042AC" w:rsidRDefault="006042AC" w:rsidP="001C5ECC">
      <w:pPr>
        <w:rPr>
          <w:b/>
          <w:bCs/>
        </w:rPr>
      </w:pPr>
    </w:p>
    <w:p w14:paraId="07276609" w14:textId="0773AD49" w:rsidR="006042AC" w:rsidRDefault="006042AC" w:rsidP="001C5ECC">
      <w:pPr>
        <w:rPr>
          <w:b/>
          <w:bCs/>
        </w:rPr>
      </w:pPr>
    </w:p>
    <w:p w14:paraId="7BCB6C82" w14:textId="6D9AD33D" w:rsidR="001418A4" w:rsidRDefault="001418A4" w:rsidP="002C7F4F">
      <w:pPr>
        <w:jc w:val="center"/>
        <w:rPr>
          <w:b/>
          <w:bCs/>
        </w:rPr>
      </w:pPr>
      <w:r>
        <w:rPr>
          <w:noProof/>
        </w:rPr>
        <w:drawing>
          <wp:inline distT="0" distB="0" distL="0" distR="0" wp14:anchorId="0B68D056" wp14:editId="0C2E9015">
            <wp:extent cx="5301615" cy="3164619"/>
            <wp:effectExtent l="0" t="0" r="13335" b="17145"/>
            <wp:docPr id="4" name="Gráfico 4">
              <a:extLst xmlns:a="http://schemas.openxmlformats.org/drawingml/2006/main">
                <a:ext uri="{FF2B5EF4-FFF2-40B4-BE49-F238E27FC236}">
                  <a16:creationId xmlns:a16="http://schemas.microsoft.com/office/drawing/2014/main" id="{50B4B057-A5DF-4E46-84F2-D18BBF945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2ABD06" w14:textId="260E0EDB" w:rsidR="00E6320A" w:rsidRPr="00E6320A" w:rsidRDefault="001418A4" w:rsidP="00E6320A">
      <w:pPr>
        <w:pStyle w:val="Legenda"/>
        <w:jc w:val="both"/>
        <w:rPr>
          <w:i w:val="0"/>
          <w:iCs w:val="0"/>
          <w:color w:val="auto"/>
          <w:sz w:val="20"/>
          <w:szCs w:val="20"/>
        </w:rPr>
      </w:pPr>
      <w:r w:rsidRPr="00E6320A">
        <w:rPr>
          <w:i w:val="0"/>
          <w:iCs w:val="0"/>
          <w:color w:val="auto"/>
          <w:sz w:val="20"/>
          <w:szCs w:val="20"/>
        </w:rPr>
        <w:t xml:space="preserve">Gráfico </w:t>
      </w:r>
      <w:r w:rsidRPr="00E6320A">
        <w:rPr>
          <w:i w:val="0"/>
          <w:iCs w:val="0"/>
          <w:color w:val="auto"/>
          <w:sz w:val="20"/>
          <w:szCs w:val="20"/>
        </w:rPr>
        <w:fldChar w:fldCharType="begin"/>
      </w:r>
      <w:r w:rsidRPr="00E6320A">
        <w:rPr>
          <w:i w:val="0"/>
          <w:iCs w:val="0"/>
          <w:color w:val="auto"/>
          <w:sz w:val="20"/>
          <w:szCs w:val="20"/>
        </w:rPr>
        <w:instrText xml:space="preserve"> SEQ Gráfico \* ARABIC </w:instrText>
      </w:r>
      <w:r w:rsidRPr="00E6320A">
        <w:rPr>
          <w:i w:val="0"/>
          <w:iCs w:val="0"/>
          <w:color w:val="auto"/>
          <w:sz w:val="20"/>
          <w:szCs w:val="20"/>
        </w:rPr>
        <w:fldChar w:fldCharType="separate"/>
      </w:r>
      <w:r w:rsidR="002C7F4F" w:rsidRPr="00E6320A">
        <w:rPr>
          <w:i w:val="0"/>
          <w:iCs w:val="0"/>
          <w:noProof/>
          <w:color w:val="auto"/>
          <w:sz w:val="20"/>
          <w:szCs w:val="20"/>
        </w:rPr>
        <w:t>4</w:t>
      </w:r>
      <w:r w:rsidRPr="00E6320A">
        <w:rPr>
          <w:i w:val="0"/>
          <w:iCs w:val="0"/>
          <w:color w:val="auto"/>
          <w:sz w:val="20"/>
          <w:szCs w:val="20"/>
        </w:rPr>
        <w:fldChar w:fldCharType="end"/>
      </w:r>
      <w:r w:rsidRPr="00E6320A">
        <w:rPr>
          <w:i w:val="0"/>
          <w:iCs w:val="0"/>
          <w:color w:val="auto"/>
          <w:sz w:val="20"/>
          <w:szCs w:val="20"/>
        </w:rPr>
        <w:t xml:space="preserve"> – </w:t>
      </w:r>
      <w:r w:rsidRPr="00E6320A">
        <w:rPr>
          <w:i w:val="0"/>
          <w:iCs w:val="0"/>
          <w:color w:val="auto"/>
          <w:sz w:val="20"/>
          <w:szCs w:val="20"/>
        </w:rPr>
        <w:t>Crescimento Anual do PIB</w:t>
      </w:r>
      <w:r w:rsidRPr="00E6320A">
        <w:rPr>
          <w:i w:val="0"/>
          <w:iCs w:val="0"/>
          <w:color w:val="auto"/>
          <w:sz w:val="20"/>
          <w:szCs w:val="20"/>
        </w:rPr>
        <w:t>.</w:t>
      </w:r>
      <w:r w:rsidR="00E6320A" w:rsidRPr="00E6320A">
        <w:rPr>
          <w:i w:val="0"/>
          <w:iCs w:val="0"/>
          <w:color w:val="auto"/>
          <w:sz w:val="20"/>
          <w:szCs w:val="20"/>
        </w:rPr>
        <w:t xml:space="preserve"> </w:t>
      </w:r>
      <w:r w:rsidR="00E6320A" w:rsidRPr="00E6320A">
        <w:rPr>
          <w:i w:val="0"/>
          <w:iCs w:val="0"/>
          <w:color w:val="auto"/>
          <w:sz w:val="20"/>
          <w:szCs w:val="20"/>
        </w:rPr>
        <w:t>Fonte: Base de dados da OCDE</w:t>
      </w:r>
    </w:p>
    <w:p w14:paraId="30335AAF" w14:textId="77777777" w:rsidR="00E6320A" w:rsidRPr="00E6320A" w:rsidRDefault="00E6320A" w:rsidP="00E6320A"/>
    <w:p w14:paraId="295FDBEE" w14:textId="392BCEBE" w:rsidR="002C7F4F" w:rsidRDefault="002C7F4F" w:rsidP="00AE4609">
      <w:pPr>
        <w:ind w:firstLine="708"/>
        <w:jc w:val="both"/>
      </w:pPr>
      <w:r>
        <w:t>A oscilação no crescimento do PIB acompanha a oscilação da produtividade, segundo índice mensurado pela OCDE. Nesse sentido variação do crescimento do PIB brasileiro acompanha a tendencia de outros países, enfrentando sob níveis mais baixos de PIB</w:t>
      </w:r>
      <w:r w:rsidR="00E6320A">
        <w:t xml:space="preserve"> </w:t>
      </w:r>
      <w:r w:rsidR="00E6320A">
        <w:t xml:space="preserve">(Gráfico </w:t>
      </w:r>
      <w:r w:rsidR="00E6320A">
        <w:t>4</w:t>
      </w:r>
      <w:r w:rsidR="00E6320A">
        <w:t>)</w:t>
      </w:r>
      <w:r>
        <w:t xml:space="preserve">. </w:t>
      </w:r>
    </w:p>
    <w:p w14:paraId="609D0DB8" w14:textId="77777777" w:rsidR="001418A4" w:rsidRPr="001418A4" w:rsidRDefault="001418A4" w:rsidP="001418A4"/>
    <w:p w14:paraId="67A6C01F" w14:textId="77777777" w:rsidR="001418A4" w:rsidRDefault="001418A4" w:rsidP="001C5ECC">
      <w:pPr>
        <w:rPr>
          <w:b/>
          <w:bCs/>
        </w:rPr>
      </w:pPr>
    </w:p>
    <w:p w14:paraId="243086CA" w14:textId="5693F4AA" w:rsidR="001C5ECC" w:rsidRDefault="00C67AD4" w:rsidP="001C5ECC">
      <w:r w:rsidRPr="006F4E63">
        <w:rPr>
          <w:b/>
          <w:bCs/>
        </w:rPr>
        <w:t>Introdução</w:t>
      </w:r>
      <w:r>
        <w:t xml:space="preserve">: </w:t>
      </w:r>
    </w:p>
    <w:p w14:paraId="393D3A57" w14:textId="22715462" w:rsidR="00F367D0" w:rsidRDefault="00F367D0" w:rsidP="002C7F4F">
      <w:pPr>
        <w:ind w:firstLine="708"/>
        <w:jc w:val="both"/>
      </w:pPr>
      <w:r>
        <w:t xml:space="preserve">A inteligência artificial (IA) </w:t>
      </w:r>
      <w:r w:rsidR="006F4E63">
        <w:t xml:space="preserve">são </w:t>
      </w:r>
      <w:r>
        <w:t xml:space="preserve">sistemas capazes </w:t>
      </w:r>
      <w:r w:rsidR="006F4E63">
        <w:t xml:space="preserve">de fazer </w:t>
      </w:r>
      <w:r>
        <w:t xml:space="preserve">recomendações, previsões ou </w:t>
      </w:r>
      <w:r w:rsidR="006F4E63">
        <w:t xml:space="preserve">tomadas </w:t>
      </w:r>
      <w:r>
        <w:t>decisões (OCDE, 2019). Na prática, a IA são máquinas que pretendem executa</w:t>
      </w:r>
      <w:r w:rsidR="006F4E63">
        <w:t>r</w:t>
      </w:r>
      <w:r>
        <w:t xml:space="preserve"> funções cognitivas semelhantes às humanas, incorporando o aprendizado nas suas decisões, e na tentativa de interagir com humanos e outras máquinas (servidores ou aplicações).</w:t>
      </w:r>
    </w:p>
    <w:p w14:paraId="4F6508CF" w14:textId="1C76E147" w:rsidR="00C67AD4" w:rsidRDefault="00C67AD4" w:rsidP="002C7F4F">
      <w:pPr>
        <w:ind w:firstLine="708"/>
        <w:jc w:val="both"/>
      </w:pPr>
      <w:r>
        <w:lastRenderedPageBreak/>
        <w:t xml:space="preserve">O uso de soluções baseadas em Inteligência Artificial (IA) não pertence somente ao domínio da ficção científica, mas permeia os mais diversos setores da economia. No Brasil, as empresas dos diversos setores vêm incorporado soluções baseadas em IA, seja em ferramentas de reconhecimento facial, </w:t>
      </w:r>
      <w:r w:rsidRPr="00C67AD4">
        <w:rPr>
          <w:i/>
          <w:iCs/>
        </w:rPr>
        <w:t>chatbots</w:t>
      </w:r>
      <w:r>
        <w:t>, detecção de fraude, sistemas de sugestão de produtos, sistemas de gestão de clientes, entre outros.</w:t>
      </w:r>
      <w:r w:rsidR="002C7F4F">
        <w:t xml:space="preserve"> </w:t>
      </w:r>
      <w:r>
        <w:t xml:space="preserve">Levantamento da Empresa Brasileira de Pesquisa e Inovação Industrial (Embrapii) com 164 empresas, mostra que 76,2% das empresas consideram que as ferramentas de IA terão grande impacto na competitividade. </w:t>
      </w:r>
    </w:p>
    <w:p w14:paraId="70C6F764" w14:textId="22669F0C" w:rsidR="00C67AD4" w:rsidRDefault="00F367D0" w:rsidP="002C7F4F">
      <w:pPr>
        <w:ind w:firstLine="708"/>
        <w:jc w:val="both"/>
      </w:pPr>
      <w:r>
        <w:t>A</w:t>
      </w:r>
      <w:r w:rsidR="00C67AD4">
        <w:t xml:space="preserve"> disseminação da IA no Brasil </w:t>
      </w:r>
      <w:r>
        <w:t xml:space="preserve">vêm </w:t>
      </w:r>
      <w:r w:rsidR="00C67AD4">
        <w:t>ocorr</w:t>
      </w:r>
      <w:r>
        <w:t xml:space="preserve">endo mais intensamente no </w:t>
      </w:r>
      <w:r w:rsidR="00C67AD4">
        <w:t xml:space="preserve">e-commerce, </w:t>
      </w:r>
      <w:r>
        <w:t xml:space="preserve">no setor financeiro, e nas </w:t>
      </w:r>
      <w:r w:rsidR="00C67AD4">
        <w:t>empresas intensivas em tecnologia</w:t>
      </w:r>
      <w:r>
        <w:t xml:space="preserve">. Entretanto o </w:t>
      </w:r>
      <w:r w:rsidR="00C67AD4">
        <w:t>setor público</w:t>
      </w:r>
      <w:r>
        <w:t xml:space="preserve"> também expressa interesse em </w:t>
      </w:r>
      <w:r w:rsidR="00C67AD4">
        <w:t xml:space="preserve">soluções de digitalização </w:t>
      </w:r>
      <w:r>
        <w:t xml:space="preserve">que elevem </w:t>
      </w:r>
      <w:r w:rsidR="00C67AD4">
        <w:t xml:space="preserve">o padrão dos serviços prestados. </w:t>
      </w:r>
      <w:r>
        <w:t xml:space="preserve">O Brasil pode obter vantagens pela existência de </w:t>
      </w:r>
      <w:r w:rsidR="00C67AD4">
        <w:t xml:space="preserve">uma sólida estrutura para pesquisa e desenvolvimento de novas tecnologias. </w:t>
      </w:r>
      <w:r>
        <w:t xml:space="preserve">Mas também precisa vencer alguns obstáculos, e promover maior cooperação entre </w:t>
      </w:r>
      <w:r w:rsidR="00C67AD4">
        <w:t>academia e o setor privado</w:t>
      </w:r>
      <w:r>
        <w:t>, e desburocratizar intensivamente a operação de startups, apontadas como grandes berços de soluções intensivas em IA</w:t>
      </w:r>
      <w:r w:rsidR="00C67AD4">
        <w:t>.</w:t>
      </w:r>
      <w:r>
        <w:t xml:space="preserve"> O </w:t>
      </w:r>
      <w:r w:rsidR="00C67AD4">
        <w:t>uso de IA no Brasil apresenta grande potencial de crescimento</w:t>
      </w:r>
      <w:r>
        <w:t xml:space="preserve">, contribuindo </w:t>
      </w:r>
      <w:r w:rsidR="00C67AD4">
        <w:t xml:space="preserve">no processo de digitalização da economia, </w:t>
      </w:r>
      <w:r>
        <w:t>n</w:t>
      </w:r>
      <w:r w:rsidR="00C67AD4">
        <w:t>o desenvolvimento de novas tecnologias</w:t>
      </w:r>
      <w:r>
        <w:t xml:space="preserve">, novas plataformas de negócio e </w:t>
      </w:r>
      <w:r w:rsidR="00C67AD4">
        <w:t xml:space="preserve">atraindo investimentos internacionais. </w:t>
      </w:r>
    </w:p>
    <w:p w14:paraId="55F044EF" w14:textId="77777777" w:rsidR="00AA6B80" w:rsidRDefault="00AA6B80" w:rsidP="002C7F4F">
      <w:pPr>
        <w:ind w:firstLine="708"/>
        <w:jc w:val="both"/>
      </w:pPr>
    </w:p>
    <w:p w14:paraId="6895CE37" w14:textId="1BF554D3" w:rsidR="002C7F4F" w:rsidRPr="00AA6B80" w:rsidRDefault="002C7F4F" w:rsidP="00AA6B80">
      <w:pPr>
        <w:pStyle w:val="Legenda"/>
        <w:jc w:val="center"/>
        <w:rPr>
          <w:b/>
          <w:bCs/>
          <w:i w:val="0"/>
          <w:iCs w:val="0"/>
          <w:color w:val="auto"/>
          <w:sz w:val="20"/>
          <w:szCs w:val="20"/>
        </w:rPr>
      </w:pPr>
      <w:r w:rsidRPr="00AA6B80">
        <w:rPr>
          <w:b/>
          <w:bCs/>
          <w:i w:val="0"/>
          <w:iCs w:val="0"/>
          <w:color w:val="auto"/>
          <w:sz w:val="20"/>
          <w:szCs w:val="20"/>
        </w:rPr>
        <w:t xml:space="preserve">Tabela </w:t>
      </w:r>
      <w:r w:rsidRPr="00AA6B80">
        <w:rPr>
          <w:b/>
          <w:bCs/>
          <w:i w:val="0"/>
          <w:iCs w:val="0"/>
          <w:color w:val="auto"/>
          <w:sz w:val="20"/>
          <w:szCs w:val="20"/>
        </w:rPr>
        <w:fldChar w:fldCharType="begin"/>
      </w:r>
      <w:r w:rsidRPr="00AA6B80">
        <w:rPr>
          <w:b/>
          <w:bCs/>
          <w:i w:val="0"/>
          <w:iCs w:val="0"/>
          <w:color w:val="auto"/>
          <w:sz w:val="20"/>
          <w:szCs w:val="20"/>
        </w:rPr>
        <w:instrText xml:space="preserve"> SEQ Tabela \* ARABIC </w:instrText>
      </w:r>
      <w:r w:rsidRPr="00AA6B80">
        <w:rPr>
          <w:b/>
          <w:bCs/>
          <w:i w:val="0"/>
          <w:iCs w:val="0"/>
          <w:color w:val="auto"/>
          <w:sz w:val="20"/>
          <w:szCs w:val="20"/>
        </w:rPr>
        <w:fldChar w:fldCharType="separate"/>
      </w:r>
      <w:r w:rsidRPr="00AA6B80">
        <w:rPr>
          <w:b/>
          <w:bCs/>
          <w:i w:val="0"/>
          <w:iCs w:val="0"/>
          <w:noProof/>
          <w:color w:val="auto"/>
          <w:sz w:val="20"/>
          <w:szCs w:val="20"/>
        </w:rPr>
        <w:t>1</w:t>
      </w:r>
      <w:r w:rsidRPr="00AA6B80">
        <w:rPr>
          <w:b/>
          <w:bCs/>
          <w:i w:val="0"/>
          <w:iCs w:val="0"/>
          <w:color w:val="auto"/>
          <w:sz w:val="20"/>
          <w:szCs w:val="20"/>
        </w:rPr>
        <w:fldChar w:fldCharType="end"/>
      </w:r>
      <w:r w:rsidRPr="00AA6B80">
        <w:rPr>
          <w:b/>
          <w:bCs/>
          <w:i w:val="0"/>
          <w:iCs w:val="0"/>
          <w:color w:val="auto"/>
          <w:sz w:val="20"/>
          <w:szCs w:val="20"/>
        </w:rPr>
        <w:t xml:space="preserve"> – Registro de Patentes Relacionadas com Inteligência Artificial</w:t>
      </w:r>
    </w:p>
    <w:tbl>
      <w:tblPr>
        <w:tblW w:w="8080" w:type="dxa"/>
        <w:jc w:val="center"/>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2020"/>
        <w:gridCol w:w="2020"/>
        <w:gridCol w:w="2020"/>
        <w:gridCol w:w="2020"/>
      </w:tblGrid>
      <w:tr w:rsidR="002C7F4F" w:rsidRPr="002C7F4F" w14:paraId="5CB96D27" w14:textId="77777777" w:rsidTr="00E6320A">
        <w:trPr>
          <w:trHeight w:val="300"/>
          <w:jc w:val="center"/>
        </w:trPr>
        <w:tc>
          <w:tcPr>
            <w:tcW w:w="2020" w:type="dxa"/>
            <w:tcBorders>
              <w:top w:val="single" w:sz="4" w:space="0" w:color="auto"/>
              <w:bottom w:val="single" w:sz="4" w:space="0" w:color="auto"/>
            </w:tcBorders>
            <w:shd w:val="clear" w:color="auto" w:fill="auto"/>
            <w:vAlign w:val="center"/>
            <w:hideMark/>
          </w:tcPr>
          <w:p w14:paraId="798B8915" w14:textId="4AC69631" w:rsidR="002C7F4F" w:rsidRPr="002C7F4F" w:rsidRDefault="00AA6B80" w:rsidP="002C7F4F">
            <w:pPr>
              <w:spacing w:after="0" w:line="240" w:lineRule="auto"/>
              <w:jc w:val="center"/>
              <w:rPr>
                <w:rFonts w:asciiTheme="minorBidi" w:eastAsia="Times New Roman" w:hAnsiTheme="minorBidi"/>
                <w:b/>
                <w:bCs/>
                <w:sz w:val="24"/>
                <w:szCs w:val="24"/>
                <w:lang w:val="en-US" w:eastAsia="pt-BR"/>
              </w:rPr>
            </w:pPr>
            <w:r w:rsidRPr="00AA6B80">
              <w:rPr>
                <w:rFonts w:asciiTheme="minorBidi" w:eastAsia="Times New Roman" w:hAnsiTheme="minorBidi"/>
                <w:b/>
                <w:bCs/>
                <w:sz w:val="24"/>
                <w:szCs w:val="24"/>
                <w:lang w:val="en-US" w:eastAsia="pt-BR"/>
              </w:rPr>
              <w:t>Ano</w:t>
            </w:r>
          </w:p>
        </w:tc>
        <w:tc>
          <w:tcPr>
            <w:tcW w:w="2020" w:type="dxa"/>
            <w:tcBorders>
              <w:top w:val="single" w:sz="4" w:space="0" w:color="auto"/>
              <w:bottom w:val="single" w:sz="4" w:space="0" w:color="auto"/>
            </w:tcBorders>
            <w:shd w:val="clear" w:color="auto" w:fill="auto"/>
            <w:noWrap/>
            <w:vAlign w:val="center"/>
            <w:hideMark/>
          </w:tcPr>
          <w:p w14:paraId="7916EC1A"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EUA</w:t>
            </w:r>
          </w:p>
        </w:tc>
        <w:tc>
          <w:tcPr>
            <w:tcW w:w="2020" w:type="dxa"/>
            <w:tcBorders>
              <w:top w:val="single" w:sz="4" w:space="0" w:color="auto"/>
              <w:bottom w:val="single" w:sz="4" w:space="0" w:color="auto"/>
            </w:tcBorders>
            <w:shd w:val="clear" w:color="auto" w:fill="auto"/>
            <w:noWrap/>
            <w:vAlign w:val="center"/>
            <w:hideMark/>
          </w:tcPr>
          <w:p w14:paraId="7F6C9CD9"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OCDE</w:t>
            </w:r>
          </w:p>
        </w:tc>
        <w:tc>
          <w:tcPr>
            <w:tcW w:w="2020" w:type="dxa"/>
            <w:tcBorders>
              <w:top w:val="single" w:sz="4" w:space="0" w:color="auto"/>
              <w:bottom w:val="single" w:sz="4" w:space="0" w:color="auto"/>
            </w:tcBorders>
            <w:shd w:val="clear" w:color="auto" w:fill="auto"/>
            <w:noWrap/>
            <w:vAlign w:val="center"/>
            <w:hideMark/>
          </w:tcPr>
          <w:p w14:paraId="04CA3755"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Brasil</w:t>
            </w:r>
          </w:p>
        </w:tc>
      </w:tr>
      <w:tr w:rsidR="002C7F4F" w:rsidRPr="002C7F4F" w14:paraId="3C4B7201" w14:textId="77777777" w:rsidTr="00E6320A">
        <w:trPr>
          <w:trHeight w:val="300"/>
          <w:jc w:val="center"/>
        </w:trPr>
        <w:tc>
          <w:tcPr>
            <w:tcW w:w="2020" w:type="dxa"/>
            <w:tcBorders>
              <w:top w:val="single" w:sz="4" w:space="0" w:color="auto"/>
            </w:tcBorders>
            <w:shd w:val="clear" w:color="auto" w:fill="auto"/>
            <w:vAlign w:val="center"/>
            <w:hideMark/>
          </w:tcPr>
          <w:p w14:paraId="509D50A0"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2005</w:t>
            </w:r>
          </w:p>
        </w:tc>
        <w:tc>
          <w:tcPr>
            <w:tcW w:w="2020" w:type="dxa"/>
            <w:tcBorders>
              <w:top w:val="single" w:sz="4" w:space="0" w:color="auto"/>
            </w:tcBorders>
            <w:shd w:val="clear" w:color="auto" w:fill="auto"/>
            <w:noWrap/>
            <w:vAlign w:val="center"/>
            <w:hideMark/>
          </w:tcPr>
          <w:p w14:paraId="3E2AF3B3" w14:textId="3476085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489,0</w:t>
            </w:r>
          </w:p>
        </w:tc>
        <w:tc>
          <w:tcPr>
            <w:tcW w:w="2020" w:type="dxa"/>
            <w:tcBorders>
              <w:top w:val="single" w:sz="4" w:space="0" w:color="auto"/>
            </w:tcBorders>
            <w:shd w:val="clear" w:color="auto" w:fill="auto"/>
            <w:noWrap/>
            <w:vAlign w:val="center"/>
            <w:hideMark/>
          </w:tcPr>
          <w:p w14:paraId="10D3F13F" w14:textId="2F2ACFDE"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1.731,3</w:t>
            </w:r>
          </w:p>
        </w:tc>
        <w:tc>
          <w:tcPr>
            <w:tcW w:w="2020" w:type="dxa"/>
            <w:tcBorders>
              <w:top w:val="single" w:sz="4" w:space="0" w:color="auto"/>
            </w:tcBorders>
            <w:shd w:val="clear" w:color="auto" w:fill="auto"/>
            <w:noWrap/>
            <w:vAlign w:val="center"/>
            <w:hideMark/>
          </w:tcPr>
          <w:p w14:paraId="2DDAC1D9" w14:textId="18753E75"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4,1</w:t>
            </w:r>
          </w:p>
        </w:tc>
      </w:tr>
      <w:tr w:rsidR="002C7F4F" w:rsidRPr="002C7F4F" w14:paraId="5D72EC2D" w14:textId="77777777" w:rsidTr="00E6320A">
        <w:trPr>
          <w:trHeight w:val="300"/>
          <w:jc w:val="center"/>
        </w:trPr>
        <w:tc>
          <w:tcPr>
            <w:tcW w:w="2020" w:type="dxa"/>
            <w:shd w:val="clear" w:color="auto" w:fill="auto"/>
            <w:vAlign w:val="center"/>
            <w:hideMark/>
          </w:tcPr>
          <w:p w14:paraId="356177D7"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2006</w:t>
            </w:r>
          </w:p>
        </w:tc>
        <w:tc>
          <w:tcPr>
            <w:tcW w:w="2020" w:type="dxa"/>
            <w:shd w:val="clear" w:color="auto" w:fill="auto"/>
            <w:noWrap/>
            <w:vAlign w:val="center"/>
            <w:hideMark/>
          </w:tcPr>
          <w:p w14:paraId="773F4706" w14:textId="64E9DAEE"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494,7</w:t>
            </w:r>
          </w:p>
        </w:tc>
        <w:tc>
          <w:tcPr>
            <w:tcW w:w="2020" w:type="dxa"/>
            <w:shd w:val="clear" w:color="auto" w:fill="auto"/>
            <w:noWrap/>
            <w:vAlign w:val="center"/>
            <w:hideMark/>
          </w:tcPr>
          <w:p w14:paraId="51949BCD" w14:textId="7A80C0C9"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1.855,2</w:t>
            </w:r>
          </w:p>
        </w:tc>
        <w:tc>
          <w:tcPr>
            <w:tcW w:w="2020" w:type="dxa"/>
            <w:shd w:val="clear" w:color="auto" w:fill="auto"/>
            <w:noWrap/>
            <w:vAlign w:val="center"/>
            <w:hideMark/>
          </w:tcPr>
          <w:p w14:paraId="4D29F398" w14:textId="3870E78A"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0,3</w:t>
            </w:r>
          </w:p>
        </w:tc>
      </w:tr>
      <w:tr w:rsidR="002C7F4F" w:rsidRPr="002C7F4F" w14:paraId="5A522EBF" w14:textId="77777777" w:rsidTr="00E6320A">
        <w:trPr>
          <w:trHeight w:val="300"/>
          <w:jc w:val="center"/>
        </w:trPr>
        <w:tc>
          <w:tcPr>
            <w:tcW w:w="2020" w:type="dxa"/>
            <w:shd w:val="clear" w:color="auto" w:fill="auto"/>
            <w:vAlign w:val="center"/>
            <w:hideMark/>
          </w:tcPr>
          <w:p w14:paraId="1CDB7203"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2007</w:t>
            </w:r>
          </w:p>
        </w:tc>
        <w:tc>
          <w:tcPr>
            <w:tcW w:w="2020" w:type="dxa"/>
            <w:shd w:val="clear" w:color="auto" w:fill="auto"/>
            <w:noWrap/>
            <w:vAlign w:val="center"/>
            <w:hideMark/>
          </w:tcPr>
          <w:p w14:paraId="29B193A4" w14:textId="5E6F712C"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470,2</w:t>
            </w:r>
          </w:p>
        </w:tc>
        <w:tc>
          <w:tcPr>
            <w:tcW w:w="2020" w:type="dxa"/>
            <w:shd w:val="clear" w:color="auto" w:fill="auto"/>
            <w:noWrap/>
            <w:vAlign w:val="center"/>
            <w:hideMark/>
          </w:tcPr>
          <w:p w14:paraId="1C79B70C" w14:textId="74558F3B"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2.008,4</w:t>
            </w:r>
          </w:p>
        </w:tc>
        <w:tc>
          <w:tcPr>
            <w:tcW w:w="2020" w:type="dxa"/>
            <w:shd w:val="clear" w:color="auto" w:fill="auto"/>
            <w:noWrap/>
            <w:vAlign w:val="center"/>
            <w:hideMark/>
          </w:tcPr>
          <w:p w14:paraId="0470113E" w14:textId="1164BA0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0,1</w:t>
            </w:r>
          </w:p>
        </w:tc>
      </w:tr>
      <w:tr w:rsidR="002C7F4F" w:rsidRPr="002C7F4F" w14:paraId="30FAD554" w14:textId="77777777" w:rsidTr="00E6320A">
        <w:trPr>
          <w:trHeight w:val="300"/>
          <w:jc w:val="center"/>
        </w:trPr>
        <w:tc>
          <w:tcPr>
            <w:tcW w:w="2020" w:type="dxa"/>
            <w:shd w:val="clear" w:color="auto" w:fill="auto"/>
            <w:vAlign w:val="center"/>
            <w:hideMark/>
          </w:tcPr>
          <w:p w14:paraId="1DD82A35"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2008</w:t>
            </w:r>
          </w:p>
        </w:tc>
        <w:tc>
          <w:tcPr>
            <w:tcW w:w="2020" w:type="dxa"/>
            <w:shd w:val="clear" w:color="auto" w:fill="auto"/>
            <w:noWrap/>
            <w:vAlign w:val="center"/>
            <w:hideMark/>
          </w:tcPr>
          <w:p w14:paraId="08D7FE69" w14:textId="60407DAC"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468,6</w:t>
            </w:r>
          </w:p>
        </w:tc>
        <w:tc>
          <w:tcPr>
            <w:tcW w:w="2020" w:type="dxa"/>
            <w:shd w:val="clear" w:color="auto" w:fill="auto"/>
            <w:noWrap/>
            <w:vAlign w:val="center"/>
            <w:hideMark/>
          </w:tcPr>
          <w:p w14:paraId="6147BCBD" w14:textId="25220A00"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2.066,2</w:t>
            </w:r>
          </w:p>
        </w:tc>
        <w:tc>
          <w:tcPr>
            <w:tcW w:w="2020" w:type="dxa"/>
            <w:shd w:val="clear" w:color="auto" w:fill="auto"/>
            <w:noWrap/>
            <w:vAlign w:val="center"/>
            <w:hideMark/>
          </w:tcPr>
          <w:p w14:paraId="18207A26" w14:textId="25E665AA"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1,0</w:t>
            </w:r>
          </w:p>
        </w:tc>
      </w:tr>
      <w:tr w:rsidR="002C7F4F" w:rsidRPr="002C7F4F" w14:paraId="172F5025" w14:textId="77777777" w:rsidTr="00E6320A">
        <w:trPr>
          <w:trHeight w:val="300"/>
          <w:jc w:val="center"/>
        </w:trPr>
        <w:tc>
          <w:tcPr>
            <w:tcW w:w="2020" w:type="dxa"/>
            <w:shd w:val="clear" w:color="auto" w:fill="auto"/>
            <w:vAlign w:val="center"/>
            <w:hideMark/>
          </w:tcPr>
          <w:p w14:paraId="21D6C2F8"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2009</w:t>
            </w:r>
          </w:p>
        </w:tc>
        <w:tc>
          <w:tcPr>
            <w:tcW w:w="2020" w:type="dxa"/>
            <w:shd w:val="clear" w:color="auto" w:fill="auto"/>
            <w:noWrap/>
            <w:vAlign w:val="center"/>
            <w:hideMark/>
          </w:tcPr>
          <w:p w14:paraId="47027A90" w14:textId="12D6DF10"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474,4</w:t>
            </w:r>
          </w:p>
        </w:tc>
        <w:tc>
          <w:tcPr>
            <w:tcW w:w="2020" w:type="dxa"/>
            <w:shd w:val="clear" w:color="auto" w:fill="auto"/>
            <w:noWrap/>
            <w:vAlign w:val="center"/>
            <w:hideMark/>
          </w:tcPr>
          <w:p w14:paraId="4524B151" w14:textId="5838140C"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1.981,2</w:t>
            </w:r>
          </w:p>
        </w:tc>
        <w:tc>
          <w:tcPr>
            <w:tcW w:w="2020" w:type="dxa"/>
            <w:shd w:val="clear" w:color="auto" w:fill="auto"/>
            <w:noWrap/>
            <w:vAlign w:val="center"/>
            <w:hideMark/>
          </w:tcPr>
          <w:p w14:paraId="2BB34373" w14:textId="7A65E2C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1,5</w:t>
            </w:r>
          </w:p>
        </w:tc>
      </w:tr>
      <w:tr w:rsidR="002C7F4F" w:rsidRPr="002C7F4F" w14:paraId="21A03AD5" w14:textId="77777777" w:rsidTr="00E6320A">
        <w:trPr>
          <w:trHeight w:val="300"/>
          <w:jc w:val="center"/>
        </w:trPr>
        <w:tc>
          <w:tcPr>
            <w:tcW w:w="2020" w:type="dxa"/>
            <w:shd w:val="clear" w:color="auto" w:fill="auto"/>
            <w:vAlign w:val="center"/>
            <w:hideMark/>
          </w:tcPr>
          <w:p w14:paraId="0D226C38"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2010</w:t>
            </w:r>
          </w:p>
        </w:tc>
        <w:tc>
          <w:tcPr>
            <w:tcW w:w="2020" w:type="dxa"/>
            <w:shd w:val="clear" w:color="auto" w:fill="auto"/>
            <w:noWrap/>
            <w:vAlign w:val="center"/>
            <w:hideMark/>
          </w:tcPr>
          <w:p w14:paraId="7C9E4C79" w14:textId="31B9E50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566,6</w:t>
            </w:r>
          </w:p>
        </w:tc>
        <w:tc>
          <w:tcPr>
            <w:tcW w:w="2020" w:type="dxa"/>
            <w:shd w:val="clear" w:color="auto" w:fill="auto"/>
            <w:noWrap/>
            <w:vAlign w:val="center"/>
            <w:hideMark/>
          </w:tcPr>
          <w:p w14:paraId="5FE8BDA2" w14:textId="439322D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2.082,0</w:t>
            </w:r>
          </w:p>
        </w:tc>
        <w:tc>
          <w:tcPr>
            <w:tcW w:w="2020" w:type="dxa"/>
            <w:shd w:val="clear" w:color="auto" w:fill="auto"/>
            <w:noWrap/>
            <w:vAlign w:val="center"/>
            <w:hideMark/>
          </w:tcPr>
          <w:p w14:paraId="7EBFDD78" w14:textId="7EAB8264"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7,0</w:t>
            </w:r>
          </w:p>
        </w:tc>
      </w:tr>
      <w:tr w:rsidR="002C7F4F" w:rsidRPr="002C7F4F" w14:paraId="300A620C" w14:textId="77777777" w:rsidTr="00E6320A">
        <w:trPr>
          <w:trHeight w:val="300"/>
          <w:jc w:val="center"/>
        </w:trPr>
        <w:tc>
          <w:tcPr>
            <w:tcW w:w="2020" w:type="dxa"/>
            <w:shd w:val="clear" w:color="auto" w:fill="auto"/>
            <w:vAlign w:val="center"/>
            <w:hideMark/>
          </w:tcPr>
          <w:p w14:paraId="1AFDC922"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2011</w:t>
            </w:r>
          </w:p>
        </w:tc>
        <w:tc>
          <w:tcPr>
            <w:tcW w:w="2020" w:type="dxa"/>
            <w:shd w:val="clear" w:color="auto" w:fill="auto"/>
            <w:noWrap/>
            <w:vAlign w:val="center"/>
            <w:hideMark/>
          </w:tcPr>
          <w:p w14:paraId="1519E955" w14:textId="14B627B3"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530,9</w:t>
            </w:r>
          </w:p>
        </w:tc>
        <w:tc>
          <w:tcPr>
            <w:tcW w:w="2020" w:type="dxa"/>
            <w:shd w:val="clear" w:color="auto" w:fill="auto"/>
            <w:noWrap/>
            <w:vAlign w:val="center"/>
            <w:hideMark/>
          </w:tcPr>
          <w:p w14:paraId="1E191C66" w14:textId="2B1DAAC3"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2.121,4</w:t>
            </w:r>
          </w:p>
        </w:tc>
        <w:tc>
          <w:tcPr>
            <w:tcW w:w="2020" w:type="dxa"/>
            <w:shd w:val="clear" w:color="auto" w:fill="auto"/>
            <w:noWrap/>
            <w:vAlign w:val="center"/>
            <w:hideMark/>
          </w:tcPr>
          <w:p w14:paraId="44634993" w14:textId="2C2CBF2D"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3,0</w:t>
            </w:r>
          </w:p>
        </w:tc>
      </w:tr>
      <w:tr w:rsidR="002C7F4F" w:rsidRPr="002C7F4F" w14:paraId="5FD781A4" w14:textId="77777777" w:rsidTr="00E6320A">
        <w:trPr>
          <w:trHeight w:val="300"/>
          <w:jc w:val="center"/>
        </w:trPr>
        <w:tc>
          <w:tcPr>
            <w:tcW w:w="2020" w:type="dxa"/>
            <w:shd w:val="clear" w:color="auto" w:fill="auto"/>
            <w:vAlign w:val="center"/>
            <w:hideMark/>
          </w:tcPr>
          <w:p w14:paraId="19603171"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2012</w:t>
            </w:r>
          </w:p>
        </w:tc>
        <w:tc>
          <w:tcPr>
            <w:tcW w:w="2020" w:type="dxa"/>
            <w:shd w:val="clear" w:color="auto" w:fill="auto"/>
            <w:noWrap/>
            <w:vAlign w:val="center"/>
            <w:hideMark/>
          </w:tcPr>
          <w:p w14:paraId="1A556FAE" w14:textId="4BAEEE00"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622,0</w:t>
            </w:r>
          </w:p>
        </w:tc>
        <w:tc>
          <w:tcPr>
            <w:tcW w:w="2020" w:type="dxa"/>
            <w:shd w:val="clear" w:color="auto" w:fill="auto"/>
            <w:noWrap/>
            <w:vAlign w:val="center"/>
            <w:hideMark/>
          </w:tcPr>
          <w:p w14:paraId="5AAA1F74" w14:textId="10ED48E0"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2.349,0</w:t>
            </w:r>
          </w:p>
        </w:tc>
        <w:tc>
          <w:tcPr>
            <w:tcW w:w="2020" w:type="dxa"/>
            <w:shd w:val="clear" w:color="auto" w:fill="auto"/>
            <w:noWrap/>
            <w:vAlign w:val="center"/>
            <w:hideMark/>
          </w:tcPr>
          <w:p w14:paraId="4B859CA7" w14:textId="7A1168CD"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4,6</w:t>
            </w:r>
          </w:p>
        </w:tc>
      </w:tr>
      <w:tr w:rsidR="002C7F4F" w:rsidRPr="002C7F4F" w14:paraId="63889BEC" w14:textId="77777777" w:rsidTr="00E6320A">
        <w:trPr>
          <w:trHeight w:val="300"/>
          <w:jc w:val="center"/>
        </w:trPr>
        <w:tc>
          <w:tcPr>
            <w:tcW w:w="2020" w:type="dxa"/>
            <w:shd w:val="clear" w:color="auto" w:fill="auto"/>
            <w:vAlign w:val="center"/>
            <w:hideMark/>
          </w:tcPr>
          <w:p w14:paraId="69955BA6"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2013</w:t>
            </w:r>
          </w:p>
        </w:tc>
        <w:tc>
          <w:tcPr>
            <w:tcW w:w="2020" w:type="dxa"/>
            <w:shd w:val="clear" w:color="auto" w:fill="auto"/>
            <w:noWrap/>
            <w:vAlign w:val="center"/>
            <w:hideMark/>
          </w:tcPr>
          <w:p w14:paraId="21E9DECD" w14:textId="08EE7FDB"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768,0</w:t>
            </w:r>
          </w:p>
        </w:tc>
        <w:tc>
          <w:tcPr>
            <w:tcW w:w="2020" w:type="dxa"/>
            <w:shd w:val="clear" w:color="auto" w:fill="auto"/>
            <w:noWrap/>
            <w:vAlign w:val="center"/>
            <w:hideMark/>
          </w:tcPr>
          <w:p w14:paraId="24151CBD" w14:textId="40AB9FF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2.487,6</w:t>
            </w:r>
          </w:p>
        </w:tc>
        <w:tc>
          <w:tcPr>
            <w:tcW w:w="2020" w:type="dxa"/>
            <w:shd w:val="clear" w:color="auto" w:fill="auto"/>
            <w:noWrap/>
            <w:vAlign w:val="center"/>
            <w:hideMark/>
          </w:tcPr>
          <w:p w14:paraId="58FC5653" w14:textId="1323C0E9"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2,3</w:t>
            </w:r>
          </w:p>
        </w:tc>
      </w:tr>
      <w:tr w:rsidR="002C7F4F" w:rsidRPr="002C7F4F" w14:paraId="6D85E844" w14:textId="77777777" w:rsidTr="00E6320A">
        <w:trPr>
          <w:trHeight w:val="300"/>
          <w:jc w:val="center"/>
        </w:trPr>
        <w:tc>
          <w:tcPr>
            <w:tcW w:w="2020" w:type="dxa"/>
            <w:shd w:val="clear" w:color="auto" w:fill="auto"/>
            <w:vAlign w:val="center"/>
            <w:hideMark/>
          </w:tcPr>
          <w:p w14:paraId="0AD28A8C"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2014</w:t>
            </w:r>
          </w:p>
        </w:tc>
        <w:tc>
          <w:tcPr>
            <w:tcW w:w="2020" w:type="dxa"/>
            <w:shd w:val="clear" w:color="auto" w:fill="auto"/>
            <w:noWrap/>
            <w:vAlign w:val="center"/>
            <w:hideMark/>
          </w:tcPr>
          <w:p w14:paraId="4A19E038" w14:textId="5DAC74BF"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807,2</w:t>
            </w:r>
          </w:p>
        </w:tc>
        <w:tc>
          <w:tcPr>
            <w:tcW w:w="2020" w:type="dxa"/>
            <w:shd w:val="clear" w:color="auto" w:fill="auto"/>
            <w:noWrap/>
            <w:vAlign w:val="center"/>
            <w:hideMark/>
          </w:tcPr>
          <w:p w14:paraId="5DBBA97F" w14:textId="3C07B5E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2.710,0</w:t>
            </w:r>
          </w:p>
        </w:tc>
        <w:tc>
          <w:tcPr>
            <w:tcW w:w="2020" w:type="dxa"/>
            <w:shd w:val="clear" w:color="auto" w:fill="auto"/>
            <w:noWrap/>
            <w:vAlign w:val="center"/>
            <w:hideMark/>
          </w:tcPr>
          <w:p w14:paraId="03624F39" w14:textId="0ED94133"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w:t>
            </w:r>
          </w:p>
        </w:tc>
      </w:tr>
      <w:tr w:rsidR="002C7F4F" w:rsidRPr="002C7F4F" w14:paraId="582FF7DA" w14:textId="77777777" w:rsidTr="00E6320A">
        <w:trPr>
          <w:trHeight w:val="300"/>
          <w:jc w:val="center"/>
        </w:trPr>
        <w:tc>
          <w:tcPr>
            <w:tcW w:w="2020" w:type="dxa"/>
            <w:shd w:val="clear" w:color="auto" w:fill="auto"/>
            <w:vAlign w:val="center"/>
            <w:hideMark/>
          </w:tcPr>
          <w:p w14:paraId="452C5923"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2015</w:t>
            </w:r>
          </w:p>
        </w:tc>
        <w:tc>
          <w:tcPr>
            <w:tcW w:w="2020" w:type="dxa"/>
            <w:shd w:val="clear" w:color="auto" w:fill="auto"/>
            <w:noWrap/>
            <w:vAlign w:val="center"/>
            <w:hideMark/>
          </w:tcPr>
          <w:p w14:paraId="516464DD" w14:textId="3FA6E77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893,9</w:t>
            </w:r>
          </w:p>
        </w:tc>
        <w:tc>
          <w:tcPr>
            <w:tcW w:w="2020" w:type="dxa"/>
            <w:shd w:val="clear" w:color="auto" w:fill="auto"/>
            <w:noWrap/>
            <w:vAlign w:val="center"/>
            <w:hideMark/>
          </w:tcPr>
          <w:p w14:paraId="137E4143" w14:textId="0109B073"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2.757,0</w:t>
            </w:r>
          </w:p>
        </w:tc>
        <w:tc>
          <w:tcPr>
            <w:tcW w:w="2020" w:type="dxa"/>
            <w:shd w:val="clear" w:color="auto" w:fill="auto"/>
            <w:noWrap/>
            <w:vAlign w:val="center"/>
            <w:hideMark/>
          </w:tcPr>
          <w:p w14:paraId="6D9A6C0C" w14:textId="6BC2C972"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8,2</w:t>
            </w:r>
          </w:p>
        </w:tc>
      </w:tr>
      <w:tr w:rsidR="002C7F4F" w:rsidRPr="002C7F4F" w14:paraId="18E95A2F" w14:textId="77777777" w:rsidTr="00E6320A">
        <w:trPr>
          <w:trHeight w:val="300"/>
          <w:jc w:val="center"/>
        </w:trPr>
        <w:tc>
          <w:tcPr>
            <w:tcW w:w="2020" w:type="dxa"/>
            <w:shd w:val="clear" w:color="auto" w:fill="auto"/>
            <w:vAlign w:val="center"/>
            <w:hideMark/>
          </w:tcPr>
          <w:p w14:paraId="43444AD3"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2016</w:t>
            </w:r>
          </w:p>
        </w:tc>
        <w:tc>
          <w:tcPr>
            <w:tcW w:w="2020" w:type="dxa"/>
            <w:shd w:val="clear" w:color="auto" w:fill="auto"/>
            <w:noWrap/>
            <w:vAlign w:val="center"/>
            <w:hideMark/>
          </w:tcPr>
          <w:p w14:paraId="2DF75852" w14:textId="2AB717EC"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1.315,1</w:t>
            </w:r>
          </w:p>
        </w:tc>
        <w:tc>
          <w:tcPr>
            <w:tcW w:w="2020" w:type="dxa"/>
            <w:shd w:val="clear" w:color="auto" w:fill="auto"/>
            <w:noWrap/>
            <w:vAlign w:val="center"/>
            <w:hideMark/>
          </w:tcPr>
          <w:p w14:paraId="05040933" w14:textId="4D1D815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3.602,1</w:t>
            </w:r>
          </w:p>
        </w:tc>
        <w:tc>
          <w:tcPr>
            <w:tcW w:w="2020" w:type="dxa"/>
            <w:shd w:val="clear" w:color="auto" w:fill="auto"/>
            <w:noWrap/>
            <w:vAlign w:val="center"/>
            <w:hideMark/>
          </w:tcPr>
          <w:p w14:paraId="06E1A0FA" w14:textId="7FF7C0D1"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5,3</w:t>
            </w:r>
          </w:p>
        </w:tc>
      </w:tr>
      <w:tr w:rsidR="002C7F4F" w:rsidRPr="002C7F4F" w14:paraId="003CF589" w14:textId="77777777" w:rsidTr="00E6320A">
        <w:trPr>
          <w:trHeight w:val="300"/>
          <w:jc w:val="center"/>
        </w:trPr>
        <w:tc>
          <w:tcPr>
            <w:tcW w:w="2020" w:type="dxa"/>
            <w:shd w:val="clear" w:color="auto" w:fill="auto"/>
            <w:vAlign w:val="center"/>
            <w:hideMark/>
          </w:tcPr>
          <w:p w14:paraId="4B357BDD" w14:textId="77777777"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2017</w:t>
            </w:r>
          </w:p>
        </w:tc>
        <w:tc>
          <w:tcPr>
            <w:tcW w:w="2020" w:type="dxa"/>
            <w:shd w:val="clear" w:color="auto" w:fill="auto"/>
            <w:noWrap/>
            <w:vAlign w:val="center"/>
            <w:hideMark/>
          </w:tcPr>
          <w:p w14:paraId="5DDDAF5D" w14:textId="5EAD0670"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1.065,1</w:t>
            </w:r>
          </w:p>
        </w:tc>
        <w:tc>
          <w:tcPr>
            <w:tcW w:w="2020" w:type="dxa"/>
            <w:shd w:val="clear" w:color="auto" w:fill="auto"/>
            <w:noWrap/>
            <w:vAlign w:val="center"/>
            <w:hideMark/>
          </w:tcPr>
          <w:p w14:paraId="1C9D7A13" w14:textId="2EDCE1E9"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3.289,5</w:t>
            </w:r>
          </w:p>
        </w:tc>
        <w:tc>
          <w:tcPr>
            <w:tcW w:w="2020" w:type="dxa"/>
            <w:shd w:val="clear" w:color="auto" w:fill="auto"/>
            <w:noWrap/>
            <w:vAlign w:val="center"/>
            <w:hideMark/>
          </w:tcPr>
          <w:p w14:paraId="6060E4F8" w14:textId="6AD37EB5" w:rsidR="002C7F4F" w:rsidRPr="002C7F4F" w:rsidRDefault="002C7F4F" w:rsidP="002C7F4F">
            <w:pPr>
              <w:spacing w:after="0" w:line="240" w:lineRule="auto"/>
              <w:jc w:val="center"/>
              <w:rPr>
                <w:rFonts w:asciiTheme="minorBidi" w:eastAsia="Times New Roman" w:hAnsiTheme="minorBidi"/>
                <w:sz w:val="24"/>
                <w:szCs w:val="24"/>
                <w:lang w:eastAsia="pt-BR"/>
              </w:rPr>
            </w:pPr>
            <w:r w:rsidRPr="002C7F4F">
              <w:rPr>
                <w:rFonts w:asciiTheme="minorBidi" w:eastAsia="Times New Roman" w:hAnsiTheme="minorBidi"/>
                <w:sz w:val="24"/>
                <w:szCs w:val="24"/>
                <w:lang w:eastAsia="pt-BR"/>
              </w:rPr>
              <w:t>5,7</w:t>
            </w:r>
          </w:p>
        </w:tc>
      </w:tr>
    </w:tbl>
    <w:p w14:paraId="7F9D78CC" w14:textId="045CB9AF" w:rsidR="002C7F4F" w:rsidRDefault="00E6320A" w:rsidP="002C7F4F">
      <w:pPr>
        <w:ind w:firstLine="708"/>
        <w:jc w:val="both"/>
      </w:pPr>
      <w:r>
        <w:t>Fonte: Base de dados da OCDE</w:t>
      </w:r>
    </w:p>
    <w:p w14:paraId="744C250B" w14:textId="77777777" w:rsidR="00E6320A" w:rsidRDefault="00E6320A" w:rsidP="002C7F4F">
      <w:pPr>
        <w:ind w:firstLine="708"/>
        <w:jc w:val="both"/>
      </w:pPr>
    </w:p>
    <w:p w14:paraId="3D5457BC" w14:textId="6BC212FE" w:rsidR="00E6320A" w:rsidRPr="00E6320A" w:rsidRDefault="00AA6B80" w:rsidP="00E6320A">
      <w:pPr>
        <w:ind w:firstLine="708"/>
        <w:jc w:val="both"/>
      </w:pPr>
      <w:r w:rsidRPr="00E6320A">
        <w:t xml:space="preserve">A tabela 1 revela </w:t>
      </w:r>
      <w:r w:rsidR="00AE4609" w:rsidRPr="00E6320A">
        <w:t xml:space="preserve">a magnitude da distância </w:t>
      </w:r>
      <w:r w:rsidR="005E41CA" w:rsidRPr="00E6320A">
        <w:t>n</w:t>
      </w:r>
      <w:r w:rsidRPr="00E6320A">
        <w:t xml:space="preserve">o patenteamento de </w:t>
      </w:r>
      <w:r w:rsidR="005E41CA" w:rsidRPr="00E6320A">
        <w:t>tecnologias relacionadas</w:t>
      </w:r>
      <w:r w:rsidRPr="00E6320A">
        <w:t xml:space="preserve"> </w:t>
      </w:r>
      <w:r w:rsidR="005E41CA" w:rsidRPr="00E6320A">
        <w:t>à IA</w:t>
      </w:r>
      <w:r w:rsidR="00AE4609" w:rsidRPr="00E6320A">
        <w:t xml:space="preserve"> entre o Brasil e demais países desenvolvidos</w:t>
      </w:r>
      <w:r w:rsidRPr="00E6320A">
        <w:t xml:space="preserve">. </w:t>
      </w:r>
      <w:r w:rsidR="0027685C" w:rsidRPr="00E6320A">
        <w:t xml:space="preserve">Na última década, </w:t>
      </w:r>
      <w:r w:rsidRPr="00E6320A">
        <w:t xml:space="preserve">os </w:t>
      </w:r>
      <w:r w:rsidRPr="00E6320A">
        <w:t xml:space="preserve">países da OCDE </w:t>
      </w:r>
      <w:r w:rsidR="00AE4609" w:rsidRPr="00E6320A">
        <w:t>e</w:t>
      </w:r>
      <w:r w:rsidR="005E41CA" w:rsidRPr="00E6320A">
        <w:t xml:space="preserve"> </w:t>
      </w:r>
      <w:r w:rsidRPr="00E6320A">
        <w:t xml:space="preserve">EUA dobraram o </w:t>
      </w:r>
      <w:r w:rsidR="00AE4609" w:rsidRPr="00E6320A">
        <w:t xml:space="preserve">seu </w:t>
      </w:r>
      <w:r w:rsidRPr="00E6320A">
        <w:t xml:space="preserve">número de patentes </w:t>
      </w:r>
      <w:r w:rsidR="0027685C" w:rsidRPr="00E6320A">
        <w:t xml:space="preserve">relacionadas a inteligência artificial. Por outro lado, o Brasil, além de possuir </w:t>
      </w:r>
      <w:r w:rsidR="00AE4609" w:rsidRPr="00E6320A">
        <w:t>poucas patentes de tecnologias relacionadas a IA</w:t>
      </w:r>
      <w:r w:rsidR="0027685C" w:rsidRPr="00E6320A">
        <w:t xml:space="preserve">, </w:t>
      </w:r>
      <w:r w:rsidR="00AE4609" w:rsidRPr="00E6320A">
        <w:t xml:space="preserve">e registro dessas patentes </w:t>
      </w:r>
      <w:r w:rsidR="0027685C" w:rsidRPr="00E6320A">
        <w:t xml:space="preserve">oscilarem </w:t>
      </w:r>
      <w:r w:rsidR="00AE4609" w:rsidRPr="00E6320A">
        <w:t>muito, sem apresentar tendencia de crescimento.</w:t>
      </w:r>
      <w:r w:rsidR="00E6320A">
        <w:t xml:space="preserve"> Mesmo a participação das patentes relacionadas com inteligência artificial ainda é inferior no Brasil (Gráfico 5), em relação aos países da OCDE e EUA, confirmando o cenário de estagnação tecnológica que nos encontramos. </w:t>
      </w:r>
    </w:p>
    <w:p w14:paraId="0B907DE4" w14:textId="413A5744" w:rsidR="00E6320A" w:rsidRDefault="00E6320A" w:rsidP="00AE4609">
      <w:pPr>
        <w:ind w:firstLine="708"/>
        <w:jc w:val="both"/>
      </w:pPr>
    </w:p>
    <w:p w14:paraId="76329175" w14:textId="2AD33CBE" w:rsidR="00E6320A" w:rsidRPr="00E6320A" w:rsidRDefault="00E6320A" w:rsidP="00E6320A">
      <w:pPr>
        <w:ind w:firstLine="708"/>
      </w:pPr>
      <w:r>
        <w:rPr>
          <w:noProof/>
        </w:rPr>
        <w:drawing>
          <wp:inline distT="0" distB="0" distL="0" distR="0" wp14:anchorId="41E6C56E" wp14:editId="21E35F7F">
            <wp:extent cx="5590540" cy="39077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0540" cy="3907790"/>
                    </a:xfrm>
                    <a:prstGeom prst="rect">
                      <a:avLst/>
                    </a:prstGeom>
                    <a:noFill/>
                  </pic:spPr>
                </pic:pic>
              </a:graphicData>
            </a:graphic>
          </wp:inline>
        </w:drawing>
      </w:r>
    </w:p>
    <w:p w14:paraId="49D7E375" w14:textId="69DB5A94" w:rsidR="00E6320A" w:rsidRPr="00E6320A" w:rsidRDefault="00E6320A" w:rsidP="00E6320A">
      <w:pPr>
        <w:rPr>
          <w:sz w:val="20"/>
          <w:szCs w:val="20"/>
        </w:rPr>
      </w:pPr>
      <w:r w:rsidRPr="00E6320A">
        <w:rPr>
          <w:sz w:val="20"/>
          <w:szCs w:val="20"/>
        </w:rPr>
        <w:t xml:space="preserve">Gráfico </w:t>
      </w:r>
      <w:r w:rsidRPr="00E6320A">
        <w:rPr>
          <w:sz w:val="20"/>
          <w:szCs w:val="20"/>
        </w:rPr>
        <w:fldChar w:fldCharType="begin"/>
      </w:r>
      <w:r w:rsidRPr="00E6320A">
        <w:rPr>
          <w:sz w:val="20"/>
          <w:szCs w:val="20"/>
        </w:rPr>
        <w:instrText xml:space="preserve"> SEQ Gráfico \* ARABIC </w:instrText>
      </w:r>
      <w:r w:rsidRPr="00E6320A">
        <w:rPr>
          <w:sz w:val="20"/>
          <w:szCs w:val="20"/>
        </w:rPr>
        <w:fldChar w:fldCharType="separate"/>
      </w:r>
      <w:r>
        <w:rPr>
          <w:noProof/>
          <w:sz w:val="20"/>
          <w:szCs w:val="20"/>
        </w:rPr>
        <w:t>5</w:t>
      </w:r>
      <w:r w:rsidRPr="00E6320A">
        <w:rPr>
          <w:sz w:val="20"/>
          <w:szCs w:val="20"/>
        </w:rPr>
        <w:fldChar w:fldCharType="end"/>
      </w:r>
      <w:r w:rsidRPr="00E6320A">
        <w:rPr>
          <w:sz w:val="20"/>
          <w:szCs w:val="20"/>
        </w:rPr>
        <w:t xml:space="preserve"> – </w:t>
      </w:r>
      <w:r>
        <w:rPr>
          <w:sz w:val="20"/>
          <w:szCs w:val="20"/>
        </w:rPr>
        <w:t xml:space="preserve">Participação das </w:t>
      </w:r>
      <w:r w:rsidRPr="00E6320A">
        <w:rPr>
          <w:sz w:val="20"/>
          <w:szCs w:val="20"/>
        </w:rPr>
        <w:t xml:space="preserve">Patentes </w:t>
      </w:r>
      <w:r>
        <w:rPr>
          <w:sz w:val="20"/>
          <w:szCs w:val="20"/>
        </w:rPr>
        <w:t>associadas de IA no total de Patentes</w:t>
      </w:r>
      <w:r w:rsidRPr="00E6320A">
        <w:rPr>
          <w:sz w:val="20"/>
          <w:szCs w:val="20"/>
        </w:rPr>
        <w:t>. Fonte: Base de dados da OCDE</w:t>
      </w:r>
    </w:p>
    <w:p w14:paraId="4A622208" w14:textId="77777777" w:rsidR="00E6320A" w:rsidRDefault="00E6320A" w:rsidP="0023190D">
      <w:pPr>
        <w:ind w:firstLine="708"/>
        <w:jc w:val="both"/>
      </w:pPr>
    </w:p>
    <w:p w14:paraId="3AC59AFE" w14:textId="3441AB24" w:rsidR="00E6320A" w:rsidRDefault="00E6320A" w:rsidP="00E6320A">
      <w:pPr>
        <w:jc w:val="both"/>
      </w:pPr>
    </w:p>
    <w:p w14:paraId="7EA48F8F" w14:textId="77777777" w:rsidR="00E6320A" w:rsidRDefault="00E6320A" w:rsidP="00E6320A">
      <w:pPr>
        <w:ind w:firstLine="708"/>
        <w:jc w:val="both"/>
      </w:pPr>
      <w:r w:rsidRPr="00E6320A">
        <w:t xml:space="preserve">Levantamento da OCDE (2023) realizado no Canadá, Alemanha, Reino Unido e Estados Unidos mostra que mais de metade das empresas focadas em AI têm menos de 5 anos de idade, possuem menos de 10 funcionários e opera no setor de “Informação &amp; Comunicação”. Outro setor que concentra tais as empresas o de “Atividades profissionais, científicas e técnicas”. Essas empresas posicionam a IA no centro de seus negócios, fornecendo soluções focadas em Análise de Dados, Inteligência Corporativa e soluções de Cloud. Essas empresas citam o uso extensivo de técnicas como Redes Neurais Artificiais, Processamento de Linguagem Natural, Automação em Robótica, Visão Computacional e Reconhecimento de Imagem. </w:t>
      </w:r>
    </w:p>
    <w:p w14:paraId="745EEDF1" w14:textId="31C05690" w:rsidR="00AE4609" w:rsidRPr="00E6320A" w:rsidRDefault="00AE4609" w:rsidP="0023190D">
      <w:pPr>
        <w:ind w:firstLine="708"/>
        <w:jc w:val="both"/>
      </w:pPr>
      <w:r w:rsidRPr="00E6320A">
        <w:t>M</w:t>
      </w:r>
      <w:r w:rsidRPr="00E6320A">
        <w:t xml:space="preserve">esmo no Canadá, Alemanha, Reino Unido e Estados Unidos, </w:t>
      </w:r>
      <w:r w:rsidR="0023190D" w:rsidRPr="00E6320A">
        <w:t xml:space="preserve">as </w:t>
      </w:r>
      <w:r w:rsidRPr="00E6320A">
        <w:t xml:space="preserve">empresas </w:t>
      </w:r>
      <w:r w:rsidR="0023190D" w:rsidRPr="00E6320A">
        <w:t xml:space="preserve">com foco em AI </w:t>
      </w:r>
      <w:r w:rsidRPr="00E6320A">
        <w:t>apresentam um baixo engajamento em atividades de patenteamento</w:t>
      </w:r>
      <w:r w:rsidR="0023190D" w:rsidRPr="00E6320A">
        <w:t xml:space="preserve"> (OCDE, 2023)</w:t>
      </w:r>
      <w:r w:rsidRPr="00E6320A">
        <w:t xml:space="preserve">. Menos de 10% das empresas baseadas em IA possuem registro intelectual. </w:t>
      </w:r>
      <w:r w:rsidRPr="00E6320A">
        <w:t xml:space="preserve">Entretanto </w:t>
      </w:r>
      <w:r w:rsidRPr="00E6320A">
        <w:t xml:space="preserve">o </w:t>
      </w:r>
      <w:r w:rsidRPr="00E6320A">
        <w:t xml:space="preserve">engajamento </w:t>
      </w:r>
      <w:r w:rsidR="0023190D" w:rsidRPr="00E6320A">
        <w:t xml:space="preserve">macroeconômico </w:t>
      </w:r>
      <w:r w:rsidRPr="00E6320A">
        <w:t xml:space="preserve">no </w:t>
      </w:r>
      <w:r w:rsidRPr="00E6320A">
        <w:t xml:space="preserve">registro de patente </w:t>
      </w:r>
      <w:r w:rsidR="0023190D" w:rsidRPr="00E6320A">
        <w:t xml:space="preserve">continua sendo </w:t>
      </w:r>
      <w:r w:rsidRPr="00E6320A">
        <w:t>um</w:t>
      </w:r>
      <w:r w:rsidR="0023190D" w:rsidRPr="00E6320A">
        <w:t xml:space="preserve"> importante vetor </w:t>
      </w:r>
      <w:r w:rsidRPr="00E6320A">
        <w:t>do estado maturidade tecnológica</w:t>
      </w:r>
      <w:r w:rsidR="0023190D" w:rsidRPr="00E6320A">
        <w:t xml:space="preserve"> do país</w:t>
      </w:r>
      <w:r w:rsidRPr="00E6320A">
        <w:t>, e das condições encontradas no meio ambiente de negócios</w:t>
      </w:r>
      <w:r w:rsidR="00AA1F8C" w:rsidRPr="00E6320A">
        <w:t xml:space="preserve">. </w:t>
      </w:r>
      <w:r w:rsidR="0023190D" w:rsidRPr="00E6320A">
        <w:t xml:space="preserve">No caso brasileira, a </w:t>
      </w:r>
      <w:r w:rsidR="00AA1F8C" w:rsidRPr="00E6320A">
        <w:t xml:space="preserve">estagnação brasileira </w:t>
      </w:r>
      <w:r w:rsidR="0023190D" w:rsidRPr="00E6320A">
        <w:t xml:space="preserve">dos indicadores de crescimento econômico segue a mesma tendencia </w:t>
      </w:r>
      <w:r w:rsidR="00AA1F8C" w:rsidRPr="00E6320A">
        <w:t xml:space="preserve">no </w:t>
      </w:r>
      <w:r w:rsidR="00AA1F8C" w:rsidRPr="00E6320A">
        <w:t xml:space="preserve">registro </w:t>
      </w:r>
      <w:r w:rsidR="0023190D" w:rsidRPr="00E6320A">
        <w:t xml:space="preserve">agregado </w:t>
      </w:r>
      <w:r w:rsidR="00AA1F8C" w:rsidRPr="00E6320A">
        <w:t>de patentes</w:t>
      </w:r>
      <w:r w:rsidR="0023190D" w:rsidRPr="00E6320A">
        <w:t xml:space="preserve">, o qual por sua vez acompanha </w:t>
      </w:r>
      <w:r w:rsidR="00AA1F8C" w:rsidRPr="00E6320A">
        <w:t>os números de patentes relacionadas com</w:t>
      </w:r>
      <w:r w:rsidR="0023190D" w:rsidRPr="00E6320A">
        <w:t xml:space="preserve"> inteligência artificial</w:t>
      </w:r>
      <w:r w:rsidR="00AA1F8C" w:rsidRPr="00E6320A">
        <w:t>.</w:t>
      </w:r>
      <w:r w:rsidR="0023190D" w:rsidRPr="00E6320A">
        <w:t xml:space="preserve"> Portanto, o Brasil encontra </w:t>
      </w:r>
      <w:r w:rsidRPr="00E6320A">
        <w:t xml:space="preserve">desafios </w:t>
      </w:r>
      <w:r w:rsidR="0023190D" w:rsidRPr="00E6320A">
        <w:t xml:space="preserve">adicionais para aproveitar das potencialidades da inteligência artificial na estimulação do seu </w:t>
      </w:r>
      <w:r w:rsidRPr="00E6320A">
        <w:t xml:space="preserve">desenvolvimento </w:t>
      </w:r>
      <w:r w:rsidR="0023190D" w:rsidRPr="00E6320A">
        <w:t>econômico</w:t>
      </w:r>
      <w:r w:rsidRPr="00E6320A">
        <w:t xml:space="preserve">. </w:t>
      </w:r>
    </w:p>
    <w:p w14:paraId="1E6C2E6B" w14:textId="77777777" w:rsidR="001C5ECC" w:rsidRDefault="001C5ECC" w:rsidP="00250F81"/>
    <w:p w14:paraId="7D9F151F" w14:textId="77777777" w:rsidR="001C5ECC" w:rsidRDefault="001C5ECC" w:rsidP="00250F81"/>
    <w:p w14:paraId="519DA87C" w14:textId="37ACD892" w:rsidR="00174F4A" w:rsidRDefault="00174F4A" w:rsidP="00174F4A"/>
    <w:p w14:paraId="7CFD3965" w14:textId="198FC829" w:rsidR="00174F4A" w:rsidRDefault="00174F4A" w:rsidP="00174F4A"/>
    <w:p w14:paraId="3BFE9919" w14:textId="1E1D051D" w:rsidR="00174F4A" w:rsidRDefault="00174F4A" w:rsidP="00174F4A">
      <w:r>
        <w:t>Referencias:</w:t>
      </w:r>
    </w:p>
    <w:p w14:paraId="5A59FE76" w14:textId="549FF6FE" w:rsidR="00174F4A" w:rsidRDefault="00174F4A" w:rsidP="00174F4A">
      <w:pPr>
        <w:rPr>
          <w:lang w:val="en-US"/>
        </w:rPr>
      </w:pPr>
      <w:r w:rsidRPr="00174F4A">
        <w:rPr>
          <w:lang w:val="en-US"/>
        </w:rPr>
        <w:t>Dernis,</w:t>
      </w:r>
      <w:r w:rsidRPr="00174F4A">
        <w:rPr>
          <w:lang w:val="en-US"/>
        </w:rPr>
        <w:t xml:space="preserve"> H., </w:t>
      </w:r>
      <w:r w:rsidRPr="00174F4A">
        <w:rPr>
          <w:lang w:val="en-US"/>
        </w:rPr>
        <w:t>Calvino,</w:t>
      </w:r>
      <w:r w:rsidRPr="00174F4A">
        <w:rPr>
          <w:lang w:val="en-US"/>
        </w:rPr>
        <w:t xml:space="preserve"> F., </w:t>
      </w:r>
      <w:r w:rsidRPr="00174F4A">
        <w:rPr>
          <w:lang w:val="en-US"/>
        </w:rPr>
        <w:t>Moussiegt,</w:t>
      </w:r>
      <w:r w:rsidRPr="00174F4A">
        <w:rPr>
          <w:lang w:val="en-US"/>
        </w:rPr>
        <w:t xml:space="preserve"> L., </w:t>
      </w:r>
      <w:r w:rsidRPr="00174F4A">
        <w:rPr>
          <w:lang w:val="en-US"/>
        </w:rPr>
        <w:t>Nawa,</w:t>
      </w:r>
      <w:r w:rsidRPr="00174F4A">
        <w:rPr>
          <w:lang w:val="en-US"/>
        </w:rPr>
        <w:t xml:space="preserve"> D., </w:t>
      </w:r>
      <w:r w:rsidRPr="00174F4A">
        <w:rPr>
          <w:lang w:val="en-US"/>
        </w:rPr>
        <w:t>Samek,</w:t>
      </w:r>
      <w:r w:rsidRPr="00174F4A">
        <w:rPr>
          <w:lang w:val="en-US"/>
        </w:rPr>
        <w:t xml:space="preserve"> L., </w:t>
      </w:r>
      <w:r w:rsidRPr="00174F4A">
        <w:rPr>
          <w:lang w:val="en-US"/>
        </w:rPr>
        <w:t>Squicciarini</w:t>
      </w:r>
      <w:r w:rsidRPr="00174F4A">
        <w:rPr>
          <w:lang w:val="en-US"/>
        </w:rPr>
        <w:t xml:space="preserve">. M. </w:t>
      </w:r>
      <w:r w:rsidRPr="00174F4A">
        <w:rPr>
          <w:lang w:val="en-US"/>
        </w:rPr>
        <w:t>Identifying artificial</w:t>
      </w:r>
      <w:r>
        <w:rPr>
          <w:lang w:val="en-US"/>
        </w:rPr>
        <w:t xml:space="preserve"> </w:t>
      </w:r>
      <w:r w:rsidRPr="00174F4A">
        <w:rPr>
          <w:lang w:val="en-US"/>
        </w:rPr>
        <w:t>intelligence actors using</w:t>
      </w:r>
      <w:r>
        <w:rPr>
          <w:lang w:val="en-US"/>
        </w:rPr>
        <w:t xml:space="preserve"> </w:t>
      </w:r>
      <w:r w:rsidRPr="00174F4A">
        <w:rPr>
          <w:lang w:val="en-US"/>
        </w:rPr>
        <w:t>online data</w:t>
      </w:r>
      <w:r>
        <w:rPr>
          <w:lang w:val="en-US"/>
        </w:rPr>
        <w:t xml:space="preserve">. </w:t>
      </w:r>
      <w:r w:rsidRPr="00174F4A">
        <w:rPr>
          <w:lang w:val="en-US"/>
        </w:rPr>
        <w:t>OECD Science, Technology and Industry Working Papers</w:t>
      </w:r>
      <w:r>
        <w:rPr>
          <w:lang w:val="en-US"/>
        </w:rPr>
        <w:t xml:space="preserve">, </w:t>
      </w:r>
      <w:r w:rsidRPr="00174F4A">
        <w:rPr>
          <w:lang w:val="en-US"/>
        </w:rPr>
        <w:t>2023</w:t>
      </w:r>
      <w:r>
        <w:rPr>
          <w:lang w:val="en-US"/>
        </w:rPr>
        <w:t>. Disponível em</w:t>
      </w:r>
      <w:r w:rsidR="005E41CA">
        <w:rPr>
          <w:lang w:val="en-US"/>
        </w:rPr>
        <w:t>:</w:t>
      </w:r>
      <w:r>
        <w:rPr>
          <w:lang w:val="en-US"/>
        </w:rPr>
        <w:t xml:space="preserve"> </w:t>
      </w:r>
      <w:hyperlink r:id="rId13" w:history="1">
        <w:r w:rsidRPr="00712351">
          <w:rPr>
            <w:rStyle w:val="Hyperlink"/>
            <w:lang w:val="en-US"/>
          </w:rPr>
          <w:t>https://dx.doi.org/10.1787/1f5307e7-en</w:t>
        </w:r>
      </w:hyperlink>
    </w:p>
    <w:p w14:paraId="58474082" w14:textId="4082954A" w:rsidR="00174F4A" w:rsidRDefault="00174F4A" w:rsidP="00174F4A">
      <w:pPr>
        <w:rPr>
          <w:lang w:val="en-US"/>
        </w:rPr>
      </w:pPr>
    </w:p>
    <w:p w14:paraId="6CA61E75" w14:textId="0DAF3AFB" w:rsidR="00174F4A" w:rsidRDefault="005E41CA" w:rsidP="005E41CA">
      <w:pPr>
        <w:rPr>
          <w:lang w:val="en-US"/>
        </w:rPr>
      </w:pPr>
      <w:r w:rsidRPr="005E41CA">
        <w:rPr>
          <w:lang w:val="en-US"/>
        </w:rPr>
        <w:t>OECD</w:t>
      </w:r>
      <w:r>
        <w:rPr>
          <w:lang w:val="en-US"/>
        </w:rPr>
        <w:t xml:space="preserve">. </w:t>
      </w:r>
      <w:r w:rsidRPr="005E41CA">
        <w:rPr>
          <w:lang w:val="en-US"/>
        </w:rPr>
        <w:t>Scoping the OECD AI principles: Deliberations of the Expert Group on Artificial</w:t>
      </w:r>
      <w:r>
        <w:rPr>
          <w:lang w:val="en-US"/>
        </w:rPr>
        <w:t xml:space="preserve"> </w:t>
      </w:r>
      <w:r w:rsidRPr="005E41CA">
        <w:rPr>
          <w:lang w:val="en-US"/>
        </w:rPr>
        <w:t xml:space="preserve">Intelligence at the OECD (AIGO), OECD Digital Economy Papers, </w:t>
      </w:r>
      <w:r>
        <w:rPr>
          <w:lang w:val="en-US"/>
        </w:rPr>
        <w:t>n</w:t>
      </w:r>
      <w:r w:rsidRPr="005E41CA">
        <w:rPr>
          <w:lang w:val="en-US"/>
        </w:rPr>
        <w:t>. 291, OECD</w:t>
      </w:r>
      <w:r>
        <w:rPr>
          <w:lang w:val="en-US"/>
        </w:rPr>
        <w:t xml:space="preserve">, </w:t>
      </w:r>
      <w:r w:rsidRPr="005E41CA">
        <w:rPr>
          <w:lang w:val="en-US"/>
        </w:rPr>
        <w:t>2019</w:t>
      </w:r>
      <w:r>
        <w:rPr>
          <w:lang w:val="en-US"/>
        </w:rPr>
        <w:t xml:space="preserve">, </w:t>
      </w:r>
      <w:r>
        <w:rPr>
          <w:lang w:val="en-US"/>
        </w:rPr>
        <w:t>Disponível</w:t>
      </w:r>
      <w:r>
        <w:rPr>
          <w:lang w:val="en-US"/>
        </w:rPr>
        <w:t xml:space="preserve"> em: </w:t>
      </w:r>
      <w:r w:rsidRPr="005E41CA">
        <w:rPr>
          <w:lang w:val="en-US"/>
        </w:rPr>
        <w:t>https://doi.org/10.1787/d62f618a-en.</w:t>
      </w:r>
      <w:r w:rsidRPr="005E41CA">
        <w:rPr>
          <w:lang w:val="en-US"/>
        </w:rPr>
        <w:cr/>
      </w:r>
    </w:p>
    <w:p w14:paraId="167654CD" w14:textId="77777777" w:rsidR="005E41CA" w:rsidRDefault="005E41CA" w:rsidP="005E41CA">
      <w:pPr>
        <w:rPr>
          <w:lang w:val="en-US"/>
        </w:rPr>
      </w:pPr>
    </w:p>
    <w:p w14:paraId="50175D8A" w14:textId="2B6C5EAF" w:rsidR="00174F4A" w:rsidRDefault="00174F4A" w:rsidP="00174F4A">
      <w:pPr>
        <w:rPr>
          <w:lang w:val="en-US"/>
        </w:rPr>
      </w:pPr>
    </w:p>
    <w:p w14:paraId="53C9A0D0" w14:textId="77777777" w:rsidR="00174F4A" w:rsidRPr="00174F4A" w:rsidRDefault="00174F4A" w:rsidP="00174F4A"/>
    <w:p w14:paraId="627131C8" w14:textId="77777777" w:rsidR="00174F4A" w:rsidRPr="00174F4A" w:rsidRDefault="00174F4A" w:rsidP="00174F4A"/>
    <w:sectPr w:rsidR="00174F4A" w:rsidRPr="00174F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BB2A" w14:textId="77777777" w:rsidR="001E498C" w:rsidRDefault="001E498C" w:rsidP="006A7D95">
      <w:pPr>
        <w:spacing w:after="0" w:line="240" w:lineRule="auto"/>
      </w:pPr>
      <w:r>
        <w:separator/>
      </w:r>
    </w:p>
  </w:endnote>
  <w:endnote w:type="continuationSeparator" w:id="0">
    <w:p w14:paraId="4AA92582" w14:textId="77777777" w:rsidR="001E498C" w:rsidRDefault="001E498C" w:rsidP="006A7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E990" w14:textId="77777777" w:rsidR="001E498C" w:rsidRDefault="001E498C" w:rsidP="006A7D95">
      <w:pPr>
        <w:spacing w:after="0" w:line="240" w:lineRule="auto"/>
      </w:pPr>
      <w:r>
        <w:separator/>
      </w:r>
    </w:p>
  </w:footnote>
  <w:footnote w:type="continuationSeparator" w:id="0">
    <w:p w14:paraId="71298A93" w14:textId="77777777" w:rsidR="001E498C" w:rsidRDefault="001E498C" w:rsidP="006A7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60636"/>
    <w:multiLevelType w:val="hybridMultilevel"/>
    <w:tmpl w:val="EBFCE514"/>
    <w:lvl w:ilvl="0" w:tplc="48C4F1F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F0B37A2"/>
    <w:multiLevelType w:val="hybridMultilevel"/>
    <w:tmpl w:val="97DC41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80096349">
    <w:abstractNumId w:val="0"/>
  </w:num>
  <w:num w:numId="2" w16cid:durableId="1569539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81"/>
    <w:rsid w:val="00103C53"/>
    <w:rsid w:val="00117380"/>
    <w:rsid w:val="001418A4"/>
    <w:rsid w:val="00174F4A"/>
    <w:rsid w:val="001B6AEE"/>
    <w:rsid w:val="001C5ECC"/>
    <w:rsid w:val="001E498C"/>
    <w:rsid w:val="0023190D"/>
    <w:rsid w:val="00250F81"/>
    <w:rsid w:val="0027685C"/>
    <w:rsid w:val="002B7307"/>
    <w:rsid w:val="002C7F4F"/>
    <w:rsid w:val="002F768A"/>
    <w:rsid w:val="003A1535"/>
    <w:rsid w:val="005E41CA"/>
    <w:rsid w:val="006042AC"/>
    <w:rsid w:val="0066623E"/>
    <w:rsid w:val="006A7D95"/>
    <w:rsid w:val="006F4E63"/>
    <w:rsid w:val="008F189E"/>
    <w:rsid w:val="00AA1F8C"/>
    <w:rsid w:val="00AA6B80"/>
    <w:rsid w:val="00AE4609"/>
    <w:rsid w:val="00B4292E"/>
    <w:rsid w:val="00C466B3"/>
    <w:rsid w:val="00C67AD4"/>
    <w:rsid w:val="00E6320A"/>
    <w:rsid w:val="00F367D0"/>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10DB2"/>
  <w15:chartTrackingRefBased/>
  <w15:docId w15:val="{71F03D1B-326F-4EB1-A8FD-1A8D1DA2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0F81"/>
    <w:pPr>
      <w:ind w:left="720"/>
      <w:contextualSpacing/>
    </w:pPr>
  </w:style>
  <w:style w:type="character" w:styleId="Hyperlink">
    <w:name w:val="Hyperlink"/>
    <w:basedOn w:val="Fontepargpadro"/>
    <w:uiPriority w:val="99"/>
    <w:unhideWhenUsed/>
    <w:rsid w:val="00C67AD4"/>
    <w:rPr>
      <w:color w:val="0563C1" w:themeColor="hyperlink"/>
      <w:u w:val="single"/>
    </w:rPr>
  </w:style>
  <w:style w:type="character" w:styleId="MenoPendente">
    <w:name w:val="Unresolved Mention"/>
    <w:basedOn w:val="Fontepargpadro"/>
    <w:uiPriority w:val="99"/>
    <w:semiHidden/>
    <w:unhideWhenUsed/>
    <w:rsid w:val="00C67AD4"/>
    <w:rPr>
      <w:color w:val="605E5C"/>
      <w:shd w:val="clear" w:color="auto" w:fill="E1DFDD"/>
    </w:rPr>
  </w:style>
  <w:style w:type="paragraph" w:styleId="Legenda">
    <w:name w:val="caption"/>
    <w:basedOn w:val="Normal"/>
    <w:next w:val="Normal"/>
    <w:uiPriority w:val="35"/>
    <w:unhideWhenUsed/>
    <w:qFormat/>
    <w:rsid w:val="006F4E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1787/1f5307e7-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franco\Downloads\P_Data_Extract_From_World_Development_Indicat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ck.franco\Downloads\P_Data_Extract_From_World_Development_Indicato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ck.franco\Downloads\P_Data_Extract_From_World_Development_Indicator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Produtividade OCDE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2048776909999549"/>
          <c:y val="0.11183417574986533"/>
          <c:w val="0.85914185755932593"/>
          <c:h val="0.68370640351178813"/>
        </c:manualLayout>
      </c:layout>
      <c:lineChart>
        <c:grouping val="standard"/>
        <c:varyColors val="0"/>
        <c:ser>
          <c:idx val="1"/>
          <c:order val="0"/>
          <c:tx>
            <c:strRef>
              <c:f>Planilha1!$D$21</c:f>
              <c:strCache>
                <c:ptCount val="1"/>
                <c:pt idx="0">
                  <c:v>Brasil</c:v>
                </c:pt>
              </c:strCache>
            </c:strRef>
          </c:tx>
          <c:spPr>
            <a:ln w="28575" cap="rnd">
              <a:solidFill>
                <a:srgbClr val="00B050"/>
              </a:solidFill>
              <a:round/>
            </a:ln>
            <a:effectLst/>
          </c:spPr>
          <c:marker>
            <c:symbol val="circle"/>
            <c:size val="6"/>
            <c:spPr>
              <a:solidFill>
                <a:srgbClr val="00B050"/>
              </a:solidFill>
              <a:ln w="9525">
                <a:solidFill>
                  <a:srgbClr val="00B050"/>
                </a:solidFill>
              </a:ln>
              <a:effectLst/>
            </c:spPr>
          </c:marker>
          <c:cat>
            <c:strRef>
              <c:f>Planilha1!$A$22:$A$43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Planilha1!$D$22:$D$43</c:f>
              <c:numCache>
                <c:formatCode>#,##0.0_ ;\-#,##0.0\ </c:formatCode>
                <c:ptCount val="22"/>
                <c:pt idx="0">
                  <c:v>2.848214</c:v>
                </c:pt>
                <c:pt idx="1">
                  <c:v>-1.575E-2</c:v>
                </c:pt>
                <c:pt idx="2">
                  <c:v>1.7310179999999999</c:v>
                </c:pt>
                <c:pt idx="3">
                  <c:v>-9.5578999999999997E-2</c:v>
                </c:pt>
                <c:pt idx="4">
                  <c:v>4.5126390000000001</c:v>
                </c:pt>
                <c:pt idx="5">
                  <c:v>2.016035</c:v>
                </c:pt>
                <c:pt idx="6">
                  <c:v>2.8112979999999999</c:v>
                </c:pt>
                <c:pt idx="7">
                  <c:v>4.9607619999999999</c:v>
                </c:pt>
                <c:pt idx="8">
                  <c:v>4.0091950000000001</c:v>
                </c:pt>
                <c:pt idx="9">
                  <c:v>-1.14568</c:v>
                </c:pt>
                <c:pt idx="10">
                  <c:v>6.4745309999999998</c:v>
                </c:pt>
                <c:pt idx="11">
                  <c:v>3.068473</c:v>
                </c:pt>
                <c:pt idx="12">
                  <c:v>1.041728</c:v>
                </c:pt>
                <c:pt idx="13">
                  <c:v>2.1348340000000001</c:v>
                </c:pt>
                <c:pt idx="14">
                  <c:v>-0.34970699999999999</c:v>
                </c:pt>
                <c:pt idx="15">
                  <c:v>-4.379181</c:v>
                </c:pt>
                <c:pt idx="16">
                  <c:v>-4.0684040000000001</c:v>
                </c:pt>
                <c:pt idx="17">
                  <c:v>0.51536499999999996</c:v>
                </c:pt>
                <c:pt idx="18">
                  <c:v>0.95855900000000005</c:v>
                </c:pt>
                <c:pt idx="19">
                  <c:v>0.42495699999999997</c:v>
                </c:pt>
                <c:pt idx="20">
                  <c:v>-4.011501</c:v>
                </c:pt>
                <c:pt idx="21">
                  <c:v>4.4353540000000002</c:v>
                </c:pt>
              </c:numCache>
            </c:numRef>
          </c:val>
          <c:smooth val="0"/>
          <c:extLst>
            <c:ext xmlns:c16="http://schemas.microsoft.com/office/drawing/2014/chart" uri="{C3380CC4-5D6E-409C-BE32-E72D297353CC}">
              <c16:uniqueId val="{00000000-8C03-4B2C-8973-F96553519243}"/>
            </c:ext>
          </c:extLst>
        </c:ser>
        <c:ser>
          <c:idx val="11"/>
          <c:order val="1"/>
          <c:tx>
            <c:strRef>
              <c:f>Planilha1!$B$21</c:f>
              <c:strCache>
                <c:ptCount val="1"/>
                <c:pt idx="0">
                  <c:v>EUA</c:v>
                </c:pt>
              </c:strCache>
            </c:strRef>
          </c:tx>
          <c:spPr>
            <a:ln w="28575" cap="rnd">
              <a:solidFill>
                <a:srgbClr val="FF0000"/>
              </a:solidFill>
              <a:round/>
            </a:ln>
            <a:effectLst/>
          </c:spPr>
          <c:marker>
            <c:symbol val="diamond"/>
            <c:size val="6"/>
            <c:spPr>
              <a:solidFill>
                <a:srgbClr val="FF0000"/>
              </a:solidFill>
              <a:ln w="9525">
                <a:solidFill>
                  <a:srgbClr val="FF0000"/>
                </a:solidFill>
              </a:ln>
              <a:effectLst/>
            </c:spPr>
          </c:marker>
          <c:cat>
            <c:strRef>
              <c:f>Planilha1!$A$22:$A$43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Planilha1!$B$22:$B$43</c:f>
              <c:numCache>
                <c:formatCode>#,##0.0_ ;\-#,##0.0\ </c:formatCode>
                <c:ptCount val="22"/>
                <c:pt idx="0">
                  <c:v>2.945713</c:v>
                </c:pt>
                <c:pt idx="1">
                  <c:v>-4.6262999999999999E-2</c:v>
                </c:pt>
                <c:pt idx="2">
                  <c:v>0.73180000000000001</c:v>
                </c:pt>
                <c:pt idx="3">
                  <c:v>1.8514550000000001</c:v>
                </c:pt>
                <c:pt idx="4">
                  <c:v>2.919073</c:v>
                </c:pt>
                <c:pt idx="5">
                  <c:v>2.5284239999999998</c:v>
                </c:pt>
                <c:pt idx="6">
                  <c:v>1.81111</c:v>
                </c:pt>
                <c:pt idx="7">
                  <c:v>1.0373870000000001</c:v>
                </c:pt>
                <c:pt idx="8">
                  <c:v>-0.81379400000000002</c:v>
                </c:pt>
                <c:pt idx="9">
                  <c:v>-3.4548839999999998</c:v>
                </c:pt>
                <c:pt idx="10">
                  <c:v>1.847315</c:v>
                </c:pt>
                <c:pt idx="11">
                  <c:v>0.75127100000000002</c:v>
                </c:pt>
                <c:pt idx="12">
                  <c:v>1.490974</c:v>
                </c:pt>
                <c:pt idx="13">
                  <c:v>1.0794250000000001</c:v>
                </c:pt>
                <c:pt idx="14">
                  <c:v>1.487012</c:v>
                </c:pt>
                <c:pt idx="15">
                  <c:v>1.9054139999999999</c:v>
                </c:pt>
                <c:pt idx="16">
                  <c:v>0.88572899999999999</c:v>
                </c:pt>
                <c:pt idx="17">
                  <c:v>1.537803</c:v>
                </c:pt>
                <c:pt idx="18">
                  <c:v>2.3398500000000002</c:v>
                </c:pt>
                <c:pt idx="19">
                  <c:v>1.762384</c:v>
                </c:pt>
                <c:pt idx="20">
                  <c:v>-3.133543</c:v>
                </c:pt>
                <c:pt idx="21">
                  <c:v>5.8013380000000003</c:v>
                </c:pt>
              </c:numCache>
            </c:numRef>
          </c:val>
          <c:smooth val="0"/>
          <c:extLst>
            <c:ext xmlns:c16="http://schemas.microsoft.com/office/drawing/2014/chart" uri="{C3380CC4-5D6E-409C-BE32-E72D297353CC}">
              <c16:uniqueId val="{00000001-8C03-4B2C-8973-F96553519243}"/>
            </c:ext>
          </c:extLst>
        </c:ser>
        <c:ser>
          <c:idx val="2"/>
          <c:order val="2"/>
          <c:tx>
            <c:strRef>
              <c:f>Planilha1!$C$21</c:f>
              <c:strCache>
                <c:ptCount val="1"/>
                <c:pt idx="0">
                  <c:v>OCDE</c:v>
                </c:pt>
              </c:strCache>
            </c:strRef>
          </c:tx>
          <c:spPr>
            <a:ln w="28575" cap="rnd">
              <a:solidFill>
                <a:srgbClr val="00B0F0"/>
              </a:solidFill>
              <a:round/>
            </a:ln>
            <a:effectLst/>
          </c:spPr>
          <c:marker>
            <c:symbol val="square"/>
            <c:size val="6"/>
            <c:spPr>
              <a:solidFill>
                <a:srgbClr val="00B0F0"/>
              </a:solidFill>
              <a:ln w="9525">
                <a:solidFill>
                  <a:srgbClr val="00B0F0"/>
                </a:solidFill>
              </a:ln>
              <a:effectLst/>
            </c:spPr>
          </c:marker>
          <c:cat>
            <c:strRef>
              <c:f>Planilha1!$A$22:$A$43</c:f>
              <c:strCach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strCache>
            </c:strRef>
          </c:cat>
          <c:val>
            <c:numRef>
              <c:f>Planilha1!$C$22:$C$43</c:f>
              <c:numCache>
                <c:formatCode>#,##0.0_ ;\-#,##0.0\ </c:formatCode>
                <c:ptCount val="22"/>
                <c:pt idx="0">
                  <c:v>3.3549709999999999</c:v>
                </c:pt>
                <c:pt idx="1">
                  <c:v>0.65658499999999997</c:v>
                </c:pt>
                <c:pt idx="2">
                  <c:v>0.85046299999999997</c:v>
                </c:pt>
                <c:pt idx="3">
                  <c:v>1.3691089999999999</c:v>
                </c:pt>
                <c:pt idx="4">
                  <c:v>2.6408740000000002</c:v>
                </c:pt>
                <c:pt idx="5">
                  <c:v>2.1689790000000002</c:v>
                </c:pt>
                <c:pt idx="6">
                  <c:v>2.464934</c:v>
                </c:pt>
                <c:pt idx="7">
                  <c:v>1.9535549999999999</c:v>
                </c:pt>
                <c:pt idx="8">
                  <c:v>-0.34021600000000002</c:v>
                </c:pt>
                <c:pt idx="9">
                  <c:v>-4.1386859999999999</c:v>
                </c:pt>
                <c:pt idx="10">
                  <c:v>2.4361730000000001</c:v>
                </c:pt>
                <c:pt idx="11">
                  <c:v>1.468996</c:v>
                </c:pt>
                <c:pt idx="12">
                  <c:v>0.76148300000000002</c:v>
                </c:pt>
                <c:pt idx="13">
                  <c:v>1.0170509999999999</c:v>
                </c:pt>
                <c:pt idx="14">
                  <c:v>1.494156</c:v>
                </c:pt>
                <c:pt idx="15">
                  <c:v>1.9196850000000001</c:v>
                </c:pt>
                <c:pt idx="16">
                  <c:v>1.3688419999999999</c:v>
                </c:pt>
                <c:pt idx="17">
                  <c:v>2.0353490000000001</c:v>
                </c:pt>
                <c:pt idx="18">
                  <c:v>1.737778</c:v>
                </c:pt>
                <c:pt idx="19">
                  <c:v>0.99639900000000003</c:v>
                </c:pt>
                <c:pt idx="20">
                  <c:v>-4.6372520000000002</c:v>
                </c:pt>
                <c:pt idx="21">
                  <c:v>5.3490640000000003</c:v>
                </c:pt>
              </c:numCache>
            </c:numRef>
          </c:val>
          <c:smooth val="0"/>
          <c:extLst>
            <c:ext xmlns:c16="http://schemas.microsoft.com/office/drawing/2014/chart" uri="{C3380CC4-5D6E-409C-BE32-E72D297353CC}">
              <c16:uniqueId val="{00000002-8C03-4B2C-8973-F96553519243}"/>
            </c:ext>
          </c:extLst>
        </c:ser>
        <c:dLbls>
          <c:showLegendKey val="0"/>
          <c:showVal val="0"/>
          <c:showCatName val="0"/>
          <c:showSerName val="0"/>
          <c:showPercent val="0"/>
          <c:showBubbleSize val="0"/>
        </c:dLbls>
        <c:marker val="1"/>
        <c:smooth val="0"/>
        <c:axId val="564822448"/>
        <c:axId val="564825776"/>
      </c:lineChart>
      <c:catAx>
        <c:axId val="56482244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564825776"/>
        <c:crosses val="autoZero"/>
        <c:auto val="1"/>
        <c:lblAlgn val="ctr"/>
        <c:lblOffset val="100"/>
        <c:noMultiLvlLbl val="0"/>
      </c:catAx>
      <c:valAx>
        <c:axId val="564825776"/>
        <c:scaling>
          <c:orientation val="minMax"/>
        </c:scaling>
        <c:delete val="0"/>
        <c:axPos val="l"/>
        <c:majorGridlines>
          <c:spPr>
            <a:ln w="9525" cap="flat" cmpd="sng" algn="ctr">
              <a:solidFill>
                <a:schemeClr val="tx1">
                  <a:lumMod val="15000"/>
                  <a:lumOff val="85000"/>
                </a:schemeClr>
              </a:solidFill>
              <a:round/>
            </a:ln>
            <a:effectLst/>
          </c:spPr>
        </c:majorGridlines>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564822448"/>
        <c:crossesAt val="0"/>
        <c:crossBetween val="between"/>
      </c:valAx>
      <c:spPr>
        <a:noFill/>
        <a:ln>
          <a:noFill/>
        </a:ln>
        <a:effectLst/>
      </c:spPr>
    </c:plotArea>
    <c:legend>
      <c:legendPos val="b"/>
      <c:layout>
        <c:manualLayout>
          <c:xMode val="edge"/>
          <c:yMode val="edge"/>
          <c:x val="0.11220313680419024"/>
          <c:y val="0.90877832410686654"/>
          <c:w val="0.78485284118589105"/>
          <c:h val="7.3754426984836502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Total de Patentes</a:t>
            </a:r>
          </a:p>
        </c:rich>
      </c:tx>
      <c:layout>
        <c:manualLayout>
          <c:xMode val="edge"/>
          <c:yMode val="edge"/>
          <c:x val="0.37731347392764719"/>
          <c:y val="5.30200778266985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2048776909999549"/>
          <c:y val="0.17891176595964947"/>
          <c:w val="0.80302369546464036"/>
          <c:h val="0.4928856166761057"/>
        </c:manualLayout>
      </c:layout>
      <c:lineChart>
        <c:grouping val="standard"/>
        <c:varyColors val="0"/>
        <c:ser>
          <c:idx val="1"/>
          <c:order val="0"/>
          <c:tx>
            <c:strRef>
              <c:f>Planilha1!$D$21</c:f>
              <c:strCache>
                <c:ptCount val="1"/>
                <c:pt idx="0">
                  <c:v>Brasil</c:v>
                </c:pt>
              </c:strCache>
            </c:strRef>
          </c:tx>
          <c:spPr>
            <a:ln w="28575" cap="rnd">
              <a:solidFill>
                <a:srgbClr val="00B050"/>
              </a:solidFill>
              <a:round/>
            </a:ln>
            <a:effectLst/>
          </c:spPr>
          <c:marker>
            <c:symbol val="circle"/>
            <c:size val="6"/>
            <c:spPr>
              <a:solidFill>
                <a:srgbClr val="00B050"/>
              </a:solidFill>
              <a:ln w="9525">
                <a:solidFill>
                  <a:srgbClr val="00B050"/>
                </a:solidFill>
              </a:ln>
              <a:effectLst/>
            </c:spPr>
          </c:marker>
          <c:cat>
            <c:strRef>
              <c:f>Planilha1!$A$67:$A$81</c:f>
              <c:strCach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strCache>
            </c:strRef>
          </c:cat>
          <c:val>
            <c:numRef>
              <c:f>Planilha1!$D$67:$D$81</c:f>
              <c:numCache>
                <c:formatCode>#,##0.0_ ;\-#,##0.0\ </c:formatCode>
                <c:ptCount val="15"/>
                <c:pt idx="0">
                  <c:v>277.42660000000001</c:v>
                </c:pt>
                <c:pt idx="1">
                  <c:v>320.67500000000001</c:v>
                </c:pt>
                <c:pt idx="2">
                  <c:v>355.56360000000001</c:v>
                </c:pt>
                <c:pt idx="3">
                  <c:v>375.89519999999999</c:v>
                </c:pt>
                <c:pt idx="4">
                  <c:v>347.10739999999998</c:v>
                </c:pt>
                <c:pt idx="5">
                  <c:v>325.25760000000002</c:v>
                </c:pt>
                <c:pt idx="6">
                  <c:v>382.6746</c:v>
                </c:pt>
                <c:pt idx="7">
                  <c:v>416.17110000000002</c:v>
                </c:pt>
                <c:pt idx="8">
                  <c:v>392.14800000000002</c:v>
                </c:pt>
                <c:pt idx="9">
                  <c:v>407.93180000000001</c:v>
                </c:pt>
                <c:pt idx="10">
                  <c:v>405.72019999999998</c:v>
                </c:pt>
                <c:pt idx="11">
                  <c:v>416.22539999999998</c:v>
                </c:pt>
                <c:pt idx="12">
                  <c:v>462.61750000000001</c:v>
                </c:pt>
                <c:pt idx="13">
                  <c:v>449.01569999999998</c:v>
                </c:pt>
                <c:pt idx="14">
                  <c:v>195.10390000000001</c:v>
                </c:pt>
              </c:numCache>
            </c:numRef>
          </c:val>
          <c:smooth val="0"/>
          <c:extLst>
            <c:ext xmlns:c16="http://schemas.microsoft.com/office/drawing/2014/chart" uri="{C3380CC4-5D6E-409C-BE32-E72D297353CC}">
              <c16:uniqueId val="{00000000-5598-48B4-8EC6-9F8678160EC1}"/>
            </c:ext>
          </c:extLst>
        </c:ser>
        <c:ser>
          <c:idx val="11"/>
          <c:order val="1"/>
          <c:tx>
            <c:strRef>
              <c:f>Planilha1!$B$66</c:f>
              <c:strCache>
                <c:ptCount val="1"/>
                <c:pt idx="0">
                  <c:v>EUA</c:v>
                </c:pt>
              </c:strCache>
            </c:strRef>
          </c:tx>
          <c:spPr>
            <a:ln w="28575" cap="rnd">
              <a:solidFill>
                <a:srgbClr val="FF0000"/>
              </a:solidFill>
              <a:round/>
            </a:ln>
            <a:effectLst/>
          </c:spPr>
          <c:marker>
            <c:symbol val="diamond"/>
            <c:size val="6"/>
            <c:spPr>
              <a:solidFill>
                <a:srgbClr val="FF0000"/>
              </a:solidFill>
              <a:ln w="9525">
                <a:solidFill>
                  <a:srgbClr val="FF0000"/>
                </a:solidFill>
              </a:ln>
              <a:effectLst/>
            </c:spPr>
          </c:marker>
          <c:cat>
            <c:strRef>
              <c:f>Planilha1!$A$67:$A$81</c:f>
              <c:strCach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strCache>
            </c:strRef>
          </c:cat>
          <c:val>
            <c:numRef>
              <c:f>Planilha1!$B$67:$B$81</c:f>
              <c:numCache>
                <c:formatCode>#,##0.0_ ;\-#,##0.0\ </c:formatCode>
                <c:ptCount val="15"/>
                <c:pt idx="0">
                  <c:v>41221.832600000002</c:v>
                </c:pt>
                <c:pt idx="1">
                  <c:v>39792.241300000002</c:v>
                </c:pt>
                <c:pt idx="2">
                  <c:v>38463.600299999998</c:v>
                </c:pt>
                <c:pt idx="3">
                  <c:v>36426.179700000001</c:v>
                </c:pt>
                <c:pt idx="4">
                  <c:v>36480.768600000003</c:v>
                </c:pt>
                <c:pt idx="5">
                  <c:v>38121.940699999999</c:v>
                </c:pt>
                <c:pt idx="6">
                  <c:v>41283.462299999999</c:v>
                </c:pt>
                <c:pt idx="7">
                  <c:v>43995.633900000001</c:v>
                </c:pt>
                <c:pt idx="8">
                  <c:v>48621.210299999999</c:v>
                </c:pt>
                <c:pt idx="9">
                  <c:v>45311.913</c:v>
                </c:pt>
                <c:pt idx="10">
                  <c:v>46114.292000000001</c:v>
                </c:pt>
                <c:pt idx="11">
                  <c:v>47574.380799999999</c:v>
                </c:pt>
                <c:pt idx="12">
                  <c:v>48497.827499999999</c:v>
                </c:pt>
                <c:pt idx="13">
                  <c:v>48969.167600000001</c:v>
                </c:pt>
                <c:pt idx="14">
                  <c:v>25946.9545</c:v>
                </c:pt>
              </c:numCache>
            </c:numRef>
          </c:val>
          <c:smooth val="0"/>
          <c:extLst>
            <c:ext xmlns:c16="http://schemas.microsoft.com/office/drawing/2014/chart" uri="{C3380CC4-5D6E-409C-BE32-E72D297353CC}">
              <c16:uniqueId val="{00000001-5598-48B4-8EC6-9F8678160EC1}"/>
            </c:ext>
          </c:extLst>
        </c:ser>
        <c:ser>
          <c:idx val="2"/>
          <c:order val="2"/>
          <c:tx>
            <c:strRef>
              <c:f>Planilha1!$C$21</c:f>
              <c:strCache>
                <c:ptCount val="1"/>
                <c:pt idx="0">
                  <c:v>OCDE</c:v>
                </c:pt>
              </c:strCache>
            </c:strRef>
          </c:tx>
          <c:spPr>
            <a:ln w="28575" cap="rnd">
              <a:solidFill>
                <a:srgbClr val="00B0F0"/>
              </a:solidFill>
              <a:round/>
            </a:ln>
            <a:effectLst/>
          </c:spPr>
          <c:marker>
            <c:symbol val="square"/>
            <c:size val="6"/>
            <c:spPr>
              <a:solidFill>
                <a:srgbClr val="00B0F0"/>
              </a:solidFill>
              <a:ln w="9525">
                <a:solidFill>
                  <a:srgbClr val="00B0F0"/>
                </a:solidFill>
              </a:ln>
              <a:effectLst/>
            </c:spPr>
          </c:marker>
          <c:cat>
            <c:strRef>
              <c:f>Planilha1!$A$67:$A$81</c:f>
              <c:strCache>
                <c:ptCount val="15"/>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strCache>
            </c:strRef>
          </c:cat>
          <c:val>
            <c:numRef>
              <c:f>Planilha1!$C$67:$C$81</c:f>
              <c:numCache>
                <c:formatCode>#,##0.0_ ;\-#,##0.0\ </c:formatCode>
                <c:ptCount val="15"/>
                <c:pt idx="0">
                  <c:v>185896.1158</c:v>
                </c:pt>
                <c:pt idx="1">
                  <c:v>185831.78320000001</c:v>
                </c:pt>
                <c:pt idx="2">
                  <c:v>183810.9051</c:v>
                </c:pt>
                <c:pt idx="3">
                  <c:v>174362.05439999999</c:v>
                </c:pt>
                <c:pt idx="4">
                  <c:v>173664.46979999999</c:v>
                </c:pt>
                <c:pt idx="5">
                  <c:v>185697.99849999999</c:v>
                </c:pt>
                <c:pt idx="6">
                  <c:v>191752.4583</c:v>
                </c:pt>
                <c:pt idx="7">
                  <c:v>197225.75210000001</c:v>
                </c:pt>
                <c:pt idx="8">
                  <c:v>204185.24040000001</c:v>
                </c:pt>
                <c:pt idx="9">
                  <c:v>202519.6446</c:v>
                </c:pt>
                <c:pt idx="10">
                  <c:v>203084.09779999999</c:v>
                </c:pt>
                <c:pt idx="11">
                  <c:v>205970.37830000001</c:v>
                </c:pt>
                <c:pt idx="12">
                  <c:v>210639.63889999999</c:v>
                </c:pt>
                <c:pt idx="13">
                  <c:v>210341.35269999999</c:v>
                </c:pt>
                <c:pt idx="14">
                  <c:v>122997.0061</c:v>
                </c:pt>
              </c:numCache>
            </c:numRef>
          </c:val>
          <c:smooth val="0"/>
          <c:extLst>
            <c:ext xmlns:c16="http://schemas.microsoft.com/office/drawing/2014/chart" uri="{C3380CC4-5D6E-409C-BE32-E72D297353CC}">
              <c16:uniqueId val="{00000002-5598-48B4-8EC6-9F8678160EC1}"/>
            </c:ext>
          </c:extLst>
        </c:ser>
        <c:dLbls>
          <c:showLegendKey val="0"/>
          <c:showVal val="0"/>
          <c:showCatName val="0"/>
          <c:showSerName val="0"/>
          <c:showPercent val="0"/>
          <c:showBubbleSize val="0"/>
        </c:dLbls>
        <c:marker val="1"/>
        <c:smooth val="0"/>
        <c:axId val="564822448"/>
        <c:axId val="564825776"/>
      </c:lineChart>
      <c:catAx>
        <c:axId val="56482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564825776"/>
        <c:crosses val="autoZero"/>
        <c:auto val="1"/>
        <c:lblAlgn val="ctr"/>
        <c:lblOffset val="100"/>
        <c:noMultiLvlLbl val="0"/>
      </c:catAx>
      <c:valAx>
        <c:axId val="564825776"/>
        <c:scaling>
          <c:orientation val="minMax"/>
        </c:scaling>
        <c:delete val="0"/>
        <c:axPos val="l"/>
        <c:majorGridlines>
          <c:spPr>
            <a:ln w="9525" cap="flat" cmpd="sng" algn="ctr">
              <a:solidFill>
                <a:schemeClr val="tx1">
                  <a:lumMod val="15000"/>
                  <a:lumOff val="85000"/>
                </a:schemeClr>
              </a:solidFill>
              <a:round/>
            </a:ln>
            <a:effectLst/>
          </c:spPr>
        </c:majorGridlines>
        <c:numFmt formatCode="#,##0.0_ ;\-#,##0.0\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564822448"/>
        <c:crosses val="autoZero"/>
        <c:crossBetween val="between"/>
      </c:valAx>
      <c:spPr>
        <a:noFill/>
        <a:ln>
          <a:noFill/>
        </a:ln>
        <a:effectLst/>
      </c:spPr>
    </c:plotArea>
    <c:legend>
      <c:legendPos val="b"/>
      <c:layout>
        <c:manualLayout>
          <c:xMode val="edge"/>
          <c:yMode val="edge"/>
          <c:x val="0.11220313680419024"/>
          <c:y val="0.90877832410686654"/>
          <c:w val="0.78485284118589105"/>
          <c:h val="7.3754426984836502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Crescimento Anual do PIB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417084228107851"/>
          <c:y val="0.12651843629678453"/>
          <c:w val="0.84334883185305676"/>
          <c:h val="0.63345207133846315"/>
        </c:manualLayout>
      </c:layout>
      <c:lineChart>
        <c:grouping val="standard"/>
        <c:varyColors val="0"/>
        <c:ser>
          <c:idx val="1"/>
          <c:order val="0"/>
          <c:tx>
            <c:strRef>
              <c:f>Planilha1!$B$115</c:f>
              <c:strCache>
                <c:ptCount val="1"/>
                <c:pt idx="0">
                  <c:v>Brasil</c:v>
                </c:pt>
              </c:strCache>
            </c:strRef>
          </c:tx>
          <c:spPr>
            <a:ln w="28575" cap="rnd">
              <a:solidFill>
                <a:srgbClr val="00B050"/>
              </a:solidFill>
              <a:round/>
            </a:ln>
            <a:effectLst/>
          </c:spPr>
          <c:marker>
            <c:symbol val="circle"/>
            <c:size val="6"/>
            <c:spPr>
              <a:solidFill>
                <a:srgbClr val="00B050"/>
              </a:solidFill>
              <a:ln w="9525">
                <a:solidFill>
                  <a:srgbClr val="00B050"/>
                </a:solidFill>
              </a:ln>
              <a:effectLst/>
            </c:spPr>
          </c:marker>
          <c:cat>
            <c:numRef>
              <c:f>Planilha1!$A$116:$A$137</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Planilha1!$B$116:$B$137</c:f>
              <c:numCache>
                <c:formatCode>General</c:formatCode>
                <c:ptCount val="22"/>
                <c:pt idx="0">
                  <c:v>4.3879494474561795</c:v>
                </c:pt>
                <c:pt idx="1">
                  <c:v>1.3898964009563741</c:v>
                </c:pt>
                <c:pt idx="2">
                  <c:v>3.0534618590931188</c:v>
                </c:pt>
                <c:pt idx="3">
                  <c:v>1.1408289982488782</c:v>
                </c:pt>
                <c:pt idx="4">
                  <c:v>5.7599646367095403</c:v>
                </c:pt>
                <c:pt idx="5">
                  <c:v>3.2021320613043116</c:v>
                </c:pt>
                <c:pt idx="6">
                  <c:v>3.9619887112261694</c:v>
                </c:pt>
                <c:pt idx="7">
                  <c:v>6.0698706067833825</c:v>
                </c:pt>
                <c:pt idx="8">
                  <c:v>5.0941954465873636</c:v>
                </c:pt>
                <c:pt idx="9">
                  <c:v>-0.12581200216116883</c:v>
                </c:pt>
                <c:pt idx="10">
                  <c:v>7.5282258181536434</c:v>
                </c:pt>
                <c:pt idx="11">
                  <c:v>3.9744230794470212</c:v>
                </c:pt>
                <c:pt idx="12">
                  <c:v>1.9211759857653732</c:v>
                </c:pt>
                <c:pt idx="13">
                  <c:v>3.004822669444323</c:v>
                </c:pt>
                <c:pt idx="14">
                  <c:v>0.50395574024224743</c:v>
                </c:pt>
                <c:pt idx="15">
                  <c:v>-3.5457633926942549</c:v>
                </c:pt>
                <c:pt idx="16">
                  <c:v>-3.275916907821923</c:v>
                </c:pt>
                <c:pt idx="17">
                  <c:v>1.3228690540439914</c:v>
                </c:pt>
                <c:pt idx="18">
                  <c:v>1.7836667616339952</c:v>
                </c:pt>
                <c:pt idx="19">
                  <c:v>1.2207778236084152</c:v>
                </c:pt>
                <c:pt idx="20">
                  <c:v>-3.8786763339719812</c:v>
                </c:pt>
                <c:pt idx="21">
                  <c:v>4.6194216206731227</c:v>
                </c:pt>
              </c:numCache>
            </c:numRef>
          </c:val>
          <c:smooth val="0"/>
          <c:extLst>
            <c:ext xmlns:c16="http://schemas.microsoft.com/office/drawing/2014/chart" uri="{C3380CC4-5D6E-409C-BE32-E72D297353CC}">
              <c16:uniqueId val="{00000000-4CF6-4063-BB64-0E1374484473}"/>
            </c:ext>
          </c:extLst>
        </c:ser>
        <c:ser>
          <c:idx val="11"/>
          <c:order val="1"/>
          <c:tx>
            <c:strRef>
              <c:f>Planilha1!$C$115</c:f>
              <c:strCache>
                <c:ptCount val="1"/>
                <c:pt idx="0">
                  <c:v>EUA</c:v>
                </c:pt>
              </c:strCache>
            </c:strRef>
          </c:tx>
          <c:spPr>
            <a:ln w="28575" cap="rnd">
              <a:solidFill>
                <a:srgbClr val="FF0000"/>
              </a:solidFill>
              <a:round/>
            </a:ln>
            <a:effectLst/>
          </c:spPr>
          <c:marker>
            <c:symbol val="diamond"/>
            <c:size val="6"/>
            <c:spPr>
              <a:solidFill>
                <a:srgbClr val="FF0000"/>
              </a:solidFill>
              <a:ln w="9525">
                <a:solidFill>
                  <a:srgbClr val="FF0000"/>
                </a:solidFill>
              </a:ln>
              <a:effectLst/>
            </c:spPr>
          </c:marker>
          <c:cat>
            <c:numRef>
              <c:f>Planilha1!$A$116:$A$137</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Planilha1!$C$116:$C$137</c:f>
              <c:numCache>
                <c:formatCode>General</c:formatCode>
                <c:ptCount val="22"/>
                <c:pt idx="0">
                  <c:v>4.0771594794161814</c:v>
                </c:pt>
                <c:pt idx="1">
                  <c:v>0.95433872870837888</c:v>
                </c:pt>
                <c:pt idx="2">
                  <c:v>1.6959429227495662</c:v>
                </c:pt>
                <c:pt idx="3">
                  <c:v>2.7962091006717031</c:v>
                </c:pt>
                <c:pt idx="4">
                  <c:v>3.8525526006435058</c:v>
                </c:pt>
                <c:pt idx="5">
                  <c:v>3.4832203202525847</c:v>
                </c:pt>
                <c:pt idx="6">
                  <c:v>2.7828106258432683</c:v>
                </c:pt>
                <c:pt idx="7">
                  <c:v>2.0105075516332818</c:v>
                </c:pt>
                <c:pt idx="8">
                  <c:v>0.1221884429746467</c:v>
                </c:pt>
                <c:pt idx="9">
                  <c:v>-2.5998883510855819</c:v>
                </c:pt>
                <c:pt idx="10">
                  <c:v>2.7088566941968111</c:v>
                </c:pt>
                <c:pt idx="11">
                  <c:v>1.5498949501704544</c:v>
                </c:pt>
                <c:pt idx="12">
                  <c:v>2.2806876031918506</c:v>
                </c:pt>
                <c:pt idx="13">
                  <c:v>1.8418753951868752</c:v>
                </c:pt>
                <c:pt idx="14">
                  <c:v>2.2877759325535862</c:v>
                </c:pt>
                <c:pt idx="15">
                  <c:v>2.7063695817639939</c:v>
                </c:pt>
                <c:pt idx="16">
                  <c:v>1.667472075961868</c:v>
                </c:pt>
                <c:pt idx="17">
                  <c:v>2.2419212159774844</c:v>
                </c:pt>
                <c:pt idx="18">
                  <c:v>2.9453848312678019</c:v>
                </c:pt>
                <c:pt idx="19">
                  <c:v>2.2944390776931129</c:v>
                </c:pt>
                <c:pt idx="20">
                  <c:v>-2.767802511405776</c:v>
                </c:pt>
                <c:pt idx="21">
                  <c:v>5.9454847612217208</c:v>
                </c:pt>
              </c:numCache>
            </c:numRef>
          </c:val>
          <c:smooth val="0"/>
          <c:extLst>
            <c:ext xmlns:c16="http://schemas.microsoft.com/office/drawing/2014/chart" uri="{C3380CC4-5D6E-409C-BE32-E72D297353CC}">
              <c16:uniqueId val="{00000001-4CF6-4063-BB64-0E1374484473}"/>
            </c:ext>
          </c:extLst>
        </c:ser>
        <c:ser>
          <c:idx val="2"/>
          <c:order val="2"/>
          <c:tx>
            <c:strRef>
              <c:f>Planilha1!$D$115</c:f>
              <c:strCache>
                <c:ptCount val="1"/>
                <c:pt idx="0">
                  <c:v>OCDE</c:v>
                </c:pt>
              </c:strCache>
            </c:strRef>
          </c:tx>
          <c:spPr>
            <a:ln w="28575" cap="rnd">
              <a:solidFill>
                <a:srgbClr val="00B0F0"/>
              </a:solidFill>
              <a:round/>
            </a:ln>
            <a:effectLst/>
          </c:spPr>
          <c:marker>
            <c:symbol val="square"/>
            <c:size val="6"/>
            <c:spPr>
              <a:solidFill>
                <a:srgbClr val="00B0F0"/>
              </a:solidFill>
              <a:ln w="9525">
                <a:solidFill>
                  <a:srgbClr val="00B0F0"/>
                </a:solidFill>
              </a:ln>
              <a:effectLst/>
            </c:spPr>
          </c:marker>
          <c:cat>
            <c:numRef>
              <c:f>Planilha1!$A$116:$A$137</c:f>
              <c:numCache>
                <c:formatCode>General</c:formatCode>
                <c:ptCount val="22"/>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numCache>
            </c:numRef>
          </c:cat>
          <c:val>
            <c:numRef>
              <c:f>Planilha1!$D$116:$D$137</c:f>
              <c:numCache>
                <c:formatCode>General</c:formatCode>
                <c:ptCount val="22"/>
                <c:pt idx="0">
                  <c:v>4.0749434517955478</c:v>
                </c:pt>
                <c:pt idx="1">
                  <c:v>1.3920260993923677</c:v>
                </c:pt>
                <c:pt idx="2">
                  <c:v>1.5463638381623781</c:v>
                </c:pt>
                <c:pt idx="3">
                  <c:v>2.0398042929581806</c:v>
                </c:pt>
                <c:pt idx="4">
                  <c:v>3.2692569046121918</c:v>
                </c:pt>
                <c:pt idx="5">
                  <c:v>2.8208335591385207</c:v>
                </c:pt>
                <c:pt idx="6">
                  <c:v>3.000615691391431</c:v>
                </c:pt>
                <c:pt idx="7">
                  <c:v>2.6007907199625606</c:v>
                </c:pt>
                <c:pt idx="8">
                  <c:v>0.39672394037053493</c:v>
                </c:pt>
                <c:pt idx="9">
                  <c:v>-3.3700000420725615</c:v>
                </c:pt>
                <c:pt idx="10">
                  <c:v>2.9856197287202662</c:v>
                </c:pt>
                <c:pt idx="11">
                  <c:v>1.8679243705258557</c:v>
                </c:pt>
                <c:pt idx="12">
                  <c:v>1.386406603489803</c:v>
                </c:pt>
                <c:pt idx="13">
                  <c:v>1.5182859114192269</c:v>
                </c:pt>
                <c:pt idx="14">
                  <c:v>2.0924305671460957</c:v>
                </c:pt>
                <c:pt idx="15">
                  <c:v>2.4342284435167016</c:v>
                </c:pt>
                <c:pt idx="16">
                  <c:v>1.827653081832679</c:v>
                </c:pt>
                <c:pt idx="17">
                  <c:v>2.4939314352691468</c:v>
                </c:pt>
                <c:pt idx="18">
                  <c:v>2.3545145280811539</c:v>
                </c:pt>
                <c:pt idx="19">
                  <c:v>1.7412996399847458</c:v>
                </c:pt>
                <c:pt idx="20">
                  <c:v>-4.2361438414415176</c:v>
                </c:pt>
                <c:pt idx="21">
                  <c:v>5.3850668122024956</c:v>
                </c:pt>
              </c:numCache>
            </c:numRef>
          </c:val>
          <c:smooth val="0"/>
          <c:extLst>
            <c:ext xmlns:c16="http://schemas.microsoft.com/office/drawing/2014/chart" uri="{C3380CC4-5D6E-409C-BE32-E72D297353CC}">
              <c16:uniqueId val="{00000002-4CF6-4063-BB64-0E1374484473}"/>
            </c:ext>
          </c:extLst>
        </c:ser>
        <c:dLbls>
          <c:showLegendKey val="0"/>
          <c:showVal val="0"/>
          <c:showCatName val="0"/>
          <c:showSerName val="0"/>
          <c:showPercent val="0"/>
          <c:showBubbleSize val="0"/>
        </c:dLbls>
        <c:marker val="1"/>
        <c:smooth val="0"/>
        <c:axId val="564822448"/>
        <c:axId val="564825776"/>
      </c:lineChart>
      <c:catAx>
        <c:axId val="56482244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crossAx val="564825776"/>
        <c:crosses val="autoZero"/>
        <c:auto val="1"/>
        <c:lblAlgn val="ctr"/>
        <c:lblOffset val="100"/>
        <c:noMultiLvlLbl val="0"/>
      </c:catAx>
      <c:valAx>
        <c:axId val="56482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564822448"/>
        <c:crosses val="autoZero"/>
        <c:crossBetween val="between"/>
      </c:valAx>
      <c:spPr>
        <a:noFill/>
        <a:ln>
          <a:noFill/>
        </a:ln>
        <a:effectLst/>
      </c:spPr>
    </c:plotArea>
    <c:legend>
      <c:legendPos val="b"/>
      <c:layout>
        <c:manualLayout>
          <c:xMode val="edge"/>
          <c:yMode val="edge"/>
          <c:x val="0.15364128844040748"/>
          <c:y val="0.8844807155369816"/>
          <c:w val="0.78485284118589105"/>
          <c:h val="7.3754426984836502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A1D66-D690-4E81-B971-25D2EE9C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1300</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9</cp:revision>
  <dcterms:created xsi:type="dcterms:W3CDTF">2023-04-11T23:23:00Z</dcterms:created>
  <dcterms:modified xsi:type="dcterms:W3CDTF">2023-04-12T22:02:00Z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2023-04-11T23:37:41Z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e43d77f8-a31d-4120-bc7b-017966cc61c5</vt:lpwstr>
  </property>
  <property fmtid="{D5CDD505-2E9C-101B-9397-08002B2CF9AE}" pid="8" name="MSIP_Label_6459b2e0-2ec4-47e6-afc1-6e3f8b684f6a_ContentBits">
    <vt:lpwstr>0</vt:lpwstr>
  </property>
</Properties>
</file>