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51FB" w14:textId="77777777" w:rsidR="00A37B0B" w:rsidRPr="0002542D" w:rsidRDefault="00A37B0B" w:rsidP="00A37B0B"/>
    <w:p w14:paraId="739BF1CE" w14:textId="336372B9" w:rsidR="00A37B0B" w:rsidRPr="004A3433" w:rsidRDefault="00A37B0B" w:rsidP="00A37B0B">
      <w:pPr>
        <w:jc w:val="center"/>
      </w:pPr>
      <w:r>
        <w:t xml:space="preserve">O Papel das Taxas de </w:t>
      </w:r>
      <w:r w:rsidR="008D56F7">
        <w:t>D</w:t>
      </w:r>
      <w:r>
        <w:t>epreciação</w:t>
      </w:r>
      <w:r w:rsidRPr="0002542D">
        <w:t xml:space="preserve"> </w:t>
      </w:r>
      <w:r>
        <w:t xml:space="preserve">na </w:t>
      </w:r>
      <w:r w:rsidRPr="0002542D">
        <w:t xml:space="preserve">Estimativa do Estoque de </w:t>
      </w:r>
      <w:r>
        <w:t>C</w:t>
      </w:r>
      <w:r w:rsidRPr="0002542D">
        <w:t xml:space="preserve">apital </w:t>
      </w:r>
      <w:r>
        <w:t>em Infraestrutura</w:t>
      </w:r>
    </w:p>
    <w:p w14:paraId="40987421" w14:textId="77777777" w:rsidR="00A37B0B" w:rsidRPr="008D3DAD" w:rsidRDefault="00A37B0B" w:rsidP="00A37B0B"/>
    <w:p w14:paraId="33ABFF6A" w14:textId="77777777" w:rsidR="00A37B0B" w:rsidRPr="00896CC2" w:rsidRDefault="00A37B0B" w:rsidP="00A37B0B">
      <w:pPr>
        <w:pStyle w:val="Ttulo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896CC2">
        <w:rPr>
          <w:rFonts w:asciiTheme="minorHAnsi" w:hAnsiTheme="minorHAnsi" w:cstheme="minorHAnsi"/>
          <w:color w:val="auto"/>
          <w:sz w:val="24"/>
          <w:szCs w:val="24"/>
        </w:rPr>
        <w:t>Introdução</w:t>
      </w:r>
    </w:p>
    <w:p w14:paraId="68724EC9" w14:textId="77777777" w:rsidR="00A37B0B" w:rsidRPr="00D13039" w:rsidRDefault="00A37B0B" w:rsidP="00A37B0B">
      <w:pPr>
        <w:pStyle w:val="PargrafodaLista"/>
      </w:pPr>
    </w:p>
    <w:p w14:paraId="75A3B4EA" w14:textId="051A55B4" w:rsidR="00A37B0B" w:rsidRPr="00A37B0B" w:rsidRDefault="00A37B0B" w:rsidP="00143390">
      <w:pPr>
        <w:ind w:firstLine="708"/>
        <w:jc w:val="both"/>
      </w:pPr>
      <w:r w:rsidRPr="00A37B0B">
        <w:t xml:space="preserve">Avaliações econômicas frequentemente esbarram na falta de uma medida </w:t>
      </w:r>
      <w:r w:rsidR="00143390">
        <w:t xml:space="preserve">acurada para </w:t>
      </w:r>
      <w:r w:rsidRPr="00A37B0B">
        <w:t>o estoque de capital. Na década de 90 a preocupação primordial do Sistema de Contas Nacionais (SCN</w:t>
      </w:r>
      <w:r w:rsidR="00143390">
        <w:t>/</w:t>
      </w:r>
      <w:r w:rsidR="00143390" w:rsidRPr="00A37B0B">
        <w:t>IBGE</w:t>
      </w:r>
      <w:r w:rsidRPr="00A37B0B">
        <w:t xml:space="preserve">) era contabilizar os fluxos da formação bruta de capital fixo, não havendo </w:t>
      </w:r>
      <w:r w:rsidR="00143390">
        <w:t xml:space="preserve">uma preocupação </w:t>
      </w:r>
      <w:r w:rsidRPr="00A37B0B">
        <w:t xml:space="preserve">explicita </w:t>
      </w:r>
      <w:r w:rsidR="00143390">
        <w:t xml:space="preserve">em estatísticas de </w:t>
      </w:r>
      <w:r w:rsidRPr="00A37B0B">
        <w:t xml:space="preserve">estoque (OCDE, 2001). </w:t>
      </w:r>
      <w:r w:rsidR="00143390">
        <w:t xml:space="preserve">Apesar da falta de informações públicas, o </w:t>
      </w:r>
      <w:r w:rsidRPr="00A37B0B">
        <w:t xml:space="preserve">estoque de capital é uma informação crucial </w:t>
      </w:r>
      <w:r w:rsidR="00143390">
        <w:t xml:space="preserve">a ser incluídas </w:t>
      </w:r>
      <w:r w:rsidRPr="00A37B0B">
        <w:t>em modelo</w:t>
      </w:r>
      <w:r w:rsidR="00143390">
        <w:t xml:space="preserve">s </w:t>
      </w:r>
      <w:r w:rsidRPr="00A37B0B">
        <w:t>econométricos</w:t>
      </w:r>
      <w:r w:rsidR="00143390">
        <w:t>, e indicadores de produtividade</w:t>
      </w:r>
      <w:r w:rsidRPr="00A37B0B">
        <w:t xml:space="preserve">. </w:t>
      </w:r>
      <w:r w:rsidR="00143390">
        <w:t xml:space="preserve">Nos </w:t>
      </w:r>
      <w:r w:rsidRPr="00A37B0B">
        <w:t xml:space="preserve">modelos econométricos, sua ausência dá origem ao </w:t>
      </w:r>
      <w:r w:rsidR="00143390">
        <w:t xml:space="preserve">chamado </w:t>
      </w:r>
      <w:r w:rsidRPr="00A37B0B">
        <w:t>viés por omissão de variáveis, afetando os parâmetros estimados das demais variáveis explicativas (</w:t>
      </w:r>
      <w:proofErr w:type="spellStart"/>
      <w:r w:rsidRPr="00A37B0B">
        <w:t>Wooldridge</w:t>
      </w:r>
      <w:proofErr w:type="spellEnd"/>
      <w:r w:rsidRPr="00A37B0B">
        <w:t xml:space="preserve">, 2009). Por outro lado, sua aproximação por meio de </w:t>
      </w:r>
      <w:r w:rsidRPr="00A37B0B">
        <w:rPr>
          <w:i/>
        </w:rPr>
        <w:t>proxies</w:t>
      </w:r>
      <w:r w:rsidRPr="00A37B0B">
        <w:t xml:space="preserve"> mal construídas dá origem ao </w:t>
      </w:r>
      <w:r w:rsidR="00143390">
        <w:t xml:space="preserve">chamado </w:t>
      </w:r>
      <w:r w:rsidRPr="00A37B0B">
        <w:t>viés por erro de medida (</w:t>
      </w:r>
      <w:proofErr w:type="spellStart"/>
      <w:r w:rsidRPr="00A37B0B">
        <w:t>Hyslop</w:t>
      </w:r>
      <w:proofErr w:type="spellEnd"/>
      <w:r w:rsidRPr="00A37B0B">
        <w:t xml:space="preserve"> e </w:t>
      </w:r>
      <w:proofErr w:type="spellStart"/>
      <w:r w:rsidRPr="00A37B0B">
        <w:t>Imbens</w:t>
      </w:r>
      <w:proofErr w:type="spellEnd"/>
      <w:r w:rsidRPr="00A37B0B">
        <w:t xml:space="preserve">, 2001), </w:t>
      </w:r>
      <w:r w:rsidR="00143390">
        <w:t xml:space="preserve">que resulta na </w:t>
      </w:r>
      <w:proofErr w:type="spellStart"/>
      <w:r w:rsidRPr="00A37B0B">
        <w:t>endogeneidade</w:t>
      </w:r>
      <w:proofErr w:type="spellEnd"/>
      <w:r w:rsidRPr="00A37B0B">
        <w:t xml:space="preserve"> das variáveis explicativas </w:t>
      </w:r>
      <w:r w:rsidR="00143390">
        <w:t>em relação a</w:t>
      </w:r>
      <w:r w:rsidRPr="00A37B0B">
        <w:t xml:space="preserve">o termo de erro. </w:t>
      </w:r>
    </w:p>
    <w:p w14:paraId="24606387" w14:textId="408F037B" w:rsidR="00A37B0B" w:rsidRPr="00A37B0B" w:rsidRDefault="00A37B0B" w:rsidP="00A37B0B">
      <w:pPr>
        <w:ind w:firstLine="708"/>
        <w:jc w:val="both"/>
      </w:pPr>
      <w:r w:rsidRPr="00A37B0B">
        <w:t>A utilização de medidas aproximadas para o estoque de capital é a solução encontrada por muitos trabalhos</w:t>
      </w:r>
      <w:r w:rsidR="00143390">
        <w:t>, particularmente na mensuração da produtividade total dos fatores e estimativa dos parâmetros de funções de produção</w:t>
      </w:r>
      <w:r w:rsidRPr="00A37B0B">
        <w:t xml:space="preserve">. Notadamente, os gastos em energia elétrica e os fluxos de investimento das firmas </w:t>
      </w:r>
      <w:r w:rsidR="00143390">
        <w:t xml:space="preserve">foram </w:t>
      </w:r>
      <w:r w:rsidRPr="00A37B0B">
        <w:t xml:space="preserve">utilizadas </w:t>
      </w:r>
      <w:r w:rsidR="00143390">
        <w:t xml:space="preserve">no passado </w:t>
      </w:r>
      <w:r w:rsidRPr="00A37B0B">
        <w:t>como medidas aproximadas do estoque de capital</w:t>
      </w:r>
      <w:r w:rsidR="00143390">
        <w:t xml:space="preserve"> (Alves &amp; Silva, 2007)</w:t>
      </w:r>
      <w:r w:rsidRPr="00A37B0B">
        <w:t xml:space="preserve">. Entretanto, como já comentado, tal recurso pode resultar no viés devido ao erro de mensuração (Greene, 2007), originando uma correlação entre as variáveis explicativas e o erro, tornando os estimadores do modelo viciados. </w:t>
      </w:r>
    </w:p>
    <w:p w14:paraId="20D708E3" w14:textId="77777777" w:rsidR="00A37B0B" w:rsidRPr="00D13039" w:rsidRDefault="00A37B0B" w:rsidP="00A37B0B"/>
    <w:p w14:paraId="747CB3F2" w14:textId="77777777" w:rsidR="00A37B0B" w:rsidRPr="00896CC2" w:rsidRDefault="00A37B0B" w:rsidP="00A37B0B">
      <w:pPr>
        <w:pStyle w:val="PargrafodaLista"/>
        <w:numPr>
          <w:ilvl w:val="0"/>
          <w:numId w:val="1"/>
        </w:numPr>
        <w:ind w:left="0" w:firstLine="0"/>
        <w:outlineLvl w:val="0"/>
        <w:rPr>
          <w:b/>
        </w:rPr>
      </w:pPr>
      <w:r w:rsidRPr="00896CC2">
        <w:rPr>
          <w:b/>
        </w:rPr>
        <w:t>Método do Inventario Perpétuo</w:t>
      </w:r>
    </w:p>
    <w:p w14:paraId="6F102FB1" w14:textId="449DC7AB" w:rsidR="00A37B0B" w:rsidRDefault="00A37B0B" w:rsidP="00A37B0B">
      <w:pPr>
        <w:jc w:val="both"/>
      </w:pPr>
      <w:r w:rsidRPr="00D13039">
        <w:t xml:space="preserve">O método do inventário perpétuo é </w:t>
      </w:r>
      <w:r>
        <w:t xml:space="preserve">frequentemente </w:t>
      </w:r>
      <w:r w:rsidRPr="00D13039">
        <w:t>utilizado para estimativa do estoque de capital</w:t>
      </w:r>
      <w:r w:rsidRPr="00D13039">
        <w:rPr>
          <w:rStyle w:val="Refdenotaderodap"/>
        </w:rPr>
        <w:footnoteReference w:id="1"/>
      </w:r>
      <w:r w:rsidRPr="00D13039">
        <w:t>. Trata-se de uma forma indireta de cálculo por meio da soma dos investimentos acumulados que, devidamente depreciada, converge ao longo do tempo para o estoque de capital fixo das empresas</w:t>
      </w:r>
      <w:r>
        <w:t xml:space="preserve">. O estoque de capital em </w:t>
      </w:r>
      <w:r w:rsidRPr="00BB2C5C">
        <w:rPr>
          <w:i/>
          <w:iCs/>
        </w:rPr>
        <w:t>t</w:t>
      </w:r>
      <w:r>
        <w:t xml:space="preserve"> é dado por</w:t>
      </w:r>
      <w:r w:rsidRPr="00D13039">
        <w:t>:</w:t>
      </w:r>
    </w:p>
    <w:p w14:paraId="7401D43E" w14:textId="77777777" w:rsidR="001043D8" w:rsidRDefault="001043D8" w:rsidP="00A37B0B">
      <w:pPr>
        <w:jc w:val="both"/>
      </w:pPr>
    </w:p>
    <w:tbl>
      <w:tblPr>
        <w:tblStyle w:val="Tabelacomgrade"/>
        <w:tblW w:w="8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5"/>
        <w:gridCol w:w="236"/>
      </w:tblGrid>
      <w:tr w:rsidR="00A37B0B" w14:paraId="4516C2BC" w14:textId="77777777" w:rsidTr="001043D8">
        <w:tc>
          <w:tcPr>
            <w:tcW w:w="8325" w:type="dxa"/>
          </w:tcPr>
          <w:p w14:paraId="5B027EFA" w14:textId="77777777" w:rsidR="00A37B0B" w:rsidRDefault="001043D8" w:rsidP="001043D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36" w:type="dxa"/>
          </w:tcPr>
          <w:p w14:paraId="09CE2965" w14:textId="77777777" w:rsidR="00A37B0B" w:rsidRDefault="00A37B0B" w:rsidP="001043D8">
            <w:r>
              <w:t xml:space="preserve"> </w:t>
            </w:r>
          </w:p>
        </w:tc>
      </w:tr>
    </w:tbl>
    <w:p w14:paraId="1539853C" w14:textId="77777777" w:rsidR="00A37B0B" w:rsidRDefault="00A37B0B" w:rsidP="00A37B0B">
      <w:pPr>
        <w:pStyle w:val="Legenda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 </w:t>
      </w:r>
    </w:p>
    <w:p w14:paraId="5AB90797" w14:textId="77777777" w:rsidR="00A37B0B" w:rsidRDefault="00A37B0B" w:rsidP="00A37B0B">
      <w:pPr>
        <w:jc w:val="both"/>
      </w:pPr>
      <w:r w:rsidRPr="00D13039">
        <w:t>onde</w:t>
      </w:r>
      <w:r>
        <w:t>,</w:t>
      </w:r>
      <w:r w:rsidRPr="00D130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D13039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D13039">
        <w:t xml:space="preserve"> representam</w:t>
      </w:r>
      <w:r>
        <w:t xml:space="preserve"> </w:t>
      </w:r>
      <w:r w:rsidRPr="00D13039">
        <w:t>o estoque de capital e o investimento d</w:t>
      </w:r>
      <w:r>
        <w:t xml:space="preserve">o setor </w:t>
      </w:r>
      <w:r>
        <w:rPr>
          <w:i/>
        </w:rPr>
        <w:t>i</w:t>
      </w:r>
      <w:r>
        <w:t xml:space="preserve">, </w:t>
      </w:r>
      <w:r w:rsidRPr="00D13039">
        <w:t xml:space="preserve">no ano </w:t>
      </w:r>
      <w:r w:rsidRPr="00D13039">
        <w:rPr>
          <w:i/>
        </w:rPr>
        <w:t>t</w:t>
      </w:r>
      <w:r w:rsidRPr="00D13039">
        <w:t xml:space="preserve">. </w:t>
      </w:r>
      <w:r>
        <w:t>A</w:t>
      </w:r>
      <w:r w:rsidRPr="00D13039">
        <w:t xml:space="preserve"> taxa de depreciação</w:t>
      </w:r>
      <w:r>
        <w:t xml:space="preserve"> possui bastante impacto na metodologia de estimação do estoque de capital, dependendo se esta é considerada constante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=δ</m:t>
        </m:r>
      </m:oMath>
      <w:r>
        <w:rPr>
          <w:rFonts w:eastAsiaTheme="minorEastAsia"/>
        </w:rPr>
        <w:t xml:space="preserve">) ou variável com o tempo </w:t>
      </w:r>
      <w:r>
        <w:t>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Pr="00D13039">
        <w:t xml:space="preserve">. </w:t>
      </w:r>
      <w:r>
        <w:t>Como veremos, a simplificação por uma taxa de depreciação constante, apesar operacionalmente viável, pode induzir a resultados com pouca acerácea. A utilização de taxas de depreciação variáveis com o tempo, apesar de mais precisa, pode tornar o processo de estimação do estoque de capital excessivamente complexo.</w:t>
      </w:r>
    </w:p>
    <w:p w14:paraId="07651FEC" w14:textId="51052D63" w:rsidR="00A37B0B" w:rsidRDefault="00A37B0B" w:rsidP="00A37B0B">
      <w:pPr>
        <w:jc w:val="both"/>
      </w:pPr>
      <w:r w:rsidRPr="00D13039">
        <w:lastRenderedPageBreak/>
        <w:t xml:space="preserve">Na ausência de um valor </w:t>
      </w:r>
      <w:r>
        <w:t xml:space="preserve">inicial </w:t>
      </w:r>
      <w:r w:rsidRPr="00D13039">
        <w:t>para o estoque de capital no período inicial</w:t>
      </w:r>
      <w:r>
        <w:t>, utiliza-se</w:t>
      </w:r>
      <w:r w:rsidRPr="00D130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</m:t>
        </m:r>
      </m:oMath>
      <w:r>
        <w:rPr>
          <w:rFonts w:eastAsiaTheme="minorEastAsia"/>
        </w:rPr>
        <w:t xml:space="preserve">. Esta abordagem também pode resultar </w:t>
      </w:r>
      <w:r>
        <w:t xml:space="preserve">em um erro de medida quando não possuímos uma série de investimentos especialmente longa. </w:t>
      </w:r>
      <w:r w:rsidRPr="00D13039">
        <w:t xml:space="preserve">No método do inventário perpetuo a convergência do estoque de capital calculado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D13039">
        <w:t xml:space="preserve"> para o estoque de capital real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13039">
        <w:t xml:space="preserve"> só ocorre após vários períodos de tempo</w:t>
      </w:r>
      <w:r>
        <w:t xml:space="preserve"> (Alves &amp; </w:t>
      </w:r>
      <w:proofErr w:type="spellStart"/>
      <w:r>
        <w:t>Messa</w:t>
      </w:r>
      <w:proofErr w:type="spellEnd"/>
      <w:r>
        <w:t>, 2008)</w:t>
      </w:r>
      <w:r w:rsidRPr="00D13039">
        <w:t>:</w:t>
      </w:r>
      <w:r>
        <w:rPr>
          <w:rFonts w:eastAsiaTheme="minorEastAsia"/>
        </w:rPr>
        <w:tab/>
      </w:r>
    </w:p>
    <w:tbl>
      <w:tblPr>
        <w:tblStyle w:val="Tabelacomgrade"/>
        <w:tblW w:w="8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5"/>
        <w:gridCol w:w="236"/>
      </w:tblGrid>
      <w:tr w:rsidR="00A37B0B" w14:paraId="73A50F0B" w14:textId="77777777" w:rsidTr="001043D8">
        <w:tc>
          <w:tcPr>
            <w:tcW w:w="8325" w:type="dxa"/>
          </w:tcPr>
          <w:p w14:paraId="4D866212" w14:textId="77777777" w:rsidR="00A37B0B" w:rsidRDefault="001043D8" w:rsidP="001043D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δ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nary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6" w:type="dxa"/>
          </w:tcPr>
          <w:p w14:paraId="376D355D" w14:textId="77777777" w:rsidR="00A37B0B" w:rsidRDefault="00A37B0B" w:rsidP="001043D8">
            <w:r>
              <w:t xml:space="preserve"> </w:t>
            </w:r>
          </w:p>
        </w:tc>
      </w:tr>
    </w:tbl>
    <w:p w14:paraId="72DC6C1F" w14:textId="77777777" w:rsidR="00A37B0B" w:rsidRDefault="00A37B0B" w:rsidP="00A37B0B"/>
    <w:p w14:paraId="0D2CCC90" w14:textId="77777777" w:rsidR="00A37B0B" w:rsidRPr="00BB2C5C" w:rsidRDefault="00A37B0B" w:rsidP="00A37B0B">
      <w:pPr>
        <w:pStyle w:val="PargrafodaLista"/>
        <w:numPr>
          <w:ilvl w:val="0"/>
          <w:numId w:val="1"/>
        </w:numPr>
        <w:ind w:left="0" w:firstLine="0"/>
        <w:outlineLvl w:val="0"/>
        <w:rPr>
          <w:b/>
        </w:rPr>
      </w:pPr>
      <w:r w:rsidRPr="00896CC2">
        <w:rPr>
          <w:b/>
        </w:rPr>
        <w:t>Contabilização do Ativo Imobilizado</w:t>
      </w:r>
    </w:p>
    <w:p w14:paraId="0AB067FD" w14:textId="77777777" w:rsidR="00A37B0B" w:rsidRPr="00EF2DDF" w:rsidRDefault="00A37B0B" w:rsidP="00A37B0B">
      <w:pPr>
        <w:spacing w:line="240" w:lineRule="auto"/>
        <w:ind w:firstLine="709"/>
        <w:jc w:val="both"/>
      </w:pPr>
      <w:r w:rsidRPr="00EF2DDF">
        <w:t xml:space="preserve">O ativo fixo é composto pelos bens tangíveis destinados à manutenção das atividades da firma, inclusive os decorrentes de operações que transfiram à companhia os benefícios riscos e controles destes bens. </w:t>
      </w:r>
    </w:p>
    <w:p w14:paraId="2C9206D0" w14:textId="77777777" w:rsidR="00A37B0B" w:rsidRPr="00EF2DDF" w:rsidRDefault="00A37B0B" w:rsidP="00A37B0B">
      <w:pPr>
        <w:spacing w:line="240" w:lineRule="auto"/>
        <w:ind w:firstLine="709"/>
        <w:jc w:val="both"/>
      </w:pPr>
      <w:r w:rsidRPr="00EF2DDF">
        <w:t xml:space="preserve">Os princípios contáveis dizem que os bens do ativo fixo devem ser avaliados pelo custo de aquisição, deduzido dos saldos das respectivas contas de depreciação, amortização e exaustão. Também devem </w:t>
      </w:r>
      <w:proofErr w:type="spellStart"/>
      <w:r w:rsidRPr="00EF2DDF">
        <w:t>se</w:t>
      </w:r>
      <w:proofErr w:type="spellEnd"/>
      <w:r w:rsidRPr="00EF2DDF">
        <w:t xml:space="preserve"> considerados os impostos não recuperáveis sobre a compra e custos de instalação (</w:t>
      </w:r>
      <w:proofErr w:type="spellStart"/>
      <w:r w:rsidRPr="00EF2DDF">
        <w:t>Ludícibus</w:t>
      </w:r>
      <w:proofErr w:type="spellEnd"/>
      <w:r w:rsidRPr="00EF2DDF">
        <w:t xml:space="preserve"> </w:t>
      </w:r>
      <w:r w:rsidRPr="00EF2DDF">
        <w:rPr>
          <w:i/>
        </w:rPr>
        <w:t>et al.</w:t>
      </w:r>
      <w:r w:rsidRPr="00EF2DDF">
        <w:t>, 2010).</w:t>
      </w:r>
    </w:p>
    <w:p w14:paraId="791C3259" w14:textId="77777777" w:rsidR="00A37B0B" w:rsidRPr="00EF2DDF" w:rsidRDefault="00A37B0B" w:rsidP="00A37B0B">
      <w:pPr>
        <w:spacing w:line="240" w:lineRule="auto"/>
        <w:ind w:firstLine="709"/>
        <w:jc w:val="both"/>
      </w:pPr>
      <w:r w:rsidRPr="00EF2DDF">
        <w:t>A depreciação corresponde à parte do caixa investido na aquisição ou construção do ativo que não será recuperado pelas entradas de recursos resultantes da sua eventual venda ao final de seu uso. A tabela 1 apresenta os critérios de depreciação pela legislação fiscal considerando um turno de trabalho de 8 horas (</w:t>
      </w:r>
      <w:proofErr w:type="spellStart"/>
      <w:r>
        <w:t>L</w:t>
      </w:r>
      <w:r w:rsidRPr="00EF2DDF">
        <w:t>udícibus</w:t>
      </w:r>
      <w:proofErr w:type="spellEnd"/>
      <w:r w:rsidRPr="00EF2DDF">
        <w:t xml:space="preserve"> </w:t>
      </w:r>
      <w:r w:rsidRPr="00EF2DDF">
        <w:rPr>
          <w:i/>
        </w:rPr>
        <w:t>et al.</w:t>
      </w:r>
      <w:r w:rsidRPr="00EF2DDF">
        <w:t>, 2010).</w:t>
      </w:r>
    </w:p>
    <w:p w14:paraId="49C489E6" w14:textId="77777777" w:rsidR="00A37B0B" w:rsidRDefault="00A37B0B" w:rsidP="00A37B0B"/>
    <w:p w14:paraId="13EB2947" w14:textId="77777777" w:rsidR="00A37B0B" w:rsidRPr="00A646D6" w:rsidRDefault="00A37B0B" w:rsidP="00A37B0B">
      <w:pPr>
        <w:pStyle w:val="Legenda"/>
        <w:rPr>
          <w:b/>
          <w:bCs/>
          <w:i w:val="0"/>
          <w:iCs w:val="0"/>
          <w:color w:val="auto"/>
          <w:sz w:val="20"/>
          <w:szCs w:val="20"/>
        </w:rPr>
      </w:pPr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646D6">
        <w:rPr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646D6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A646D6">
        <w:rPr>
          <w:b/>
          <w:bCs/>
          <w:i w:val="0"/>
          <w:iCs w:val="0"/>
          <w:noProof/>
          <w:color w:val="auto"/>
          <w:sz w:val="20"/>
          <w:szCs w:val="20"/>
        </w:rPr>
        <w:fldChar w:fldCharType="end"/>
      </w:r>
      <w:r w:rsidRPr="00A646D6">
        <w:rPr>
          <w:b/>
          <w:bCs/>
          <w:i w:val="0"/>
          <w:iCs w:val="0"/>
          <w:color w:val="auto"/>
          <w:sz w:val="20"/>
          <w:szCs w:val="20"/>
        </w:rPr>
        <w:t>: Critérios de Depreciação do ativo Imobilizado segundo a Legislação Fiscal.</w:t>
      </w:r>
    </w:p>
    <w:tbl>
      <w:tblPr>
        <w:tblStyle w:val="Tabelacomgrade"/>
        <w:tblW w:w="8146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1378"/>
        <w:gridCol w:w="2773"/>
      </w:tblGrid>
      <w:tr w:rsidR="00A37B0B" w14:paraId="76B83B24" w14:textId="77777777" w:rsidTr="001043D8">
        <w:tc>
          <w:tcPr>
            <w:tcW w:w="3995" w:type="dxa"/>
            <w:tcBorders>
              <w:top w:val="single" w:sz="4" w:space="0" w:color="auto"/>
              <w:bottom w:val="single" w:sz="4" w:space="0" w:color="auto"/>
            </w:tcBorders>
          </w:tcPr>
          <w:p w14:paraId="3F9B51C6" w14:textId="77777777" w:rsidR="00A37B0B" w:rsidRDefault="00A37B0B" w:rsidP="001043D8"/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CEF9F" w14:textId="77777777" w:rsidR="00A37B0B" w:rsidRPr="00B45532" w:rsidRDefault="00A37B0B" w:rsidP="001043D8">
            <w:pPr>
              <w:jc w:val="center"/>
            </w:pPr>
            <w:r w:rsidRPr="00B45532">
              <w:t>Taxa anual</w:t>
            </w:r>
          </w:p>
        </w:tc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186AB" w14:textId="77777777" w:rsidR="00A37B0B" w:rsidRPr="00B45532" w:rsidRDefault="00A37B0B" w:rsidP="001043D8">
            <w:pPr>
              <w:jc w:val="center"/>
            </w:pPr>
            <w:r w:rsidRPr="00B45532">
              <w:t>Anos de vida útil</w:t>
            </w:r>
          </w:p>
        </w:tc>
      </w:tr>
      <w:tr w:rsidR="00A37B0B" w14:paraId="2BE51AC8" w14:textId="77777777" w:rsidTr="001043D8">
        <w:tc>
          <w:tcPr>
            <w:tcW w:w="3995" w:type="dxa"/>
            <w:tcBorders>
              <w:top w:val="single" w:sz="4" w:space="0" w:color="auto"/>
            </w:tcBorders>
          </w:tcPr>
          <w:p w14:paraId="14C1B8EF" w14:textId="77777777" w:rsidR="00A37B0B" w:rsidRDefault="00A37B0B" w:rsidP="001043D8">
            <w:r>
              <w:t>Edifícios</w:t>
            </w:r>
          </w:p>
        </w:tc>
        <w:tc>
          <w:tcPr>
            <w:tcW w:w="1378" w:type="dxa"/>
            <w:tcBorders>
              <w:top w:val="single" w:sz="4" w:space="0" w:color="auto"/>
            </w:tcBorders>
            <w:vAlign w:val="center"/>
          </w:tcPr>
          <w:p w14:paraId="66E06F2E" w14:textId="77777777" w:rsidR="00A37B0B" w:rsidRDefault="00A37B0B" w:rsidP="001043D8">
            <w:pPr>
              <w:jc w:val="center"/>
            </w:pPr>
            <w:r>
              <w:t>4%</w:t>
            </w:r>
          </w:p>
        </w:tc>
        <w:tc>
          <w:tcPr>
            <w:tcW w:w="2773" w:type="dxa"/>
            <w:tcBorders>
              <w:top w:val="single" w:sz="4" w:space="0" w:color="auto"/>
            </w:tcBorders>
            <w:vAlign w:val="center"/>
          </w:tcPr>
          <w:p w14:paraId="4B16270E" w14:textId="77777777" w:rsidR="00A37B0B" w:rsidRDefault="00A37B0B" w:rsidP="001043D8">
            <w:pPr>
              <w:jc w:val="center"/>
            </w:pPr>
            <w:r>
              <w:t>25</w:t>
            </w:r>
          </w:p>
        </w:tc>
      </w:tr>
      <w:tr w:rsidR="00A37B0B" w14:paraId="7B28C2AF" w14:textId="77777777" w:rsidTr="001043D8">
        <w:tc>
          <w:tcPr>
            <w:tcW w:w="3995" w:type="dxa"/>
          </w:tcPr>
          <w:p w14:paraId="0F412434" w14:textId="77777777" w:rsidR="00A37B0B" w:rsidRDefault="00A37B0B" w:rsidP="001043D8">
            <w:r>
              <w:t>Máquinas e equipamentos</w:t>
            </w:r>
          </w:p>
        </w:tc>
        <w:tc>
          <w:tcPr>
            <w:tcW w:w="1378" w:type="dxa"/>
            <w:vAlign w:val="center"/>
          </w:tcPr>
          <w:p w14:paraId="5116A58C" w14:textId="77777777" w:rsidR="00A37B0B" w:rsidRDefault="00A37B0B" w:rsidP="001043D8">
            <w:pPr>
              <w:jc w:val="center"/>
            </w:pPr>
            <w:r>
              <w:t>10%</w:t>
            </w:r>
          </w:p>
        </w:tc>
        <w:tc>
          <w:tcPr>
            <w:tcW w:w="2773" w:type="dxa"/>
            <w:vAlign w:val="center"/>
          </w:tcPr>
          <w:p w14:paraId="6CD9D0B6" w14:textId="77777777" w:rsidR="00A37B0B" w:rsidRDefault="00A37B0B" w:rsidP="001043D8">
            <w:pPr>
              <w:jc w:val="center"/>
            </w:pPr>
            <w:r>
              <w:t>10</w:t>
            </w:r>
          </w:p>
        </w:tc>
      </w:tr>
      <w:tr w:rsidR="00A37B0B" w14:paraId="671C950F" w14:textId="77777777" w:rsidTr="001043D8">
        <w:tc>
          <w:tcPr>
            <w:tcW w:w="3995" w:type="dxa"/>
          </w:tcPr>
          <w:p w14:paraId="65C1BB6B" w14:textId="77777777" w:rsidR="00A37B0B" w:rsidRDefault="00A37B0B" w:rsidP="001043D8">
            <w:r>
              <w:t>Instalações</w:t>
            </w:r>
          </w:p>
        </w:tc>
        <w:tc>
          <w:tcPr>
            <w:tcW w:w="1378" w:type="dxa"/>
            <w:vAlign w:val="center"/>
          </w:tcPr>
          <w:p w14:paraId="543FDDD9" w14:textId="77777777" w:rsidR="00A37B0B" w:rsidRDefault="00A37B0B" w:rsidP="001043D8">
            <w:pPr>
              <w:jc w:val="center"/>
            </w:pPr>
            <w:r>
              <w:t>10%</w:t>
            </w:r>
          </w:p>
        </w:tc>
        <w:tc>
          <w:tcPr>
            <w:tcW w:w="2773" w:type="dxa"/>
            <w:vAlign w:val="center"/>
          </w:tcPr>
          <w:p w14:paraId="312EAFD7" w14:textId="77777777" w:rsidR="00A37B0B" w:rsidRDefault="00A37B0B" w:rsidP="001043D8">
            <w:pPr>
              <w:jc w:val="center"/>
            </w:pPr>
            <w:r>
              <w:t>10</w:t>
            </w:r>
          </w:p>
        </w:tc>
      </w:tr>
      <w:tr w:rsidR="00A37B0B" w14:paraId="1F21FC0B" w14:textId="77777777" w:rsidTr="001043D8">
        <w:tc>
          <w:tcPr>
            <w:tcW w:w="3995" w:type="dxa"/>
          </w:tcPr>
          <w:p w14:paraId="4E8F4501" w14:textId="77777777" w:rsidR="00A37B0B" w:rsidRDefault="00A37B0B" w:rsidP="001043D8">
            <w:r>
              <w:t>Móveis e utensílios</w:t>
            </w:r>
          </w:p>
        </w:tc>
        <w:tc>
          <w:tcPr>
            <w:tcW w:w="1378" w:type="dxa"/>
            <w:vAlign w:val="center"/>
          </w:tcPr>
          <w:p w14:paraId="6957080F" w14:textId="77777777" w:rsidR="00A37B0B" w:rsidRDefault="00A37B0B" w:rsidP="001043D8">
            <w:pPr>
              <w:jc w:val="center"/>
            </w:pPr>
            <w:r>
              <w:t>10%</w:t>
            </w:r>
          </w:p>
        </w:tc>
        <w:tc>
          <w:tcPr>
            <w:tcW w:w="2773" w:type="dxa"/>
            <w:vAlign w:val="center"/>
          </w:tcPr>
          <w:p w14:paraId="4ADD1957" w14:textId="77777777" w:rsidR="00A37B0B" w:rsidRDefault="00A37B0B" w:rsidP="001043D8">
            <w:pPr>
              <w:jc w:val="center"/>
            </w:pPr>
            <w:r>
              <w:t>10</w:t>
            </w:r>
          </w:p>
        </w:tc>
      </w:tr>
      <w:tr w:rsidR="00A37B0B" w14:paraId="6B714359" w14:textId="77777777" w:rsidTr="001043D8">
        <w:tc>
          <w:tcPr>
            <w:tcW w:w="3995" w:type="dxa"/>
          </w:tcPr>
          <w:p w14:paraId="75CEF8E0" w14:textId="77777777" w:rsidR="00A37B0B" w:rsidRDefault="00A37B0B" w:rsidP="001043D8">
            <w:r>
              <w:t>Veículos</w:t>
            </w:r>
          </w:p>
        </w:tc>
        <w:tc>
          <w:tcPr>
            <w:tcW w:w="1378" w:type="dxa"/>
            <w:vAlign w:val="center"/>
          </w:tcPr>
          <w:p w14:paraId="202EA323" w14:textId="77777777" w:rsidR="00A37B0B" w:rsidRDefault="00A37B0B" w:rsidP="001043D8">
            <w:pPr>
              <w:jc w:val="center"/>
            </w:pPr>
            <w:r>
              <w:t>20%</w:t>
            </w:r>
          </w:p>
        </w:tc>
        <w:tc>
          <w:tcPr>
            <w:tcW w:w="2773" w:type="dxa"/>
            <w:vAlign w:val="center"/>
          </w:tcPr>
          <w:p w14:paraId="38352FA3" w14:textId="77777777" w:rsidR="00A37B0B" w:rsidRDefault="00A37B0B" w:rsidP="001043D8">
            <w:pPr>
              <w:jc w:val="center"/>
            </w:pPr>
            <w:r>
              <w:t>5</w:t>
            </w:r>
          </w:p>
        </w:tc>
      </w:tr>
      <w:tr w:rsidR="00A37B0B" w14:paraId="21C4D716" w14:textId="77777777" w:rsidTr="001043D8">
        <w:tc>
          <w:tcPr>
            <w:tcW w:w="3995" w:type="dxa"/>
          </w:tcPr>
          <w:p w14:paraId="7331A3F1" w14:textId="77777777" w:rsidR="00A37B0B" w:rsidRDefault="00A37B0B" w:rsidP="001043D8">
            <w:r>
              <w:t>Sistemas de processamento de dados</w:t>
            </w:r>
          </w:p>
        </w:tc>
        <w:tc>
          <w:tcPr>
            <w:tcW w:w="1378" w:type="dxa"/>
            <w:vAlign w:val="center"/>
          </w:tcPr>
          <w:p w14:paraId="526B4312" w14:textId="77777777" w:rsidR="00A37B0B" w:rsidRDefault="00A37B0B" w:rsidP="001043D8">
            <w:pPr>
              <w:jc w:val="center"/>
            </w:pPr>
            <w:r>
              <w:t>20%</w:t>
            </w:r>
          </w:p>
        </w:tc>
        <w:tc>
          <w:tcPr>
            <w:tcW w:w="2773" w:type="dxa"/>
            <w:vAlign w:val="center"/>
          </w:tcPr>
          <w:p w14:paraId="77F8E061" w14:textId="77777777" w:rsidR="00A37B0B" w:rsidRDefault="00A37B0B" w:rsidP="001043D8">
            <w:pPr>
              <w:jc w:val="center"/>
            </w:pPr>
            <w:r>
              <w:t>5</w:t>
            </w:r>
          </w:p>
        </w:tc>
      </w:tr>
    </w:tbl>
    <w:p w14:paraId="177C258F" w14:textId="77777777" w:rsidR="00A37B0B" w:rsidRPr="00FF693F" w:rsidRDefault="00A37B0B" w:rsidP="00A37B0B">
      <w:r w:rsidRPr="00A646D6">
        <w:rPr>
          <w:b/>
          <w:bCs/>
        </w:rPr>
        <w:t>Fonte</w:t>
      </w:r>
      <w:r>
        <w:t xml:space="preserve">: </w:t>
      </w:r>
      <w:proofErr w:type="spellStart"/>
      <w:r>
        <w:t>Lubícibus</w:t>
      </w:r>
      <w:proofErr w:type="spellEnd"/>
      <w:r>
        <w:t xml:space="preserve"> </w:t>
      </w:r>
      <w:r w:rsidRPr="00D06AAA">
        <w:rPr>
          <w:i/>
        </w:rPr>
        <w:t>et. al</w:t>
      </w:r>
      <w:r>
        <w:t xml:space="preserve"> (2010, p. 249).</w:t>
      </w:r>
    </w:p>
    <w:p w14:paraId="10B9AC21" w14:textId="3A111DB2" w:rsidR="00A37B0B" w:rsidRDefault="00A37B0B" w:rsidP="00A37B0B"/>
    <w:p w14:paraId="3DAD0BC2" w14:textId="0B8AFA2D" w:rsidR="00E779A3" w:rsidRDefault="00E779A3" w:rsidP="00607E4C">
      <w:pPr>
        <w:ind w:firstLine="708"/>
        <w:jc w:val="both"/>
      </w:pPr>
      <w:r>
        <w:t xml:space="preserve">Trabalhando especificamente com a estimação do estoque de capital em infraestrutura </w:t>
      </w:r>
      <w:proofErr w:type="spellStart"/>
      <w:r w:rsidRPr="00C97FEF">
        <w:t>Frischtak</w:t>
      </w:r>
      <w:proofErr w:type="spellEnd"/>
      <w:r w:rsidRPr="00C97FEF">
        <w:t xml:space="preserve"> &amp; Mourão</w:t>
      </w:r>
      <w:r>
        <w:t xml:space="preserve"> (2001)</w:t>
      </w:r>
      <w:r>
        <w:t xml:space="preserve"> utilizam uma taxa constante ao longo do tempo, mas variável para os setores da infraestrutura. A única exceção é o setor de transportes, que recebe taxa de depreciação distinta entre 2001-2016. Os autores mostram através </w:t>
      </w:r>
      <w:r w:rsidR="00607E4C">
        <w:t xml:space="preserve">que existe </w:t>
      </w:r>
      <w:r>
        <w:t>consistência</w:t>
      </w:r>
      <w:r w:rsidR="00607E4C">
        <w:t xml:space="preserve"> n</w:t>
      </w:r>
      <w:r>
        <w:t xml:space="preserve">as estimativas de estoque de capital obtidas, </w:t>
      </w:r>
      <w:r w:rsidR="00607E4C">
        <w:t>caso ocorram algumas variações controladas das taxas de depreciações adotadas.</w:t>
      </w:r>
      <w:r>
        <w:t xml:space="preserve"> </w:t>
      </w:r>
      <w:r w:rsidR="00607E4C">
        <w:t xml:space="preserve">Pode-se observar que o setor de telecomunicações, mais intensivo em tecnológica, está exposto a uma maior obsolescência na sua infraestrutura. </w:t>
      </w:r>
    </w:p>
    <w:p w14:paraId="7A5B87CB" w14:textId="457B913C" w:rsidR="00E779A3" w:rsidRDefault="00E779A3" w:rsidP="00A37B0B"/>
    <w:p w14:paraId="307F74D4" w14:textId="24B1AE2D" w:rsidR="00E779A3" w:rsidRDefault="00E779A3" w:rsidP="00A37B0B"/>
    <w:p w14:paraId="5EA00B92" w14:textId="77777777" w:rsidR="00E779A3" w:rsidRDefault="00E779A3" w:rsidP="00A37B0B"/>
    <w:p w14:paraId="102E1A12" w14:textId="16E29D5A" w:rsidR="00E779A3" w:rsidRPr="00A646D6" w:rsidRDefault="00E779A3" w:rsidP="00E779A3">
      <w:pPr>
        <w:pStyle w:val="Legenda"/>
        <w:rPr>
          <w:b/>
          <w:bCs/>
          <w:i w:val="0"/>
          <w:iCs w:val="0"/>
          <w:color w:val="auto"/>
          <w:sz w:val="20"/>
          <w:szCs w:val="20"/>
        </w:rPr>
      </w:pPr>
      <w:r w:rsidRPr="00A646D6">
        <w:rPr>
          <w:b/>
          <w:bCs/>
          <w:i w:val="0"/>
          <w:iCs w:val="0"/>
          <w:color w:val="auto"/>
          <w:sz w:val="20"/>
          <w:szCs w:val="20"/>
        </w:rPr>
        <w:lastRenderedPageBreak/>
        <w:t xml:space="preserve">Tabela 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646D6">
        <w:rPr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646D6">
        <w:rPr>
          <w:b/>
          <w:bCs/>
          <w:i w:val="0"/>
          <w:iCs w:val="0"/>
          <w:noProof/>
          <w:color w:val="auto"/>
          <w:sz w:val="20"/>
          <w:szCs w:val="20"/>
        </w:rPr>
        <w:fldChar w:fldCharType="end"/>
      </w:r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: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Taxas 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de Depreciação </w:t>
      </w:r>
      <w:r>
        <w:rPr>
          <w:b/>
          <w:bCs/>
          <w:i w:val="0"/>
          <w:iCs w:val="0"/>
          <w:color w:val="auto"/>
          <w:sz w:val="20"/>
          <w:szCs w:val="20"/>
        </w:rPr>
        <w:t>para setores de Infraestrutura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t>.</w:t>
      </w:r>
    </w:p>
    <w:tbl>
      <w:tblPr>
        <w:tblStyle w:val="Tabelacomgrade"/>
        <w:tblW w:w="808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5"/>
        <w:gridCol w:w="4085"/>
      </w:tblGrid>
      <w:tr w:rsidR="00E779A3" w14:paraId="405C74E5" w14:textId="77777777" w:rsidTr="00E779A3">
        <w:tc>
          <w:tcPr>
            <w:tcW w:w="3995" w:type="dxa"/>
            <w:tcBorders>
              <w:top w:val="single" w:sz="4" w:space="0" w:color="auto"/>
              <w:bottom w:val="single" w:sz="4" w:space="0" w:color="auto"/>
            </w:tcBorders>
          </w:tcPr>
          <w:p w14:paraId="53AAD877" w14:textId="551ACFF8" w:rsidR="00E779A3" w:rsidRDefault="00E779A3" w:rsidP="00255888">
            <w:r>
              <w:t>Setor</w:t>
            </w:r>
          </w:p>
        </w:tc>
        <w:tc>
          <w:tcPr>
            <w:tcW w:w="4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F2259" w14:textId="11C9ED40" w:rsidR="00E779A3" w:rsidRPr="00B45532" w:rsidRDefault="00E779A3" w:rsidP="00255888">
            <w:pPr>
              <w:jc w:val="center"/>
            </w:pPr>
            <w:r w:rsidRPr="00B45532">
              <w:t xml:space="preserve">Taxa </w:t>
            </w:r>
            <w:r>
              <w:t>de Depreciação</w:t>
            </w:r>
          </w:p>
        </w:tc>
      </w:tr>
      <w:tr w:rsidR="00E779A3" w14:paraId="5E93CFAD" w14:textId="77777777" w:rsidTr="00E779A3">
        <w:tc>
          <w:tcPr>
            <w:tcW w:w="3995" w:type="dxa"/>
            <w:tcBorders>
              <w:top w:val="single" w:sz="4" w:space="0" w:color="auto"/>
            </w:tcBorders>
          </w:tcPr>
          <w:p w14:paraId="35FD5254" w14:textId="18234A52" w:rsidR="00E779A3" w:rsidRDefault="00E779A3" w:rsidP="00255888">
            <w:r>
              <w:t>Energia Elétrica</w:t>
            </w:r>
          </w:p>
        </w:tc>
        <w:tc>
          <w:tcPr>
            <w:tcW w:w="4085" w:type="dxa"/>
            <w:tcBorders>
              <w:top w:val="single" w:sz="4" w:space="0" w:color="auto"/>
            </w:tcBorders>
            <w:vAlign w:val="center"/>
          </w:tcPr>
          <w:p w14:paraId="524C31E3" w14:textId="718A30F4" w:rsidR="00E779A3" w:rsidRDefault="00E779A3" w:rsidP="00E779A3">
            <w:pPr>
              <w:jc w:val="center"/>
            </w:pPr>
            <w:r>
              <w:t>3,00%</w:t>
            </w:r>
          </w:p>
        </w:tc>
      </w:tr>
      <w:tr w:rsidR="00E779A3" w14:paraId="25CCD9AE" w14:textId="77777777" w:rsidTr="00E779A3">
        <w:tc>
          <w:tcPr>
            <w:tcW w:w="3995" w:type="dxa"/>
          </w:tcPr>
          <w:p w14:paraId="67931076" w14:textId="4EF71AE2" w:rsidR="00E779A3" w:rsidRDefault="00E779A3" w:rsidP="00255888">
            <w:r>
              <w:t>Telecomunicações</w:t>
            </w:r>
          </w:p>
        </w:tc>
        <w:tc>
          <w:tcPr>
            <w:tcW w:w="4085" w:type="dxa"/>
            <w:vAlign w:val="center"/>
          </w:tcPr>
          <w:p w14:paraId="0FEB7F4C" w14:textId="5D84FDFF" w:rsidR="00E779A3" w:rsidRDefault="00E779A3" w:rsidP="00255888">
            <w:pPr>
              <w:jc w:val="center"/>
            </w:pPr>
            <w:r>
              <w:t>8,00</w:t>
            </w:r>
            <w:r>
              <w:t>%</w:t>
            </w:r>
          </w:p>
        </w:tc>
      </w:tr>
      <w:tr w:rsidR="00E779A3" w14:paraId="5EA95177" w14:textId="77777777" w:rsidTr="00E779A3">
        <w:tc>
          <w:tcPr>
            <w:tcW w:w="3995" w:type="dxa"/>
          </w:tcPr>
          <w:p w14:paraId="3EC7B78F" w14:textId="767D8383" w:rsidR="00E779A3" w:rsidRDefault="00E779A3" w:rsidP="00255888">
            <w:r>
              <w:t>Saneamento</w:t>
            </w:r>
          </w:p>
        </w:tc>
        <w:tc>
          <w:tcPr>
            <w:tcW w:w="4085" w:type="dxa"/>
            <w:vAlign w:val="center"/>
          </w:tcPr>
          <w:p w14:paraId="0ED9D081" w14:textId="062917FE" w:rsidR="00E779A3" w:rsidRDefault="00E779A3" w:rsidP="00255888">
            <w:pPr>
              <w:jc w:val="center"/>
            </w:pPr>
            <w:r>
              <w:t>2,27</w:t>
            </w:r>
            <w:r>
              <w:t>%</w:t>
            </w:r>
          </w:p>
        </w:tc>
      </w:tr>
      <w:tr w:rsidR="00E779A3" w14:paraId="34228A3D" w14:textId="77777777" w:rsidTr="00E779A3">
        <w:tc>
          <w:tcPr>
            <w:tcW w:w="3995" w:type="dxa"/>
            <w:tcBorders>
              <w:bottom w:val="single" w:sz="4" w:space="0" w:color="auto"/>
            </w:tcBorders>
          </w:tcPr>
          <w:p w14:paraId="20A72EA7" w14:textId="0D571E04" w:rsidR="00E779A3" w:rsidRDefault="00E779A3" w:rsidP="00255888">
            <w:r>
              <w:t>Transportes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vAlign w:val="center"/>
          </w:tcPr>
          <w:p w14:paraId="48B59023" w14:textId="506225C5" w:rsidR="00E779A3" w:rsidRDefault="00E779A3" w:rsidP="00255888">
            <w:pPr>
              <w:jc w:val="center"/>
            </w:pPr>
            <w:r>
              <w:t>4,33</w:t>
            </w:r>
            <w:r>
              <w:t>%</w:t>
            </w:r>
          </w:p>
        </w:tc>
      </w:tr>
      <w:tr w:rsidR="00E779A3" w14:paraId="541EEA19" w14:textId="77777777" w:rsidTr="00E779A3">
        <w:tc>
          <w:tcPr>
            <w:tcW w:w="3995" w:type="dxa"/>
            <w:tcBorders>
              <w:top w:val="single" w:sz="4" w:space="0" w:color="auto"/>
              <w:bottom w:val="single" w:sz="4" w:space="0" w:color="auto"/>
            </w:tcBorders>
          </w:tcPr>
          <w:p w14:paraId="0113399C" w14:textId="70938145" w:rsidR="00E779A3" w:rsidRDefault="00E779A3" w:rsidP="00255888">
            <w:r>
              <w:t>Total</w:t>
            </w:r>
          </w:p>
        </w:tc>
        <w:tc>
          <w:tcPr>
            <w:tcW w:w="4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5CF5E" w14:textId="33259995" w:rsidR="00E779A3" w:rsidRDefault="00E779A3" w:rsidP="00255888">
            <w:pPr>
              <w:jc w:val="center"/>
            </w:pPr>
            <w:r>
              <w:t>3,90</w:t>
            </w:r>
            <w:r>
              <w:t>%</w:t>
            </w:r>
          </w:p>
        </w:tc>
      </w:tr>
    </w:tbl>
    <w:p w14:paraId="4107A663" w14:textId="77777777" w:rsidR="00E779A3" w:rsidRPr="00FF693F" w:rsidRDefault="00E779A3" w:rsidP="00E779A3">
      <w:r w:rsidRPr="00A646D6">
        <w:rPr>
          <w:b/>
          <w:bCs/>
        </w:rPr>
        <w:t>Fonte</w:t>
      </w:r>
      <w:r>
        <w:t xml:space="preserve">: </w:t>
      </w:r>
      <w:proofErr w:type="spellStart"/>
      <w:r>
        <w:t>Lubícibus</w:t>
      </w:r>
      <w:proofErr w:type="spellEnd"/>
      <w:r>
        <w:t xml:space="preserve"> </w:t>
      </w:r>
      <w:r w:rsidRPr="00D06AAA">
        <w:rPr>
          <w:i/>
        </w:rPr>
        <w:t>et. al</w:t>
      </w:r>
      <w:r>
        <w:t xml:space="preserve"> (2010, p. 249).</w:t>
      </w:r>
    </w:p>
    <w:p w14:paraId="3E0D24E9" w14:textId="5D86ED9E" w:rsidR="00A37B0B" w:rsidRDefault="00A37B0B" w:rsidP="00A37B0B"/>
    <w:p w14:paraId="1C56B572" w14:textId="77777777" w:rsidR="00E779A3" w:rsidRDefault="00E779A3" w:rsidP="00A37B0B"/>
    <w:p w14:paraId="194DDDF5" w14:textId="77777777" w:rsidR="00A37B0B" w:rsidRPr="00C3623B" w:rsidRDefault="00A37B0B" w:rsidP="00A37B0B">
      <w:pPr>
        <w:pStyle w:val="PargrafodaLista"/>
        <w:numPr>
          <w:ilvl w:val="0"/>
          <w:numId w:val="1"/>
        </w:numPr>
        <w:ind w:left="0" w:firstLine="0"/>
        <w:outlineLvl w:val="0"/>
        <w:rPr>
          <w:b/>
        </w:rPr>
      </w:pPr>
      <w:r>
        <w:rPr>
          <w:b/>
        </w:rPr>
        <w:t xml:space="preserve">Utilização das Baixas como Taxa de Depreciação </w:t>
      </w:r>
    </w:p>
    <w:p w14:paraId="5B48B547" w14:textId="77777777" w:rsidR="00A37B0B" w:rsidRDefault="00A37B0B" w:rsidP="00A37B0B">
      <w:pPr>
        <w:ind w:firstLine="708"/>
        <w:jc w:val="both"/>
      </w:pPr>
      <w:r>
        <w:t xml:space="preserve">Uma das críticas da aplicação do método do inventário perpétuo em dados é a utilização de uma taxa de depreciação fixa. Muitos trabalhos adotaram a taxa de depreciação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5%</m:t>
        </m:r>
      </m:oMath>
      <w:r>
        <w:t xml:space="preserve"> ao longo de todo período de tempo. Entretanto, pela tabela 1, a heterogeneidade na composição de estoque de capital dos setores levaria a diferentes taxas de depreciação.</w:t>
      </w:r>
    </w:p>
    <w:p w14:paraId="0F5F4441" w14:textId="77777777" w:rsidR="00A37B0B" w:rsidRPr="0027334E" w:rsidRDefault="00A37B0B" w:rsidP="00A37B0B">
      <w:pPr>
        <w:jc w:val="both"/>
      </w:pPr>
      <w:r>
        <w:t xml:space="preserve">Caso existe a disponibilidade e o acesso as </w:t>
      </w:r>
      <w:r w:rsidRPr="0027334E">
        <w:rPr>
          <w:rFonts w:eastAsiaTheme="minorEastAsia"/>
        </w:rPr>
        <w:t xml:space="preserve">declarações de baixas </w:t>
      </w:r>
      <w:r>
        <w:rPr>
          <w:rFonts w:eastAsiaTheme="minorEastAsia"/>
        </w:rPr>
        <w:t>de</w:t>
      </w:r>
      <w:r w:rsidRPr="0027334E">
        <w:rPr>
          <w:rFonts w:eastAsiaTheme="minorEastAsia"/>
        </w:rPr>
        <w:t xml:space="preserve"> máquina</w:t>
      </w:r>
      <w:r>
        <w:rPr>
          <w:rFonts w:eastAsiaTheme="minorEastAsia"/>
        </w:rPr>
        <w:t>s, meios de transporte, e outras estruturas físicas</w:t>
      </w:r>
      <w:r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estas podem ser usadas como medida aproximada da taxa de depreciação</w:t>
      </w:r>
      <w:r>
        <w:t>. Demostramos isto através da decomposição do inventário perpétuo conforme:</w:t>
      </w:r>
    </w:p>
    <w:p w14:paraId="54CA34D3" w14:textId="77777777" w:rsidR="00A37B0B" w:rsidRDefault="00A37B0B" w:rsidP="00A37B0B"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</m:e>
        </m:d>
      </m:oMath>
    </w:p>
    <w:p w14:paraId="6C5959DE" w14:textId="77777777" w:rsidR="00A37B0B" w:rsidRPr="0027334E" w:rsidRDefault="00A37B0B" w:rsidP="00A37B0B">
      <w:pPr>
        <w:ind w:firstLine="708"/>
      </w:pPr>
      <w:r>
        <w:t>A relação entre as baixas e a taxa de depreciação aparece em:</w:t>
      </w:r>
      <w:r w:rsidRPr="00273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it-</m:t>
                </m:r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O método </w:t>
      </w:r>
      <w:r>
        <w:t>do</w:t>
      </w:r>
      <w:r w:rsidRPr="0027334E">
        <w:t xml:space="preserve"> inventário perpétuo pode ser </w:t>
      </w:r>
      <w:r>
        <w:t>re</w:t>
      </w:r>
      <w:r w:rsidRPr="0027334E">
        <w:t>escrito como:</w:t>
      </w:r>
    </w:p>
    <w:p w14:paraId="3AD983F9" w14:textId="77777777" w:rsidR="00A37B0B" w:rsidRDefault="00A37B0B" w:rsidP="00A37B0B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5A8B7B5" w14:textId="77777777" w:rsidR="00A37B0B" w:rsidRDefault="00A37B0B" w:rsidP="00A37B0B">
      <w:r w:rsidRPr="00D13039">
        <w:t>onde</w:t>
      </w:r>
      <w:r>
        <w:t>,</w:t>
      </w:r>
      <w:r w:rsidRPr="00D130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>
        <w:t>,</w:t>
      </w:r>
      <w:r w:rsidRPr="00D130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 w:rsidRPr="00D13039">
        <w:t xml:space="preserve"> representam, respectivamente, o estoque de capital</w:t>
      </w:r>
      <w:r>
        <w:t xml:space="preserve">, </w:t>
      </w:r>
      <w:r w:rsidRPr="00D13039">
        <w:t>o investimento</w:t>
      </w:r>
      <w:r>
        <w:t>,</w:t>
      </w:r>
      <w:r w:rsidRPr="00D13039">
        <w:t xml:space="preserve"> </w:t>
      </w:r>
      <w:r>
        <w:t xml:space="preserve">as baixas do setor </w:t>
      </w:r>
      <w:r w:rsidRPr="00D13039">
        <w:rPr>
          <w:i/>
        </w:rPr>
        <w:t>i</w:t>
      </w:r>
      <w:r>
        <w:t>,</w:t>
      </w:r>
      <w:r>
        <w:rPr>
          <w:i/>
        </w:rPr>
        <w:t xml:space="preserve"> </w:t>
      </w:r>
      <w:r w:rsidRPr="00D13039">
        <w:t xml:space="preserve">no ano </w:t>
      </w:r>
      <w:r w:rsidRPr="00D13039">
        <w:rPr>
          <w:i/>
        </w:rPr>
        <w:t>t</w:t>
      </w:r>
      <w:r w:rsidRPr="00D13039">
        <w:t xml:space="preserve">. </w:t>
      </w:r>
    </w:p>
    <w:p w14:paraId="6D81BAC2" w14:textId="6A4F15B2" w:rsidR="001B24AC" w:rsidRDefault="00C97FEF" w:rsidP="00EE2436">
      <w:pPr>
        <w:spacing w:line="240" w:lineRule="auto"/>
        <w:ind w:firstLine="708"/>
        <w:jc w:val="both"/>
      </w:pPr>
      <w:r>
        <w:t>De forma geral, o cálculo do estoque de capital demanda três informações essenciais: (i) Estoque inicial; (</w:t>
      </w:r>
      <w:proofErr w:type="spellStart"/>
      <w:r>
        <w:t>ii</w:t>
      </w:r>
      <w:proofErr w:type="spellEnd"/>
      <w:r>
        <w:t>) Investimentos realizados no período de referência, (</w:t>
      </w:r>
      <w:proofErr w:type="spellStart"/>
      <w:r>
        <w:t>ii</w:t>
      </w:r>
      <w:proofErr w:type="spellEnd"/>
      <w:r>
        <w:t xml:space="preserve">) e a taxa de depreciação dos ativos constituídos ao longo dos anos. </w:t>
      </w:r>
      <w:r w:rsidR="00E24554">
        <w:t xml:space="preserve">Quando precisamos obter uma estimativa confiável do estoque especificamente para infraestrutura, </w:t>
      </w:r>
      <w:r>
        <w:t xml:space="preserve">os fluxos de investimento precisam incluir os </w:t>
      </w:r>
      <w:r w:rsidR="00E24554">
        <w:t>investimento</w:t>
      </w:r>
      <w:r>
        <w:t>s</w:t>
      </w:r>
      <w:r w:rsidR="00E24554">
        <w:t xml:space="preserve"> públicos e privados</w:t>
      </w:r>
      <w:r>
        <w:t xml:space="preserve"> (</w:t>
      </w:r>
      <w:proofErr w:type="spellStart"/>
      <w:r w:rsidRPr="00C97FEF">
        <w:t>Frischtak</w:t>
      </w:r>
      <w:proofErr w:type="spellEnd"/>
      <w:r w:rsidRPr="00C97FEF">
        <w:t>, C. &amp; Mourão</w:t>
      </w:r>
      <w:r>
        <w:t>)</w:t>
      </w:r>
      <w:r w:rsidR="00E24554">
        <w:t>.</w:t>
      </w:r>
      <w:r>
        <w:t xml:space="preserve"> </w:t>
      </w:r>
      <w:r w:rsidR="00E24554">
        <w:t xml:space="preserve">Outro aspecto importante a se considerar </w:t>
      </w:r>
      <w:r>
        <w:t xml:space="preserve">na estimação de estoque de capital em infraestrutura </w:t>
      </w:r>
      <w:r w:rsidR="00E24554">
        <w:t xml:space="preserve">é </w:t>
      </w:r>
      <w:r>
        <w:t>o estabelecimento de uma</w:t>
      </w:r>
      <w:r w:rsidR="00E24554">
        <w:t xml:space="preserve"> taxa de depreciação</w:t>
      </w:r>
      <w:r>
        <w:t xml:space="preserve"> adequada</w:t>
      </w:r>
      <w:r w:rsidR="00E24554">
        <w:t xml:space="preserve">, construída </w:t>
      </w:r>
      <w:r>
        <w:t xml:space="preserve">preferencialmente </w:t>
      </w:r>
      <w:r w:rsidR="00E24554">
        <w:t>no nível setorial.</w:t>
      </w:r>
    </w:p>
    <w:p w14:paraId="62708683" w14:textId="4C998372" w:rsidR="00E24554" w:rsidRDefault="007269A4" w:rsidP="00607E4C">
      <w:pPr>
        <w:spacing w:line="240" w:lineRule="auto"/>
        <w:ind w:firstLine="709"/>
        <w:jc w:val="both"/>
      </w:pPr>
      <w:r>
        <w:t xml:space="preserve">A necessidade de padronização das metodologias de estimação do estoque de capital foi tema um manual lançado pela OCDE, cuja metodologia permitiu estimar o estoque de capital público de forma padronizada para países da OCDE.  Conforme os resultados reproduzidos em públicos </w:t>
      </w:r>
      <w:proofErr w:type="spellStart"/>
      <w:r w:rsidRPr="00C97FEF">
        <w:t>Frischtak</w:t>
      </w:r>
      <w:proofErr w:type="spellEnd"/>
      <w:r w:rsidRPr="00C97FEF">
        <w:t xml:space="preserve"> &amp; Mourão</w:t>
      </w:r>
      <w:r>
        <w:t xml:space="preserve"> (2001), nos anos recentes poucos países ampliaram a participação do estoque de capital em infraestrutura como fração do PIB</w:t>
      </w:r>
      <w:r w:rsidR="00C055F3">
        <w:t xml:space="preserve"> (</w:t>
      </w:r>
      <w:r w:rsidR="00805A43" w:rsidRPr="00607E4C">
        <w:fldChar w:fldCharType="begin"/>
      </w:r>
      <w:r w:rsidR="00805A43" w:rsidRPr="00607E4C">
        <w:instrText xml:space="preserve"> REF _Ref8070904 \h </w:instrText>
      </w:r>
      <w:r w:rsidR="00805A43" w:rsidRPr="00607E4C">
        <w:instrText xml:space="preserve"> \* MERGEFORMAT </w:instrText>
      </w:r>
      <w:r w:rsidR="00805A43" w:rsidRPr="00607E4C">
        <w:fldChar w:fldCharType="separate"/>
      </w:r>
      <w:r w:rsidR="00607E4C" w:rsidRPr="00607E4C">
        <w:t xml:space="preserve">Tabela </w:t>
      </w:r>
      <w:r w:rsidR="00607E4C" w:rsidRPr="00607E4C">
        <w:rPr>
          <w:noProof/>
        </w:rPr>
        <w:t>3</w:t>
      </w:r>
      <w:r w:rsidR="00805A43" w:rsidRPr="00607E4C">
        <w:fldChar w:fldCharType="end"/>
      </w:r>
      <w:r w:rsidR="00C055F3">
        <w:t>)</w:t>
      </w:r>
      <w:r>
        <w:t>.</w:t>
      </w:r>
    </w:p>
    <w:p w14:paraId="16F44E09" w14:textId="1BF74A86" w:rsidR="00EE2436" w:rsidRDefault="00607E4C" w:rsidP="00607E4C">
      <w:pPr>
        <w:ind w:firstLine="708"/>
        <w:jc w:val="both"/>
      </w:pPr>
      <w:r>
        <w:lastRenderedPageBreak/>
        <w:t xml:space="preserve">Observa-se a liderança do Japão, Nova Zelândia e países desenvolvidos do continente europeu na acumulação de estoque de capital. Em relação a década de 1980 poucos </w:t>
      </w:r>
      <w:r>
        <w:t>países da ampliaram os gastos públicos</w:t>
      </w:r>
      <w:r>
        <w:t xml:space="preserve"> </w:t>
      </w:r>
      <w:r>
        <w:t>em infraestrutura</w:t>
      </w:r>
      <w:r>
        <w:t xml:space="preserve">. Países como Portugal, Espanha e Grécia, que entraram na OCDE mais recentemente, apresentaram uma expansão dos seu estoque de capital em infraestrutura como proporção do PIB </w:t>
      </w:r>
      <w:r>
        <w:t>(</w:t>
      </w:r>
      <w:r w:rsidRPr="00607E4C">
        <w:fldChar w:fldCharType="begin"/>
      </w:r>
      <w:r w:rsidRPr="00607E4C">
        <w:instrText xml:space="preserve"> REF _Ref8070904 \h </w:instrText>
      </w:r>
      <w:r w:rsidRPr="00607E4C">
        <w:instrText xml:space="preserve"> \* MERGEFORMAT </w:instrText>
      </w:r>
      <w:r w:rsidRPr="00607E4C">
        <w:fldChar w:fldCharType="separate"/>
      </w:r>
      <w:r w:rsidRPr="00607E4C">
        <w:t xml:space="preserve">Tabela </w:t>
      </w:r>
      <w:r w:rsidRPr="00607E4C">
        <w:rPr>
          <w:noProof/>
        </w:rPr>
        <w:t>3</w:t>
      </w:r>
      <w:r w:rsidRPr="00607E4C">
        <w:fldChar w:fldCharType="end"/>
      </w:r>
      <w:r>
        <w:t>)</w:t>
      </w:r>
      <w:r>
        <w:t xml:space="preserve">. </w:t>
      </w:r>
      <w:r>
        <w:t>Infelizmente as estimativas não incluem o Brasil.</w:t>
      </w:r>
    </w:p>
    <w:p w14:paraId="1DF9B0D2" w14:textId="77777777" w:rsidR="00EE2436" w:rsidRDefault="00EE2436" w:rsidP="007269A4"/>
    <w:p w14:paraId="6656872E" w14:textId="1739B2DA" w:rsidR="007269A4" w:rsidRPr="00A646D6" w:rsidRDefault="007269A4" w:rsidP="007269A4">
      <w:pPr>
        <w:pStyle w:val="Legenda"/>
        <w:spacing w:after="0"/>
        <w:rPr>
          <w:b/>
          <w:bCs/>
          <w:i w:val="0"/>
          <w:iCs w:val="0"/>
          <w:color w:val="auto"/>
          <w:sz w:val="20"/>
          <w:szCs w:val="20"/>
        </w:rPr>
      </w:pPr>
      <w:bookmarkStart w:id="0" w:name="_Ref8070904"/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646D6">
        <w:rPr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07E4C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0"/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 - Estoque de Capital de países da OCDE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4"/>
        <w:gridCol w:w="2644"/>
        <w:gridCol w:w="2645"/>
      </w:tblGrid>
      <w:tr w:rsidR="000E71E5" w14:paraId="34E84848" w14:textId="77777777" w:rsidTr="007269A4">
        <w:tc>
          <w:tcPr>
            <w:tcW w:w="2644" w:type="dxa"/>
            <w:tcBorders>
              <w:bottom w:val="single" w:sz="4" w:space="0" w:color="auto"/>
            </w:tcBorders>
          </w:tcPr>
          <w:p w14:paraId="33F9B572" w14:textId="30E25358" w:rsidR="000E71E5" w:rsidRDefault="000E71E5" w:rsidP="00E24554">
            <w:r>
              <w:t>Pais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center"/>
          </w:tcPr>
          <w:p w14:paraId="0DB2A5B1" w14:textId="0CDF73FF" w:rsidR="000E71E5" w:rsidRDefault="000E71E5" w:rsidP="00C96D31">
            <w:pPr>
              <w:jc w:val="center"/>
            </w:pPr>
            <w:r>
              <w:t>1980</w:t>
            </w: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14:paraId="198B3186" w14:textId="5F0022B7" w:rsidR="000E71E5" w:rsidRDefault="000E71E5" w:rsidP="00C96D31">
            <w:pPr>
              <w:jc w:val="center"/>
            </w:pPr>
            <w:r>
              <w:t>2000</w:t>
            </w:r>
          </w:p>
        </w:tc>
      </w:tr>
      <w:tr w:rsidR="000E71E5" w14:paraId="0A90E3D0" w14:textId="77777777" w:rsidTr="007269A4">
        <w:tc>
          <w:tcPr>
            <w:tcW w:w="2644" w:type="dxa"/>
            <w:tcBorders>
              <w:top w:val="single" w:sz="4" w:space="0" w:color="auto"/>
              <w:bottom w:val="nil"/>
            </w:tcBorders>
          </w:tcPr>
          <w:p w14:paraId="4E29BBBC" w14:textId="38760705" w:rsidR="000E71E5" w:rsidRDefault="000E71E5" w:rsidP="00E24554">
            <w:r>
              <w:t>Japão</w:t>
            </w:r>
          </w:p>
        </w:tc>
        <w:tc>
          <w:tcPr>
            <w:tcW w:w="2644" w:type="dxa"/>
            <w:tcBorders>
              <w:top w:val="single" w:sz="4" w:space="0" w:color="auto"/>
              <w:bottom w:val="nil"/>
            </w:tcBorders>
            <w:vAlign w:val="center"/>
          </w:tcPr>
          <w:p w14:paraId="32140360" w14:textId="00217D8B" w:rsidR="000E71E5" w:rsidRDefault="000E71E5" w:rsidP="00C96D31">
            <w:pPr>
              <w:jc w:val="center"/>
            </w:pPr>
            <w:r>
              <w:t>98</w:t>
            </w:r>
          </w:p>
        </w:tc>
        <w:tc>
          <w:tcPr>
            <w:tcW w:w="2645" w:type="dxa"/>
            <w:tcBorders>
              <w:top w:val="single" w:sz="4" w:space="0" w:color="auto"/>
              <w:bottom w:val="nil"/>
            </w:tcBorders>
            <w:vAlign w:val="center"/>
          </w:tcPr>
          <w:p w14:paraId="44D238D1" w14:textId="560D2BEE" w:rsidR="000E71E5" w:rsidRDefault="000E71E5" w:rsidP="00C96D31">
            <w:pPr>
              <w:jc w:val="center"/>
            </w:pPr>
            <w:r>
              <w:t>117</w:t>
            </w:r>
          </w:p>
        </w:tc>
      </w:tr>
      <w:tr w:rsidR="000E71E5" w14:paraId="4E8B0506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73805D61" w14:textId="63701BB4" w:rsidR="000E71E5" w:rsidRDefault="000E71E5" w:rsidP="00E24554">
            <w:r>
              <w:t>Nova Zelândia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1E8B42A2" w14:textId="156AC029" w:rsidR="000E71E5" w:rsidRDefault="000E71E5" w:rsidP="00C96D31">
            <w:pPr>
              <w:jc w:val="center"/>
            </w:pPr>
            <w:r>
              <w:t>110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5F880602" w14:textId="1DAE2506" w:rsidR="000E71E5" w:rsidRDefault="000E71E5" w:rsidP="00C96D31">
            <w:pPr>
              <w:jc w:val="center"/>
            </w:pPr>
            <w:r>
              <w:t>77</w:t>
            </w:r>
          </w:p>
        </w:tc>
      </w:tr>
      <w:tr w:rsidR="000E71E5" w14:paraId="6E2CCC15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464C9118" w14:textId="074715CB" w:rsidR="000E71E5" w:rsidRDefault="000E71E5" w:rsidP="00E24554">
            <w:r>
              <w:t>Áustria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02672CC0" w14:textId="5758090A" w:rsidR="000E71E5" w:rsidRDefault="000E71E5" w:rsidP="00C96D31">
            <w:pPr>
              <w:jc w:val="center"/>
            </w:pPr>
            <w:r>
              <w:t>75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4B2C6BDC" w14:textId="5B57CDBB" w:rsidR="000E71E5" w:rsidRDefault="000E71E5" w:rsidP="00C96D31">
            <w:pPr>
              <w:jc w:val="center"/>
            </w:pPr>
            <w:r>
              <w:t>57</w:t>
            </w:r>
          </w:p>
        </w:tc>
      </w:tr>
      <w:tr w:rsidR="000E71E5" w14:paraId="478DFC81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479E24B0" w14:textId="1D1CA136" w:rsidR="000E71E5" w:rsidRDefault="000E71E5" w:rsidP="00E24554">
            <w:r>
              <w:t>Holanda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18F24370" w14:textId="329A96FB" w:rsidR="000E71E5" w:rsidRDefault="000E71E5" w:rsidP="00C96D31">
            <w:pPr>
              <w:jc w:val="center"/>
            </w:pPr>
            <w:r>
              <w:t>80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2111EED0" w14:textId="3E648D49" w:rsidR="000E71E5" w:rsidRDefault="000E71E5" w:rsidP="00C96D31">
            <w:pPr>
              <w:jc w:val="center"/>
            </w:pPr>
            <w:r>
              <w:t>56</w:t>
            </w:r>
          </w:p>
        </w:tc>
      </w:tr>
      <w:tr w:rsidR="000E71E5" w14:paraId="1128B67B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2D1CC63E" w14:textId="0FA67D31" w:rsidR="000E71E5" w:rsidRDefault="000E71E5" w:rsidP="00E24554">
            <w:r>
              <w:t>Suíça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43EE0925" w14:textId="668D34AE" w:rsidR="000E71E5" w:rsidRDefault="000E71E5" w:rsidP="00C96D31">
            <w:pPr>
              <w:jc w:val="center"/>
            </w:pPr>
            <w:r>
              <w:t>46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1DE1BB5E" w14:textId="506BE857" w:rsidR="000E71E5" w:rsidRDefault="000E71E5" w:rsidP="00C96D31">
            <w:pPr>
              <w:jc w:val="center"/>
            </w:pPr>
            <w:r>
              <w:t>55</w:t>
            </w:r>
          </w:p>
        </w:tc>
      </w:tr>
      <w:tr w:rsidR="000E71E5" w14:paraId="32DBC2A9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7036AD3F" w14:textId="52210AF1" w:rsidR="000E71E5" w:rsidRDefault="000E71E5" w:rsidP="00E24554">
            <w:r>
              <w:t>França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7CA142F8" w14:textId="34EA670C" w:rsidR="000E71E5" w:rsidRDefault="000E71E5" w:rsidP="00C96D31">
            <w:pPr>
              <w:jc w:val="center"/>
            </w:pPr>
            <w:r>
              <w:t>55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51931250" w14:textId="1051557E" w:rsidR="000E71E5" w:rsidRDefault="000E71E5" w:rsidP="00C96D31">
            <w:pPr>
              <w:jc w:val="center"/>
            </w:pPr>
            <w:r>
              <w:t>54</w:t>
            </w:r>
          </w:p>
        </w:tc>
      </w:tr>
      <w:tr w:rsidR="000E71E5" w14:paraId="410C933E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44017939" w14:textId="6D544C24" w:rsidR="000E71E5" w:rsidRDefault="000E71E5" w:rsidP="00E24554">
            <w:r>
              <w:t>Grécia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07945C79" w14:textId="6FBF9F16" w:rsidR="000E71E5" w:rsidRDefault="000E71E5" w:rsidP="00C96D31">
            <w:pPr>
              <w:jc w:val="center"/>
            </w:pPr>
            <w:r>
              <w:t>44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61AC3C7C" w14:textId="318F0961" w:rsidR="000E71E5" w:rsidRDefault="000E71E5" w:rsidP="00C96D31">
            <w:pPr>
              <w:jc w:val="center"/>
            </w:pPr>
            <w:r>
              <w:t>51</w:t>
            </w:r>
          </w:p>
        </w:tc>
      </w:tr>
      <w:tr w:rsidR="000E71E5" w14:paraId="29B83797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1A798D63" w14:textId="28C9C9A3" w:rsidR="000E71E5" w:rsidRDefault="000E71E5" w:rsidP="00E24554">
            <w:r>
              <w:t>Islândia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4431DCF7" w14:textId="3C045754" w:rsidR="000E71E5" w:rsidRDefault="000E71E5" w:rsidP="00C96D31">
            <w:pPr>
              <w:jc w:val="center"/>
            </w:pPr>
            <w:r>
              <w:t>48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47F6CCF1" w14:textId="77F18456" w:rsidR="000E71E5" w:rsidRDefault="000E71E5" w:rsidP="00C96D31">
            <w:pPr>
              <w:jc w:val="center"/>
            </w:pPr>
            <w:r>
              <w:t>51</w:t>
            </w:r>
          </w:p>
        </w:tc>
      </w:tr>
      <w:tr w:rsidR="000E71E5" w14:paraId="4624356B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1B395494" w14:textId="34B55CCC" w:rsidR="000E71E5" w:rsidRDefault="000E71E5" w:rsidP="00E24554">
            <w:r>
              <w:t>Noruega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016E7881" w14:textId="389E92B9" w:rsidR="000E71E5" w:rsidRDefault="00D958EA" w:rsidP="00C96D31">
            <w:pPr>
              <w:jc w:val="center"/>
            </w:pPr>
            <w:r>
              <w:t>49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06118BF6" w14:textId="6EF1F4AE" w:rsidR="000E71E5" w:rsidRDefault="00D958EA" w:rsidP="00C96D31">
            <w:pPr>
              <w:jc w:val="center"/>
            </w:pPr>
            <w:r>
              <w:t>51</w:t>
            </w:r>
          </w:p>
        </w:tc>
      </w:tr>
      <w:tr w:rsidR="000E71E5" w14:paraId="17C19D63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421C38D8" w14:textId="0C054CDF" w:rsidR="000E71E5" w:rsidRDefault="000E71E5" w:rsidP="00E24554">
            <w:r>
              <w:t>Estados Unidos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4FBD7BB4" w14:textId="33F15189" w:rsidR="000E71E5" w:rsidRDefault="00D958EA" w:rsidP="00C96D31">
            <w:pPr>
              <w:jc w:val="center"/>
            </w:pPr>
            <w:r>
              <w:t>60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333F7BF0" w14:textId="4A4C2FB7" w:rsidR="000E71E5" w:rsidRDefault="00D958EA" w:rsidP="00C96D31">
            <w:pPr>
              <w:jc w:val="center"/>
            </w:pPr>
            <w:r>
              <w:t>50</w:t>
            </w:r>
          </w:p>
        </w:tc>
      </w:tr>
      <w:tr w:rsidR="000E71E5" w14:paraId="04F7BD99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79BF8DB8" w14:textId="2F30DA52" w:rsidR="000E71E5" w:rsidRDefault="000E71E5" w:rsidP="00E24554">
            <w:r>
              <w:t>Itália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44ACB2DF" w14:textId="19464918" w:rsidR="000E71E5" w:rsidRDefault="00D958EA" w:rsidP="00C96D31">
            <w:pPr>
              <w:jc w:val="center"/>
            </w:pPr>
            <w:r>
              <w:t>45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3056E590" w14:textId="0D95E5C3" w:rsidR="000E71E5" w:rsidRDefault="00D958EA" w:rsidP="00C96D31">
            <w:pPr>
              <w:jc w:val="center"/>
            </w:pPr>
            <w:r>
              <w:t>48</w:t>
            </w:r>
          </w:p>
        </w:tc>
      </w:tr>
      <w:tr w:rsidR="000E71E5" w14:paraId="202F48D3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2F315CB7" w14:textId="62602ECB" w:rsidR="000E71E5" w:rsidRDefault="000E71E5" w:rsidP="00E24554">
            <w:r>
              <w:t>Espanha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13BEB2EC" w14:textId="646AC395" w:rsidR="000E71E5" w:rsidRDefault="00D958EA" w:rsidP="00C96D31">
            <w:pPr>
              <w:jc w:val="center"/>
            </w:pPr>
            <w:r>
              <w:t>36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15E2C46E" w14:textId="5C004FBF" w:rsidR="000E71E5" w:rsidRDefault="00D958EA" w:rsidP="00C96D31">
            <w:pPr>
              <w:jc w:val="center"/>
            </w:pPr>
            <w:r>
              <w:t>48</w:t>
            </w:r>
          </w:p>
        </w:tc>
      </w:tr>
      <w:tr w:rsidR="000E71E5" w14:paraId="5F1E04CF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109C29BA" w14:textId="6B7A9782" w:rsidR="000E71E5" w:rsidRDefault="000E71E5" w:rsidP="00E24554">
            <w:r>
              <w:t>Alemanha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51F96C95" w14:textId="0D5F08B0" w:rsidR="000E71E5" w:rsidRDefault="00D958EA" w:rsidP="00C96D31">
            <w:pPr>
              <w:jc w:val="center"/>
            </w:pPr>
            <w:r>
              <w:t>58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68C769D1" w14:textId="66245D7D" w:rsidR="000E71E5" w:rsidRDefault="00D958EA" w:rsidP="00C96D31">
            <w:pPr>
              <w:jc w:val="center"/>
            </w:pPr>
            <w:r>
              <w:t>47</w:t>
            </w:r>
          </w:p>
        </w:tc>
      </w:tr>
      <w:tr w:rsidR="000E71E5" w14:paraId="19E00CE8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1DAB6D0A" w14:textId="09039CED" w:rsidR="000E71E5" w:rsidRDefault="000E71E5" w:rsidP="00E24554">
            <w:r>
              <w:t>Finlândia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5482EB6D" w14:textId="18583BCC" w:rsidR="000E71E5" w:rsidRDefault="00C96D31" w:rsidP="00C96D31">
            <w:pPr>
              <w:jc w:val="center"/>
            </w:pPr>
            <w:r>
              <w:t>44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3D8EA9C9" w14:textId="2B67963E" w:rsidR="000E71E5" w:rsidRDefault="00C96D31" w:rsidP="00C96D31">
            <w:pPr>
              <w:jc w:val="center"/>
            </w:pPr>
            <w:r>
              <w:t>47</w:t>
            </w:r>
          </w:p>
        </w:tc>
      </w:tr>
      <w:tr w:rsidR="000E71E5" w14:paraId="11EFF987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435BDDCC" w14:textId="6B9ABAFC" w:rsidR="000E71E5" w:rsidRDefault="000E71E5" w:rsidP="00E24554">
            <w:r>
              <w:t>Portugal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3658B9D2" w14:textId="33C73900" w:rsidR="000E71E5" w:rsidRDefault="00C96D31" w:rsidP="00C96D31">
            <w:pPr>
              <w:jc w:val="center"/>
            </w:pPr>
            <w:r>
              <w:t>28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04DD778C" w14:textId="1A410346" w:rsidR="000E71E5" w:rsidRDefault="00C96D31" w:rsidP="00C96D31">
            <w:pPr>
              <w:jc w:val="center"/>
            </w:pPr>
            <w:r>
              <w:t>43</w:t>
            </w:r>
          </w:p>
        </w:tc>
      </w:tr>
      <w:tr w:rsidR="000E71E5" w14:paraId="1F571BED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3D40926B" w14:textId="2A75D23C" w:rsidR="000E71E5" w:rsidRDefault="007269A4" w:rsidP="00E24554">
            <w:r>
              <w:t>Suécia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713DE045" w14:textId="313A3628" w:rsidR="000E71E5" w:rsidRDefault="007269A4" w:rsidP="00C96D31">
            <w:pPr>
              <w:jc w:val="center"/>
            </w:pPr>
            <w:r>
              <w:t>42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6DD1A941" w14:textId="28596364" w:rsidR="000E71E5" w:rsidRDefault="007269A4" w:rsidP="00C96D31">
            <w:pPr>
              <w:jc w:val="center"/>
            </w:pPr>
            <w:r>
              <w:t>42</w:t>
            </w:r>
          </w:p>
        </w:tc>
      </w:tr>
      <w:tr w:rsidR="000E71E5" w14:paraId="419E7C53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6BD70991" w14:textId="0E9FDF2A" w:rsidR="000E71E5" w:rsidRDefault="007269A4" w:rsidP="00E24554">
            <w:r>
              <w:t>Austrália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339701E7" w14:textId="1D68113F" w:rsidR="000E71E5" w:rsidRDefault="007269A4" w:rsidP="00C96D31">
            <w:pPr>
              <w:jc w:val="center"/>
            </w:pPr>
            <w:r>
              <w:t>54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4330C911" w14:textId="57FF1497" w:rsidR="000E71E5" w:rsidRDefault="007269A4" w:rsidP="00C96D31">
            <w:pPr>
              <w:jc w:val="center"/>
            </w:pPr>
            <w:r>
              <w:t>40</w:t>
            </w:r>
          </w:p>
        </w:tc>
      </w:tr>
      <w:tr w:rsidR="000E71E5" w14:paraId="001A39FA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2D5A9F34" w14:textId="2E4D9206" w:rsidR="000E71E5" w:rsidRDefault="007269A4" w:rsidP="00E24554">
            <w:r>
              <w:t>Reino Unido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089A5719" w14:textId="131722F9" w:rsidR="000E71E5" w:rsidRDefault="007269A4" w:rsidP="00C96D31">
            <w:pPr>
              <w:jc w:val="center"/>
            </w:pPr>
            <w:r>
              <w:t>64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240C1F51" w14:textId="59A3D964" w:rsidR="000E71E5" w:rsidRDefault="007269A4" w:rsidP="00C96D31">
            <w:pPr>
              <w:jc w:val="center"/>
            </w:pPr>
            <w:r>
              <w:t>40</w:t>
            </w:r>
          </w:p>
        </w:tc>
      </w:tr>
      <w:tr w:rsidR="000E71E5" w14:paraId="257F0261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092ECD3E" w14:textId="3CCA7C31" w:rsidR="000E71E5" w:rsidRDefault="007269A4" w:rsidP="00E24554">
            <w:r>
              <w:t>Bélgica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63847773" w14:textId="55896565" w:rsidR="000E71E5" w:rsidRDefault="007269A4" w:rsidP="00C96D31">
            <w:pPr>
              <w:jc w:val="center"/>
            </w:pPr>
            <w:r>
              <w:t>40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6BE75A45" w14:textId="126C6651" w:rsidR="000E71E5" w:rsidRDefault="007269A4" w:rsidP="00C96D31">
            <w:pPr>
              <w:jc w:val="center"/>
            </w:pPr>
            <w:r>
              <w:t>38</w:t>
            </w:r>
          </w:p>
        </w:tc>
      </w:tr>
      <w:tr w:rsidR="007269A4" w14:paraId="46C10580" w14:textId="77777777" w:rsidTr="007269A4">
        <w:tc>
          <w:tcPr>
            <w:tcW w:w="2644" w:type="dxa"/>
            <w:tcBorders>
              <w:top w:val="nil"/>
              <w:bottom w:val="nil"/>
            </w:tcBorders>
          </w:tcPr>
          <w:p w14:paraId="0B021F80" w14:textId="746C2DB2" w:rsidR="007269A4" w:rsidRDefault="007269A4" w:rsidP="00E24554">
            <w:r>
              <w:t>Canadá</w:t>
            </w:r>
          </w:p>
        </w:tc>
        <w:tc>
          <w:tcPr>
            <w:tcW w:w="2644" w:type="dxa"/>
            <w:tcBorders>
              <w:top w:val="nil"/>
              <w:bottom w:val="nil"/>
            </w:tcBorders>
            <w:vAlign w:val="center"/>
          </w:tcPr>
          <w:p w14:paraId="6B7F220D" w14:textId="3EF55A77" w:rsidR="007269A4" w:rsidRDefault="007269A4" w:rsidP="00C96D31">
            <w:pPr>
              <w:jc w:val="center"/>
            </w:pPr>
            <w:r>
              <w:t>52</w:t>
            </w:r>
          </w:p>
        </w:tc>
        <w:tc>
          <w:tcPr>
            <w:tcW w:w="2645" w:type="dxa"/>
            <w:tcBorders>
              <w:top w:val="nil"/>
              <w:bottom w:val="nil"/>
            </w:tcBorders>
            <w:vAlign w:val="center"/>
          </w:tcPr>
          <w:p w14:paraId="074A418A" w14:textId="3A47CC98" w:rsidR="007269A4" w:rsidRDefault="007269A4" w:rsidP="00C96D31">
            <w:pPr>
              <w:jc w:val="center"/>
            </w:pPr>
            <w:r>
              <w:t>38</w:t>
            </w:r>
          </w:p>
        </w:tc>
      </w:tr>
      <w:tr w:rsidR="007269A4" w14:paraId="2DA535E1" w14:textId="77777777" w:rsidTr="007269A4">
        <w:tc>
          <w:tcPr>
            <w:tcW w:w="2644" w:type="dxa"/>
            <w:tcBorders>
              <w:top w:val="nil"/>
              <w:bottom w:val="single" w:sz="4" w:space="0" w:color="auto"/>
            </w:tcBorders>
          </w:tcPr>
          <w:p w14:paraId="75FCEC71" w14:textId="79CFAAA0" w:rsidR="007269A4" w:rsidRDefault="007269A4" w:rsidP="00E24554">
            <w:r>
              <w:t>Irlanda</w:t>
            </w:r>
          </w:p>
        </w:tc>
        <w:tc>
          <w:tcPr>
            <w:tcW w:w="2644" w:type="dxa"/>
            <w:tcBorders>
              <w:top w:val="nil"/>
              <w:bottom w:val="single" w:sz="4" w:space="0" w:color="auto"/>
            </w:tcBorders>
            <w:vAlign w:val="center"/>
          </w:tcPr>
          <w:p w14:paraId="0307AF4E" w14:textId="5D4DD523" w:rsidR="007269A4" w:rsidRDefault="007269A4" w:rsidP="00C96D31">
            <w:pPr>
              <w:jc w:val="center"/>
            </w:pPr>
            <w:r>
              <w:t>76</w:t>
            </w:r>
          </w:p>
        </w:tc>
        <w:tc>
          <w:tcPr>
            <w:tcW w:w="2645" w:type="dxa"/>
            <w:tcBorders>
              <w:top w:val="nil"/>
              <w:bottom w:val="single" w:sz="4" w:space="0" w:color="auto"/>
            </w:tcBorders>
            <w:vAlign w:val="center"/>
          </w:tcPr>
          <w:p w14:paraId="58DCE760" w14:textId="44A4C29E" w:rsidR="007269A4" w:rsidRDefault="007269A4" w:rsidP="00C96D31">
            <w:pPr>
              <w:jc w:val="center"/>
            </w:pPr>
            <w:r>
              <w:t>35</w:t>
            </w:r>
          </w:p>
        </w:tc>
      </w:tr>
      <w:tr w:rsidR="007269A4" w14:paraId="54A0E268" w14:textId="77777777" w:rsidTr="007269A4">
        <w:tc>
          <w:tcPr>
            <w:tcW w:w="2644" w:type="dxa"/>
            <w:tcBorders>
              <w:top w:val="single" w:sz="4" w:space="0" w:color="auto"/>
            </w:tcBorders>
          </w:tcPr>
          <w:p w14:paraId="6F800AE6" w14:textId="1A054DD3" w:rsidR="007269A4" w:rsidRDefault="007269A4" w:rsidP="00E24554">
            <w:r>
              <w:t>Média Mundo</w:t>
            </w:r>
          </w:p>
        </w:tc>
        <w:tc>
          <w:tcPr>
            <w:tcW w:w="2644" w:type="dxa"/>
            <w:tcBorders>
              <w:top w:val="single" w:sz="4" w:space="0" w:color="auto"/>
            </w:tcBorders>
            <w:vAlign w:val="center"/>
          </w:tcPr>
          <w:p w14:paraId="1E2F156A" w14:textId="6C4C0AC9" w:rsidR="007269A4" w:rsidRDefault="007269A4" w:rsidP="00C96D31">
            <w:pPr>
              <w:jc w:val="center"/>
            </w:pPr>
            <w:r>
              <w:t>58,2</w:t>
            </w:r>
          </w:p>
        </w:tc>
        <w:tc>
          <w:tcPr>
            <w:tcW w:w="2645" w:type="dxa"/>
            <w:tcBorders>
              <w:top w:val="single" w:sz="4" w:space="0" w:color="auto"/>
            </w:tcBorders>
            <w:vAlign w:val="center"/>
          </w:tcPr>
          <w:p w14:paraId="0F5540BA" w14:textId="7396D180" w:rsidR="007269A4" w:rsidRDefault="007269A4" w:rsidP="00C96D31">
            <w:pPr>
              <w:jc w:val="center"/>
            </w:pPr>
            <w:r>
              <w:t>51,4</w:t>
            </w:r>
          </w:p>
        </w:tc>
      </w:tr>
    </w:tbl>
    <w:p w14:paraId="21809ADF" w14:textId="48692D8B" w:rsidR="000E71E5" w:rsidRDefault="007269A4" w:rsidP="00E24554">
      <w:r>
        <w:t xml:space="preserve">Fonte: Adaptado de </w:t>
      </w:r>
      <w:proofErr w:type="spellStart"/>
      <w:r w:rsidRPr="00C97FEF">
        <w:t>Frischtak</w:t>
      </w:r>
      <w:proofErr w:type="spellEnd"/>
      <w:r w:rsidRPr="00C97FEF">
        <w:t xml:space="preserve"> &amp; Mourão</w:t>
      </w:r>
      <w:r>
        <w:t xml:space="preserve"> (</w:t>
      </w:r>
      <w:r w:rsidR="00805A43">
        <w:t>2017</w:t>
      </w:r>
      <w:r>
        <w:t>)</w:t>
      </w:r>
    </w:p>
    <w:p w14:paraId="5D9A990E" w14:textId="77777777" w:rsidR="00607E4C" w:rsidRDefault="00607E4C" w:rsidP="00607E4C">
      <w:pPr>
        <w:spacing w:line="240" w:lineRule="auto"/>
        <w:ind w:firstLine="709"/>
        <w:jc w:val="both"/>
      </w:pPr>
    </w:p>
    <w:p w14:paraId="0E667BF1" w14:textId="7241B3C6" w:rsidR="00607E4C" w:rsidRDefault="00607E4C" w:rsidP="00607E4C">
      <w:pPr>
        <w:spacing w:line="240" w:lineRule="auto"/>
        <w:ind w:firstLine="709"/>
        <w:jc w:val="both"/>
      </w:pPr>
      <w:r>
        <w:t xml:space="preserve">No Brasil, Cavalcanti e </w:t>
      </w:r>
      <w:proofErr w:type="spellStart"/>
      <w:r>
        <w:t>Malliagros</w:t>
      </w:r>
      <w:proofErr w:type="spellEnd"/>
      <w:r>
        <w:t xml:space="preserve"> (1998) calculou o estoque de capital de infraestrutura utilizando do setor público e a empresas relevantes, utilizando taxas de depreciação arbitradas em: 6%, 8% e 10%. Os resultados indicam um estoque de capital em infraestrutura para 1994 de 35%, 29% e 24% do PIB, dependendo da taxa de depreciação arbitrada. </w:t>
      </w:r>
    </w:p>
    <w:p w14:paraId="0CAD7431" w14:textId="77777777" w:rsidR="00607E4C" w:rsidRDefault="00607E4C" w:rsidP="00607E4C">
      <w:pPr>
        <w:spacing w:line="240" w:lineRule="auto"/>
        <w:ind w:firstLine="709"/>
        <w:jc w:val="both"/>
      </w:pPr>
      <w:proofErr w:type="spellStart"/>
      <w:r>
        <w:t>Morandi</w:t>
      </w:r>
      <w:proofErr w:type="spellEnd"/>
      <w:r>
        <w:t xml:space="preserve"> e Reis (2008) estimaram o estoque de capital de construção da administração pública. Apesar do EKCAP possuir componentes não diretamente relacionados à infraestrutura, a maior parte do mesmo diz respeito à infraestrutura econômica. </w:t>
      </w:r>
    </w:p>
    <w:p w14:paraId="754F32A5" w14:textId="77777777" w:rsidR="00607E4C" w:rsidRDefault="00607E4C" w:rsidP="00607E4C">
      <w:pPr>
        <w:spacing w:line="240" w:lineRule="auto"/>
        <w:ind w:firstLine="709"/>
        <w:jc w:val="both"/>
      </w:pPr>
      <w:r>
        <w:t>Os componentes públicos e privados devem ser considerados na obtenção do estoque de infraestrutura. Além desses componentes, é necessário estabelecer uma taxa de depreciação setorial construída por métodos adequados.</w:t>
      </w:r>
    </w:p>
    <w:p w14:paraId="2219DE23" w14:textId="78F2A655" w:rsidR="00EE2436" w:rsidRDefault="00607E4C" w:rsidP="00607E4C">
      <w:pPr>
        <w:spacing w:line="240" w:lineRule="auto"/>
        <w:ind w:firstLine="709"/>
        <w:jc w:val="both"/>
      </w:pPr>
      <w:r>
        <w:t>Quanto à depreciação, as estimativas de estoque de capital no Brasil utilizaram as taxas depreciação observadas nos Estados Unidos (</w:t>
      </w:r>
      <w:proofErr w:type="spellStart"/>
      <w:r>
        <w:t>Morandi</w:t>
      </w:r>
      <w:proofErr w:type="spellEnd"/>
      <w:r>
        <w:t xml:space="preserve"> e Reis, 2008) , taxas arbitrárias (Cavalcanti e </w:t>
      </w:r>
      <w:proofErr w:type="spellStart"/>
      <w:r>
        <w:t>Malliagros</w:t>
      </w:r>
      <w:proofErr w:type="spellEnd"/>
      <w:r>
        <w:t xml:space="preserve">, 1998), ou taxas de depreciação que construídas a partir das demonstrações </w:t>
      </w:r>
      <w:r>
        <w:lastRenderedPageBreak/>
        <w:t>financeiras de empresas que atuam no setor, associadas às informações cedidas por agências reguladoras (</w:t>
      </w:r>
      <w:proofErr w:type="spellStart"/>
      <w:r w:rsidRPr="00C97FEF">
        <w:t>Frischtak</w:t>
      </w:r>
      <w:proofErr w:type="spellEnd"/>
      <w:r w:rsidRPr="00C97FEF">
        <w:t xml:space="preserve"> &amp; Mourão</w:t>
      </w:r>
      <w:r>
        <w:t>).</w:t>
      </w:r>
    </w:p>
    <w:p w14:paraId="7E603F22" w14:textId="0799608E" w:rsidR="000E71E5" w:rsidRDefault="00EE2436" w:rsidP="00EE2436">
      <w:pPr>
        <w:spacing w:line="240" w:lineRule="auto"/>
        <w:ind w:firstLine="709"/>
        <w:jc w:val="both"/>
      </w:pPr>
      <w:proofErr w:type="spellStart"/>
      <w:r>
        <w:t>Friscjtak</w:t>
      </w:r>
      <w:proofErr w:type="spellEnd"/>
      <w:r>
        <w:t xml:space="preserve"> &amp; Mourão (2017) ressaltam que muitos estudos encontraram dificuldade em mensurar separadamente o estoque de capital em infraestrutura. Uma aproximação relativamente acurada pode ser encontrada em </w:t>
      </w:r>
      <w:proofErr w:type="spellStart"/>
      <w:r>
        <w:t>Arestoff</w:t>
      </w:r>
      <w:proofErr w:type="spellEnd"/>
      <w:r>
        <w:t xml:space="preserve"> e </w:t>
      </w:r>
      <w:proofErr w:type="spellStart"/>
      <w:r>
        <w:t>Hurlin</w:t>
      </w:r>
      <w:proofErr w:type="spellEnd"/>
      <w:r>
        <w:t xml:space="preserve"> (2006). Os autores consideraram os investimentos públicos em rodovias, ferrovias, energia, gás, saneamento e telecomunicações. Esses segmentos se enquadrariam satisfatoriamente na definição de infraestrutura mais amplamente aceita, mas ainda assim, os autores não consideram os investimentos privados.</w:t>
      </w:r>
    </w:p>
    <w:p w14:paraId="00DEB24A" w14:textId="752A589B" w:rsidR="002B154B" w:rsidRDefault="00805A43" w:rsidP="00805A43">
      <w:pPr>
        <w:ind w:firstLine="708"/>
        <w:jc w:val="both"/>
      </w:pPr>
      <w:r>
        <w:t xml:space="preserve">Para obter uma estimativa razoável do estoque de capital e necessário considerar investimentos públicos e privados, além de uma taxa de depreciação setorial. Para isto, </w:t>
      </w:r>
      <w:proofErr w:type="spellStart"/>
      <w:r w:rsidRPr="00C97FEF">
        <w:t>Frischtak</w:t>
      </w:r>
      <w:proofErr w:type="spellEnd"/>
      <w:r w:rsidRPr="00C97FEF">
        <w:t xml:space="preserve"> &amp; Mourão</w:t>
      </w:r>
      <w:r>
        <w:t xml:space="preserve"> (2017)</w:t>
      </w:r>
      <w:r>
        <w:t xml:space="preserve"> utilizam séries de investimento disponibilizadas por empresas dos setores chave de infraestrutura e agências governamentais para quatro grandes setores relacionados à infraestrutura. O método do inventário perpétuo é a metodologia de cálculo do estoque de capital empregada</w:t>
      </w:r>
      <w:proofErr w:type="gramStart"/>
      <w:r>
        <w:t xml:space="preserve">. </w:t>
      </w:r>
      <w:proofErr w:type="gramEnd"/>
      <w:r>
        <w:t>A taxa de depreciação é constante ao longo do tempo, no entanto variável de acordo com o setor econômico</w:t>
      </w:r>
      <w:r w:rsidR="001824E4">
        <w:t xml:space="preserve">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i=1,…,4</m:t>
        </m:r>
      </m:oMath>
      <w:r w:rsidR="001824E4">
        <w:t>)</w:t>
      </w:r>
      <w:r>
        <w:t>.</w:t>
      </w:r>
    </w:p>
    <w:tbl>
      <w:tblPr>
        <w:tblStyle w:val="Tabelacomgrade"/>
        <w:tblW w:w="8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5"/>
        <w:gridCol w:w="236"/>
      </w:tblGrid>
      <w:tr w:rsidR="00805A43" w14:paraId="08CAE680" w14:textId="77777777" w:rsidTr="00255888">
        <w:tc>
          <w:tcPr>
            <w:tcW w:w="8325" w:type="dxa"/>
          </w:tcPr>
          <w:p w14:paraId="66B400A3" w14:textId="001586CE" w:rsidR="00805A43" w:rsidRDefault="00805A43" w:rsidP="0025588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36" w:type="dxa"/>
          </w:tcPr>
          <w:p w14:paraId="22894FE6" w14:textId="77777777" w:rsidR="00805A43" w:rsidRDefault="00805A43" w:rsidP="00255888">
            <w:r>
              <w:t xml:space="preserve"> </w:t>
            </w:r>
          </w:p>
        </w:tc>
      </w:tr>
    </w:tbl>
    <w:p w14:paraId="1703C449" w14:textId="77777777" w:rsidR="001824E4" w:rsidRDefault="001824E4" w:rsidP="002B154B"/>
    <w:p w14:paraId="65759F6D" w14:textId="6C757B61" w:rsidR="001043D8" w:rsidRDefault="001824E4" w:rsidP="002B154B">
      <w:r>
        <w:t xml:space="preserve">Utilizando a expressão dada pela equação do inventário perpétuo em </w:t>
      </w:r>
      <w:r w:rsidRPr="001824E4">
        <w:rPr>
          <w:i/>
          <w:iCs/>
        </w:rPr>
        <w:t>t</w:t>
      </w:r>
      <w:r>
        <w:t xml:space="preserve">, </w:t>
      </w:r>
      <w:r w:rsidRPr="001824E4">
        <w:rPr>
          <w:i/>
          <w:iCs/>
        </w:rPr>
        <w:t>t</w:t>
      </w:r>
      <w:r>
        <w:t xml:space="preserve">-1, ..., </w:t>
      </w:r>
      <w:r w:rsidRPr="001824E4">
        <w:rPr>
          <w:i/>
          <w:iCs/>
        </w:rPr>
        <w:t>t</w:t>
      </w:r>
      <w:r>
        <w:t>-T os autores expressam o estoque de capital em infraestrutura em termos dos investimentos acumulados e do estoque de capital no tempo inicial.</w:t>
      </w:r>
    </w:p>
    <w:tbl>
      <w:tblPr>
        <w:tblStyle w:val="Tabelacomgrade"/>
        <w:tblW w:w="8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5"/>
        <w:gridCol w:w="236"/>
      </w:tblGrid>
      <w:tr w:rsidR="001824E4" w14:paraId="59A342DD" w14:textId="77777777" w:rsidTr="00255888">
        <w:tc>
          <w:tcPr>
            <w:tcW w:w="8325" w:type="dxa"/>
          </w:tcPr>
          <w:p w14:paraId="351C9666" w14:textId="5F51074B" w:rsidR="001824E4" w:rsidRDefault="001824E4" w:rsidP="0025588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i=t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36" w:type="dxa"/>
          </w:tcPr>
          <w:p w14:paraId="24C2A0E5" w14:textId="77777777" w:rsidR="001824E4" w:rsidRDefault="001824E4" w:rsidP="00255888">
            <w:r>
              <w:t xml:space="preserve"> </w:t>
            </w:r>
          </w:p>
        </w:tc>
      </w:tr>
    </w:tbl>
    <w:p w14:paraId="265EA007" w14:textId="77777777" w:rsidR="001824E4" w:rsidRDefault="001824E4" w:rsidP="002B154B"/>
    <w:p w14:paraId="5EB75FFD" w14:textId="718DAF66" w:rsidR="00607E4C" w:rsidRDefault="001824E4" w:rsidP="00143390">
      <w:pPr>
        <w:jc w:val="both"/>
      </w:pPr>
      <w:r>
        <w:t>A expressão acima é aplicada para cada setor, valendo-se do fato de possuírem séries de tempo longas, o que é equivalente e estabelecer um capital inicial nulo 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=0</m:t>
        </m:r>
      </m:oMath>
      <w:r>
        <w:t>).</w:t>
      </w:r>
    </w:p>
    <w:p w14:paraId="2A26D1B1" w14:textId="77777777" w:rsidR="00607E4C" w:rsidRDefault="00607E4C" w:rsidP="002B154B"/>
    <w:p w14:paraId="5B22AC64" w14:textId="0408E0E9" w:rsidR="00D729CB" w:rsidRPr="00A646D6" w:rsidRDefault="00D729CB" w:rsidP="00D729CB">
      <w:pPr>
        <w:pStyle w:val="Legenda"/>
        <w:spacing w:after="0"/>
        <w:rPr>
          <w:b/>
          <w:bCs/>
          <w:i w:val="0"/>
          <w:iCs w:val="0"/>
          <w:color w:val="auto"/>
          <w:sz w:val="20"/>
          <w:szCs w:val="20"/>
        </w:rPr>
      </w:pPr>
      <w:bookmarkStart w:id="1" w:name="_Ref8075261"/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646D6">
        <w:rPr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143390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"/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>–</w:t>
      </w:r>
      <w:r w:rsidRPr="00A646D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>Investimentos em Infraestrutura no Brasil</w:t>
      </w:r>
    </w:p>
    <w:tbl>
      <w:tblPr>
        <w:tblStyle w:val="Tabelacomgrade"/>
        <w:tblW w:w="85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1141"/>
        <w:gridCol w:w="1141"/>
        <w:gridCol w:w="1070"/>
        <w:gridCol w:w="1141"/>
        <w:gridCol w:w="938"/>
        <w:gridCol w:w="1070"/>
      </w:tblGrid>
      <w:tr w:rsidR="007F2428" w14:paraId="321FB028" w14:textId="77777777" w:rsidTr="007F2428">
        <w:tc>
          <w:tcPr>
            <w:tcW w:w="2003" w:type="dxa"/>
            <w:tcBorders>
              <w:bottom w:val="single" w:sz="4" w:space="0" w:color="auto"/>
            </w:tcBorders>
          </w:tcPr>
          <w:p w14:paraId="5C3C705D" w14:textId="77777777" w:rsidR="007F2428" w:rsidRDefault="007F2428" w:rsidP="007F2428">
            <w:r>
              <w:t>Pais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15AF792D" w14:textId="029EB9D8" w:rsidR="007F2428" w:rsidRDefault="007F2428" w:rsidP="007F2428">
            <w:pPr>
              <w:jc w:val="center"/>
            </w:pPr>
            <w:r>
              <w:t>1970-1980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4F25C5F6" w14:textId="4A97F66F" w:rsidR="007F2428" w:rsidRDefault="007F2428" w:rsidP="007F2428">
            <w:pPr>
              <w:jc w:val="center"/>
            </w:pPr>
            <w:r>
              <w:t>19</w:t>
            </w:r>
            <w:r>
              <w:t>81</w:t>
            </w:r>
            <w:r>
              <w:t>-19</w:t>
            </w:r>
            <w:r>
              <w:t>90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66BEC809" w14:textId="684403C5" w:rsidR="007F2428" w:rsidRDefault="007F2428" w:rsidP="007F2428">
            <w:pPr>
              <w:jc w:val="center"/>
            </w:pPr>
            <w:r>
              <w:t>1991</w:t>
            </w:r>
            <w:r>
              <w:t>-</w:t>
            </w:r>
            <w:r>
              <w:t>2000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372863E8" w14:textId="0DE13C3F" w:rsidR="007F2428" w:rsidRDefault="007F2428" w:rsidP="007F2428">
            <w:pPr>
              <w:jc w:val="center"/>
            </w:pPr>
            <w:r>
              <w:t>2001-</w:t>
            </w:r>
            <w:r>
              <w:t>2016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vAlign w:val="center"/>
          </w:tcPr>
          <w:p w14:paraId="78C2C8CF" w14:textId="204F4163" w:rsidR="007F2428" w:rsidRDefault="007F2428" w:rsidP="007F2428">
            <w:pPr>
              <w:jc w:val="center"/>
            </w:pPr>
            <w:r>
              <w:t>2001-2010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07C88194" w14:textId="132BC116" w:rsidR="007F2428" w:rsidRDefault="007F2428" w:rsidP="007F2428">
            <w:pPr>
              <w:jc w:val="center"/>
            </w:pPr>
            <w:r>
              <w:t>2001-2010</w:t>
            </w:r>
          </w:p>
        </w:tc>
      </w:tr>
      <w:tr w:rsidR="007F2428" w14:paraId="2A6B67F2" w14:textId="77777777" w:rsidTr="007F2428">
        <w:tc>
          <w:tcPr>
            <w:tcW w:w="2003" w:type="dxa"/>
            <w:tcBorders>
              <w:top w:val="single" w:sz="4" w:space="0" w:color="auto"/>
              <w:bottom w:val="nil"/>
            </w:tcBorders>
          </w:tcPr>
          <w:p w14:paraId="04B5BA83" w14:textId="22146433" w:rsidR="007F2428" w:rsidRDefault="007F2428" w:rsidP="007F2428">
            <w:r>
              <w:t>Telecomunicações</w:t>
            </w:r>
          </w:p>
        </w:tc>
        <w:tc>
          <w:tcPr>
            <w:tcW w:w="1141" w:type="dxa"/>
            <w:tcBorders>
              <w:top w:val="single" w:sz="4" w:space="0" w:color="auto"/>
              <w:bottom w:val="nil"/>
            </w:tcBorders>
            <w:vAlign w:val="center"/>
          </w:tcPr>
          <w:p w14:paraId="4AC0EE1C" w14:textId="77706348" w:rsidR="007F2428" w:rsidRDefault="007F2428" w:rsidP="007F2428">
            <w:pPr>
              <w:jc w:val="center"/>
            </w:pPr>
            <w:r>
              <w:t>0,93</w:t>
            </w:r>
          </w:p>
        </w:tc>
        <w:tc>
          <w:tcPr>
            <w:tcW w:w="1141" w:type="dxa"/>
            <w:tcBorders>
              <w:top w:val="single" w:sz="4" w:space="0" w:color="auto"/>
              <w:bottom w:val="nil"/>
            </w:tcBorders>
            <w:vAlign w:val="center"/>
          </w:tcPr>
          <w:p w14:paraId="5F6F8A89" w14:textId="36223EBA" w:rsidR="007F2428" w:rsidRDefault="007F2428" w:rsidP="007F2428">
            <w:pPr>
              <w:jc w:val="center"/>
            </w:pPr>
            <w:r>
              <w:t>0,38</w:t>
            </w:r>
          </w:p>
        </w:tc>
        <w:tc>
          <w:tcPr>
            <w:tcW w:w="1070" w:type="dxa"/>
            <w:tcBorders>
              <w:top w:val="single" w:sz="4" w:space="0" w:color="auto"/>
              <w:bottom w:val="nil"/>
            </w:tcBorders>
            <w:vAlign w:val="center"/>
          </w:tcPr>
          <w:p w14:paraId="4963C5A7" w14:textId="46BFF947" w:rsidR="007F2428" w:rsidRDefault="007F2428" w:rsidP="007F2428">
            <w:pPr>
              <w:jc w:val="center"/>
            </w:pPr>
            <w:r>
              <w:t>0,71</w:t>
            </w:r>
          </w:p>
        </w:tc>
        <w:tc>
          <w:tcPr>
            <w:tcW w:w="1141" w:type="dxa"/>
            <w:tcBorders>
              <w:top w:val="single" w:sz="4" w:space="0" w:color="auto"/>
              <w:bottom w:val="nil"/>
            </w:tcBorders>
            <w:vAlign w:val="center"/>
          </w:tcPr>
          <w:p w14:paraId="0609A131" w14:textId="77FC9141" w:rsidR="007F2428" w:rsidRDefault="007F2428" w:rsidP="007F2428">
            <w:pPr>
              <w:jc w:val="center"/>
            </w:pPr>
            <w:r>
              <w:t>0,57</w:t>
            </w:r>
          </w:p>
        </w:tc>
        <w:tc>
          <w:tcPr>
            <w:tcW w:w="938" w:type="dxa"/>
            <w:tcBorders>
              <w:top w:val="single" w:sz="4" w:space="0" w:color="auto"/>
              <w:bottom w:val="nil"/>
            </w:tcBorders>
            <w:vAlign w:val="center"/>
          </w:tcPr>
          <w:p w14:paraId="5AA2AC67" w14:textId="1B8C36C7" w:rsidR="007F2428" w:rsidRDefault="007F2428" w:rsidP="007F2428">
            <w:pPr>
              <w:jc w:val="center"/>
            </w:pPr>
            <w:r>
              <w:t>0,63</w:t>
            </w:r>
          </w:p>
        </w:tc>
        <w:tc>
          <w:tcPr>
            <w:tcW w:w="1070" w:type="dxa"/>
            <w:tcBorders>
              <w:top w:val="single" w:sz="4" w:space="0" w:color="auto"/>
              <w:bottom w:val="nil"/>
            </w:tcBorders>
            <w:vAlign w:val="center"/>
          </w:tcPr>
          <w:p w14:paraId="667B7CB0" w14:textId="308195B0" w:rsidR="007F2428" w:rsidRDefault="007F2428" w:rsidP="007F2428">
            <w:pPr>
              <w:jc w:val="center"/>
            </w:pPr>
            <w:r>
              <w:t>0,47</w:t>
            </w:r>
          </w:p>
        </w:tc>
      </w:tr>
      <w:tr w:rsidR="007F2428" w14:paraId="7DDDD74B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757F79FD" w14:textId="7FF63764" w:rsidR="007F2428" w:rsidRDefault="007F2428" w:rsidP="007F2428">
            <w:r>
              <w:t>Energia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3677DF43" w14:textId="64536156" w:rsidR="007F2428" w:rsidRDefault="007F2428" w:rsidP="007F2428">
            <w:pPr>
              <w:jc w:val="center"/>
            </w:pPr>
            <w:r>
              <w:t>2,47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BF6DD1E" w14:textId="3BBD68A2" w:rsidR="007F2428" w:rsidRDefault="007F2428" w:rsidP="007F2428">
            <w:pPr>
              <w:jc w:val="center"/>
            </w:pPr>
            <w:r>
              <w:t>1,26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5A1757D4" w14:textId="7072F081" w:rsidR="007F2428" w:rsidRDefault="007F2428" w:rsidP="007F2428">
            <w:pPr>
              <w:jc w:val="center"/>
            </w:pPr>
            <w:r>
              <w:t>0,68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64E66C85" w14:textId="465366B6" w:rsidR="007F2428" w:rsidRDefault="007F2428" w:rsidP="007F2428">
            <w:pPr>
              <w:jc w:val="center"/>
            </w:pPr>
            <w:r>
              <w:t>0,61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3D167017" w14:textId="6D1E3287" w:rsidR="007F2428" w:rsidRDefault="007F2428" w:rsidP="007F2428">
            <w:pPr>
              <w:jc w:val="center"/>
            </w:pPr>
            <w:r>
              <w:t>0,57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2FBCED06" w14:textId="416F26E5" w:rsidR="007F2428" w:rsidRDefault="007F2428" w:rsidP="007F2428">
            <w:pPr>
              <w:jc w:val="center"/>
            </w:pPr>
            <w:r>
              <w:t>0,68</w:t>
            </w:r>
          </w:p>
        </w:tc>
      </w:tr>
      <w:tr w:rsidR="007F2428" w14:paraId="15B68F30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42994977" w14:textId="7CC440FD" w:rsidR="007F2428" w:rsidRDefault="007F2428" w:rsidP="007F2428">
            <w:r>
              <w:t>Saneamento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DA41F65" w14:textId="59A4C447" w:rsidR="007F2428" w:rsidRDefault="007F2428" w:rsidP="007F2428">
            <w:pPr>
              <w:jc w:val="center"/>
            </w:pPr>
            <w:r>
              <w:t>0,53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832D2FF" w14:textId="4B839AE4" w:rsidR="007F2428" w:rsidRDefault="007F2428" w:rsidP="007F2428">
            <w:pPr>
              <w:jc w:val="center"/>
            </w:pPr>
            <w:r>
              <w:t>0,20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7BF20661" w14:textId="19C20DD3" w:rsidR="007F2428" w:rsidRDefault="007F2428" w:rsidP="007F2428">
            <w:pPr>
              <w:jc w:val="center"/>
            </w:pPr>
            <w:r>
              <w:t>0,15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396678D" w14:textId="15B0CE46" w:rsidR="007F2428" w:rsidRDefault="007F2428" w:rsidP="007F2428">
            <w:pPr>
              <w:jc w:val="center"/>
            </w:pPr>
            <w:r>
              <w:t>0,18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719BC716" w14:textId="3A8554C3" w:rsidR="007F2428" w:rsidRDefault="007F2428" w:rsidP="007F2428">
            <w:pPr>
              <w:jc w:val="center"/>
            </w:pPr>
            <w:r>
              <w:t>0,17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6C550BE7" w14:textId="4E2E7B03" w:rsidR="007F2428" w:rsidRDefault="007F2428" w:rsidP="007F2428">
            <w:pPr>
              <w:jc w:val="center"/>
            </w:pPr>
            <w:r>
              <w:t>0,19</w:t>
            </w:r>
          </w:p>
        </w:tc>
      </w:tr>
      <w:tr w:rsidR="007F2428" w14:paraId="2171E394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179FD811" w14:textId="6D7AD58A" w:rsidR="007F2428" w:rsidRDefault="007F2428" w:rsidP="007F2428">
            <w:r>
              <w:t>Transportes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6A30BD6B" w14:textId="7D77959F" w:rsidR="007F2428" w:rsidRDefault="007F2428" w:rsidP="007F2428">
            <w:pPr>
              <w:jc w:val="center"/>
            </w:pPr>
            <w:r>
              <w:t>2,36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F9BBE6E" w14:textId="4C291CD4" w:rsidR="007F2428" w:rsidRDefault="007F2428" w:rsidP="007F2428">
            <w:pPr>
              <w:jc w:val="center"/>
            </w:pPr>
            <w:r>
              <w:t>1,26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04DAB0F0" w14:textId="239B662D" w:rsidR="007F2428" w:rsidRDefault="007F2428" w:rsidP="007F2428">
            <w:pPr>
              <w:jc w:val="center"/>
            </w:pPr>
            <w:r>
              <w:t>0,57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738C5F59" w14:textId="6F692095" w:rsidR="007F2428" w:rsidRDefault="007F2428" w:rsidP="007F2428">
            <w:pPr>
              <w:jc w:val="center"/>
            </w:pPr>
            <w:r>
              <w:t>0,67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5ADF717" w14:textId="28119016" w:rsidR="007F2428" w:rsidRDefault="007F2428" w:rsidP="007F2428">
            <w:pPr>
              <w:jc w:val="center"/>
            </w:pPr>
            <w:r>
              <w:t>0,59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6ADFA961" w14:textId="7B7035FC" w:rsidR="007F2428" w:rsidRDefault="007F2428" w:rsidP="007F2428">
            <w:pPr>
              <w:jc w:val="center"/>
            </w:pPr>
            <w:r>
              <w:t>0,85</w:t>
            </w:r>
          </w:p>
        </w:tc>
      </w:tr>
      <w:tr w:rsidR="007F2428" w14:paraId="296613DB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293469A0" w14:textId="14257738" w:rsidR="007F2428" w:rsidRDefault="007F2428" w:rsidP="007F2428">
            <w:r>
              <w:t>Rodovia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5AC4F631" w14:textId="1C568E12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D5320E8" w14:textId="77777777" w:rsidR="007F2428" w:rsidRDefault="007F2428" w:rsidP="007F2428">
            <w:pPr>
              <w:jc w:val="center"/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498BD3BB" w14:textId="77777777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15CDD12E" w14:textId="520FA238" w:rsidR="007F2428" w:rsidRDefault="007F2428" w:rsidP="007F2428">
            <w:pPr>
              <w:jc w:val="center"/>
            </w:pPr>
            <w:r>
              <w:t>0,37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3604C97" w14:textId="44D16E43" w:rsidR="007F2428" w:rsidRDefault="007F2428" w:rsidP="007F2428">
            <w:pPr>
              <w:jc w:val="center"/>
            </w:pPr>
            <w:r>
              <w:t>0,39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51259230" w14:textId="1F3C6CD5" w:rsidR="007F2428" w:rsidRDefault="007F2428" w:rsidP="007F2428">
            <w:pPr>
              <w:jc w:val="center"/>
            </w:pPr>
            <w:r>
              <w:t>0,40</w:t>
            </w:r>
          </w:p>
        </w:tc>
      </w:tr>
      <w:tr w:rsidR="007F2428" w14:paraId="75AB42A6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4C1478EC" w14:textId="689D4A6C" w:rsidR="007F2428" w:rsidRDefault="007F2428" w:rsidP="007F2428">
            <w:r>
              <w:t>Ferrovia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86FD0B2" w14:textId="3F950635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3E746270" w14:textId="77777777" w:rsidR="007F2428" w:rsidRDefault="007F2428" w:rsidP="007F2428">
            <w:pPr>
              <w:jc w:val="center"/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70489020" w14:textId="77777777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5A6ED6B2" w14:textId="6B0AB336" w:rsidR="007F2428" w:rsidRDefault="007F2428" w:rsidP="007F2428">
            <w:pPr>
              <w:jc w:val="center"/>
            </w:pPr>
            <w:r>
              <w:t>0,11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2977AF09" w14:textId="317FEB1D" w:rsidR="007F2428" w:rsidRDefault="007F2428" w:rsidP="007F2428">
            <w:pPr>
              <w:jc w:val="center"/>
            </w:pPr>
            <w:r>
              <w:t>0,11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04A62A23" w14:textId="785DEECE" w:rsidR="007F2428" w:rsidRDefault="007F2428" w:rsidP="007F2428">
            <w:pPr>
              <w:jc w:val="center"/>
            </w:pPr>
            <w:r>
              <w:t>0,13</w:t>
            </w:r>
          </w:p>
        </w:tc>
      </w:tr>
      <w:tr w:rsidR="007F2428" w14:paraId="374269CF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4628D483" w14:textId="6D2EC8EB" w:rsidR="007F2428" w:rsidRDefault="007F2428" w:rsidP="007F2428">
            <w:r>
              <w:t>Mobilidade Urbana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76D8952" w14:textId="531BE589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6F7ACF67" w14:textId="77777777" w:rsidR="007F2428" w:rsidRDefault="007F2428" w:rsidP="007F2428">
            <w:pPr>
              <w:jc w:val="center"/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3E9B9685" w14:textId="77777777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562D117B" w14:textId="272AE119" w:rsidR="007F2428" w:rsidRDefault="007F2428" w:rsidP="007F2428">
            <w:pPr>
              <w:jc w:val="center"/>
            </w:pPr>
            <w:r>
              <w:t>0,08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01C6ED99" w14:textId="136B8B28" w:rsidR="007F2428" w:rsidRDefault="007F2428" w:rsidP="007F2428">
            <w:pPr>
              <w:jc w:val="center"/>
            </w:pPr>
            <w:r>
              <w:t>0,05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3039DF90" w14:textId="3A9E8743" w:rsidR="007F2428" w:rsidRDefault="007F2428" w:rsidP="007F2428">
            <w:pPr>
              <w:jc w:val="center"/>
            </w:pPr>
            <w:r>
              <w:t>0,15</w:t>
            </w:r>
          </w:p>
        </w:tc>
      </w:tr>
      <w:tr w:rsidR="007F2428" w14:paraId="4FE6EE60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09E20384" w14:textId="40BC81EA" w:rsidR="007F2428" w:rsidRDefault="007F2428" w:rsidP="007F2428">
            <w:r>
              <w:t>Aeroportos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3EADA636" w14:textId="7041A124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BE870E9" w14:textId="77777777" w:rsidR="007F2428" w:rsidRDefault="007F2428" w:rsidP="007F2428">
            <w:pPr>
              <w:jc w:val="center"/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44C5D05E" w14:textId="77777777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3ACF4850" w14:textId="7D14DD64" w:rsidR="007F2428" w:rsidRDefault="007F2428" w:rsidP="007F2428">
            <w:pPr>
              <w:jc w:val="center"/>
            </w:pPr>
            <w:r>
              <w:t>0,04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53DC3C78" w14:textId="1FC64C48" w:rsidR="007F2428" w:rsidRDefault="007F2428" w:rsidP="007F2428">
            <w:pPr>
              <w:jc w:val="center"/>
            </w:pPr>
            <w:r>
              <w:t>0,03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26CE357E" w14:textId="2832DBF6" w:rsidR="007F2428" w:rsidRDefault="007F2428" w:rsidP="007F2428">
            <w:pPr>
              <w:jc w:val="center"/>
            </w:pPr>
            <w:r>
              <w:t>0,07</w:t>
            </w:r>
          </w:p>
        </w:tc>
      </w:tr>
      <w:tr w:rsidR="007F2428" w14:paraId="7A4BDDC3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6953BD47" w14:textId="44D097B9" w:rsidR="007F2428" w:rsidRDefault="007F2428" w:rsidP="007F2428">
            <w:r>
              <w:t>Portos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C9135EB" w14:textId="20CFE342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57EF5D23" w14:textId="77777777" w:rsidR="007F2428" w:rsidRDefault="007F2428" w:rsidP="007F2428">
            <w:pPr>
              <w:jc w:val="center"/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2A703FF3" w14:textId="77777777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111167E2" w14:textId="7D3CC972" w:rsidR="007F2428" w:rsidRDefault="007F2428" w:rsidP="007F2428">
            <w:pPr>
              <w:jc w:val="center"/>
            </w:pPr>
            <w:r>
              <w:t>0,06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40D7A673" w14:textId="15693C54" w:rsidR="007F2428" w:rsidRDefault="007F2428" w:rsidP="007F2428">
            <w:pPr>
              <w:jc w:val="center"/>
            </w:pPr>
            <w:r>
              <w:t>0,05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79CE4C23" w14:textId="5B2AF09C" w:rsidR="007F2428" w:rsidRDefault="007F2428" w:rsidP="007F2428">
            <w:pPr>
              <w:jc w:val="center"/>
            </w:pPr>
            <w:r>
              <w:t>0,09</w:t>
            </w:r>
          </w:p>
        </w:tc>
      </w:tr>
      <w:tr w:rsidR="007F2428" w14:paraId="45A947AB" w14:textId="77777777" w:rsidTr="007F2428">
        <w:tc>
          <w:tcPr>
            <w:tcW w:w="2003" w:type="dxa"/>
            <w:tcBorders>
              <w:top w:val="nil"/>
              <w:bottom w:val="nil"/>
            </w:tcBorders>
          </w:tcPr>
          <w:p w14:paraId="4B877634" w14:textId="27FC369E" w:rsidR="007F2428" w:rsidRDefault="007F2428" w:rsidP="007F2428">
            <w:r>
              <w:t>Hidrovias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6CE862E" w14:textId="624E1425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9F14750" w14:textId="77777777" w:rsidR="007F2428" w:rsidRDefault="007F2428" w:rsidP="007F2428">
            <w:pPr>
              <w:jc w:val="center"/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7BFE8F39" w14:textId="77777777" w:rsidR="007F2428" w:rsidRDefault="007F2428" w:rsidP="007F2428">
            <w:pPr>
              <w:jc w:val="center"/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0BDE39C" w14:textId="335347F6" w:rsidR="007F2428" w:rsidRDefault="007F2428" w:rsidP="007F2428">
            <w:pPr>
              <w:jc w:val="center"/>
            </w:pPr>
            <w:r>
              <w:t>0,01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63072D7A" w14:textId="013C11A6" w:rsidR="007F2428" w:rsidRDefault="007F2428" w:rsidP="007F2428">
            <w:pPr>
              <w:jc w:val="center"/>
            </w:pPr>
            <w:r>
              <w:t>0,01</w:t>
            </w: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14:paraId="5BFE4BA8" w14:textId="20D729F8" w:rsidR="007F2428" w:rsidRDefault="007F2428" w:rsidP="007F2428">
            <w:pPr>
              <w:jc w:val="center"/>
            </w:pPr>
            <w:r>
              <w:t>0,01</w:t>
            </w:r>
          </w:p>
        </w:tc>
      </w:tr>
      <w:tr w:rsidR="007F2428" w14:paraId="0C6E5E6D" w14:textId="77777777" w:rsidTr="007F2428">
        <w:tc>
          <w:tcPr>
            <w:tcW w:w="2003" w:type="dxa"/>
            <w:tcBorders>
              <w:top w:val="single" w:sz="4" w:space="0" w:color="auto"/>
            </w:tcBorders>
          </w:tcPr>
          <w:p w14:paraId="0FAE5958" w14:textId="36AB7035" w:rsidR="007F2428" w:rsidRPr="007F2428" w:rsidRDefault="007F2428" w:rsidP="007F2428">
            <w:pPr>
              <w:rPr>
                <w:b/>
                <w:bCs/>
              </w:rPr>
            </w:pPr>
            <w:r w:rsidRPr="007F2428">
              <w:rPr>
                <w:b/>
                <w:bCs/>
              </w:rPr>
              <w:t>Brasil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EA64CFA" w14:textId="2384FEBD" w:rsidR="007F2428" w:rsidRPr="007F2428" w:rsidRDefault="007F2428" w:rsidP="007F2428">
            <w:pPr>
              <w:jc w:val="center"/>
              <w:rPr>
                <w:b/>
                <w:bCs/>
              </w:rPr>
            </w:pPr>
            <w:r w:rsidRPr="007F2428">
              <w:rPr>
                <w:b/>
                <w:bCs/>
              </w:rPr>
              <w:t>6,30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1340361E" w14:textId="65FCB0B0" w:rsidR="007F2428" w:rsidRPr="007F2428" w:rsidRDefault="007F2428" w:rsidP="007F2428">
            <w:pPr>
              <w:jc w:val="center"/>
              <w:rPr>
                <w:b/>
                <w:bCs/>
              </w:rPr>
            </w:pPr>
            <w:r w:rsidRPr="007F2428">
              <w:rPr>
                <w:b/>
                <w:bCs/>
              </w:rPr>
              <w:t>3,10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21C1D071" w14:textId="363EB9D9" w:rsidR="007F2428" w:rsidRPr="007F2428" w:rsidRDefault="007F2428" w:rsidP="007F24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2,12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744448F1" w14:textId="3C057372" w:rsidR="007F2428" w:rsidRPr="007F2428" w:rsidRDefault="007F2428" w:rsidP="007F2428">
            <w:pPr>
              <w:jc w:val="center"/>
              <w:rPr>
                <w:b/>
                <w:bCs/>
              </w:rPr>
            </w:pPr>
            <w:r w:rsidRPr="007F2428">
              <w:rPr>
                <w:b/>
                <w:bCs/>
              </w:rPr>
              <w:t>2,03</w:t>
            </w:r>
          </w:p>
        </w:tc>
        <w:tc>
          <w:tcPr>
            <w:tcW w:w="938" w:type="dxa"/>
            <w:tcBorders>
              <w:top w:val="single" w:sz="4" w:space="0" w:color="auto"/>
            </w:tcBorders>
            <w:vAlign w:val="center"/>
          </w:tcPr>
          <w:p w14:paraId="36C4E8FC" w14:textId="787DCA71" w:rsidR="007F2428" w:rsidRPr="007F2428" w:rsidRDefault="007F2428" w:rsidP="007F2428">
            <w:pPr>
              <w:jc w:val="center"/>
              <w:rPr>
                <w:b/>
                <w:bCs/>
              </w:rPr>
            </w:pPr>
            <w:r w:rsidRPr="007F2428">
              <w:rPr>
                <w:b/>
                <w:bCs/>
              </w:rPr>
              <w:t>1,96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3CE3DBA7" w14:textId="1CFA2470" w:rsidR="007F2428" w:rsidRPr="007F2428" w:rsidRDefault="007F2428" w:rsidP="007F2428">
            <w:pPr>
              <w:jc w:val="center"/>
              <w:rPr>
                <w:b/>
                <w:bCs/>
              </w:rPr>
            </w:pPr>
            <w:r w:rsidRPr="007F2428">
              <w:rPr>
                <w:b/>
                <w:bCs/>
              </w:rPr>
              <w:t>1,96</w:t>
            </w:r>
          </w:p>
        </w:tc>
      </w:tr>
    </w:tbl>
    <w:p w14:paraId="01293D64" w14:textId="77777777" w:rsidR="00D729CB" w:rsidRDefault="00D729CB" w:rsidP="00D729CB">
      <w:r>
        <w:t xml:space="preserve">Fonte: Adaptado de </w:t>
      </w:r>
      <w:proofErr w:type="spellStart"/>
      <w:r w:rsidRPr="00C97FEF">
        <w:t>Frischtak</w:t>
      </w:r>
      <w:proofErr w:type="spellEnd"/>
      <w:r w:rsidRPr="00C97FEF">
        <w:t xml:space="preserve"> &amp; Mourão</w:t>
      </w:r>
      <w:r>
        <w:t xml:space="preserve"> (2017)</w:t>
      </w:r>
    </w:p>
    <w:p w14:paraId="3FE3A40E" w14:textId="2624C4E0" w:rsidR="000E71E5" w:rsidRDefault="000E71E5" w:rsidP="00E24554"/>
    <w:p w14:paraId="638EE219" w14:textId="05694178" w:rsidR="00143390" w:rsidRDefault="00143390" w:rsidP="00143390">
      <w:pPr>
        <w:ind w:firstLine="360"/>
        <w:jc w:val="both"/>
      </w:pPr>
      <w:proofErr w:type="spellStart"/>
      <w:r>
        <w:lastRenderedPageBreak/>
        <w:t>Friscjtak</w:t>
      </w:r>
      <w:proofErr w:type="spellEnd"/>
      <w:r>
        <w:t xml:space="preserve"> &amp; Mourão (2017) também concatenam as estimativas de estoque de capital (% PIB) estimadas separadamente por </w:t>
      </w:r>
      <w:proofErr w:type="spellStart"/>
      <w:r>
        <w:t>Bielschowsky</w:t>
      </w:r>
      <w:proofErr w:type="spellEnd"/>
      <w:r>
        <w:t xml:space="preserve"> (2002) por meio da abordagem </w:t>
      </w:r>
      <w:proofErr w:type="spellStart"/>
      <w:r w:rsidRPr="00EE2436">
        <w:rPr>
          <w:i/>
          <w:iCs/>
        </w:rPr>
        <w:t>bottom-up</w:t>
      </w:r>
      <w:proofErr w:type="spellEnd"/>
      <w:r>
        <w:t xml:space="preserve"> para o período de 1970-2000, e os valores estimados pela consultoria Inter B para o período 2001-2016</w:t>
      </w:r>
      <w:r>
        <w:t xml:space="preserve"> (</w:t>
      </w:r>
      <w:r w:rsidRPr="00143390">
        <w:fldChar w:fldCharType="begin"/>
      </w:r>
      <w:r w:rsidRPr="00143390">
        <w:instrText xml:space="preserve"> REF _Ref8075261 \h </w:instrText>
      </w:r>
      <w:r w:rsidRPr="00143390">
        <w:instrText xml:space="preserve"> \* MERGEFORMAT </w:instrText>
      </w:r>
      <w:r w:rsidRPr="00143390">
        <w:fldChar w:fldCharType="separate"/>
      </w:r>
      <w:r w:rsidRPr="00143390">
        <w:rPr>
          <w:sz w:val="20"/>
          <w:szCs w:val="20"/>
        </w:rPr>
        <w:t xml:space="preserve">Tabela </w:t>
      </w:r>
      <w:r w:rsidRPr="00143390">
        <w:rPr>
          <w:noProof/>
          <w:sz w:val="20"/>
          <w:szCs w:val="20"/>
        </w:rPr>
        <w:t>4</w:t>
      </w:r>
      <w:r w:rsidRPr="00143390">
        <w:fldChar w:fldCharType="end"/>
      </w:r>
      <w:r>
        <w:t>)</w:t>
      </w:r>
      <w:r>
        <w:t>. É possível observar os significativos aportes de investimentos em infraestrutura realizados nos anos 1970, seguida por uma significativa queda no período de hiperinflação e uma relativa recuperação partir da década de 1990. Os investimentos em mobilidade urbana só aparecem timidamente a partir de 2001.</w:t>
      </w:r>
    </w:p>
    <w:p w14:paraId="6BA18AE8" w14:textId="77777777" w:rsidR="00D729CB" w:rsidRDefault="00D729CB" w:rsidP="00E24554"/>
    <w:p w14:paraId="24E68EA7" w14:textId="5E7958D5" w:rsidR="00D061C7" w:rsidRPr="008B66A4" w:rsidRDefault="00D061C7" w:rsidP="008B66A4">
      <w:pPr>
        <w:pStyle w:val="PargrafodaLista"/>
        <w:numPr>
          <w:ilvl w:val="0"/>
          <w:numId w:val="1"/>
        </w:numPr>
        <w:rPr>
          <w:b/>
          <w:bCs/>
        </w:rPr>
      </w:pPr>
      <w:r w:rsidRPr="008B66A4">
        <w:rPr>
          <w:b/>
          <w:bCs/>
        </w:rPr>
        <w:t>Cálculo de Taxas de Depreciação</w:t>
      </w:r>
      <w:r w:rsidR="00903C14" w:rsidRPr="008B66A4">
        <w:rPr>
          <w:b/>
          <w:bCs/>
        </w:rPr>
        <w:t xml:space="preserve"> por Métodos Econométricos</w:t>
      </w:r>
    </w:p>
    <w:p w14:paraId="35779382" w14:textId="561D2C02" w:rsidR="00D061C7" w:rsidRDefault="00607E4C" w:rsidP="00607E4C">
      <w:pPr>
        <w:ind w:firstLine="360"/>
        <w:jc w:val="both"/>
      </w:pPr>
      <w:r>
        <w:t xml:space="preserve">Dada a dificuldade em se construir taxas de depreciação variáveis ao longo do tempo, alguns autores procuraram estabelecer metodologias baseadas em abordagens econométricas que possibilitassem obter estimativas de taxas de depreciação variáveis.  </w:t>
      </w:r>
      <w:r w:rsidR="00D061C7">
        <w:t xml:space="preserve">Apresentamos </w:t>
      </w:r>
      <w:r>
        <w:t xml:space="preserve">nesta seção </w:t>
      </w:r>
      <w:r w:rsidR="00D061C7">
        <w:t>um resumo dos principais métodos para estabelecimento das taxas de depreciação</w:t>
      </w:r>
      <w:r w:rsidR="000A5903">
        <w:t>.</w:t>
      </w:r>
      <w:r w:rsidR="00D061C7">
        <w:t xml:space="preserve"> </w:t>
      </w:r>
    </w:p>
    <w:p w14:paraId="4762B147" w14:textId="77777777" w:rsidR="00D061C7" w:rsidRDefault="00D061C7" w:rsidP="004944D4">
      <w:pPr>
        <w:jc w:val="both"/>
        <w:rPr>
          <w:b/>
          <w:bCs/>
        </w:rPr>
      </w:pPr>
    </w:p>
    <w:p w14:paraId="3037BC79" w14:textId="66D2F494" w:rsidR="001B24AC" w:rsidRPr="00D061C7" w:rsidRDefault="008B66A4" w:rsidP="004944D4">
      <w:pPr>
        <w:jc w:val="both"/>
        <w:rPr>
          <w:b/>
          <w:bCs/>
        </w:rPr>
      </w:pPr>
      <w:r>
        <w:rPr>
          <w:b/>
          <w:bCs/>
        </w:rPr>
        <w:t xml:space="preserve">5.1 </w:t>
      </w:r>
      <w:r w:rsidR="001B24AC" w:rsidRPr="00D061C7">
        <w:rPr>
          <w:b/>
          <w:bCs/>
        </w:rPr>
        <w:t xml:space="preserve">Estimação </w:t>
      </w:r>
      <w:r w:rsidR="00903C14">
        <w:rPr>
          <w:b/>
          <w:bCs/>
        </w:rPr>
        <w:t xml:space="preserve">Econométrica de uma </w:t>
      </w:r>
      <w:r w:rsidR="001B24AC" w:rsidRPr="00D061C7">
        <w:rPr>
          <w:b/>
          <w:bCs/>
        </w:rPr>
        <w:t xml:space="preserve">Taxa de Depreciação Constante </w:t>
      </w:r>
    </w:p>
    <w:p w14:paraId="654632F7" w14:textId="1C0AD980" w:rsidR="001B24AC" w:rsidRDefault="005A40D4" w:rsidP="005A40D4">
      <w:pPr>
        <w:tabs>
          <w:tab w:val="left" w:pos="7560"/>
        </w:tabs>
        <w:jc w:val="both"/>
      </w:pPr>
      <w:r>
        <w:tab/>
      </w:r>
    </w:p>
    <w:p w14:paraId="511E12BC" w14:textId="77777777" w:rsidR="004944D4" w:rsidRDefault="001B24AC" w:rsidP="00CF2014">
      <w:pPr>
        <w:jc w:val="both"/>
      </w:pPr>
      <w:r>
        <w:t xml:space="preserve">O método proposto por </w:t>
      </w:r>
      <w:proofErr w:type="spellStart"/>
      <w:r>
        <w:t>Prucha</w:t>
      </w:r>
      <w:proofErr w:type="spellEnd"/>
      <w:r>
        <w:t xml:space="preserve"> (1995) consiste na estimação de uma taxa de depreciação constante. Considerando uma função de produção constante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CF2014" w14:paraId="626E1FAA" w14:textId="77777777" w:rsidTr="007F2428">
        <w:tc>
          <w:tcPr>
            <w:tcW w:w="7371" w:type="dxa"/>
            <w:vAlign w:val="center"/>
          </w:tcPr>
          <w:p w14:paraId="09C18A72" w14:textId="77777777" w:rsidR="004944D4" w:rsidRPr="00CF2014" w:rsidRDefault="001043D8" w:rsidP="00CF2014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14:paraId="60E8EA37" w14:textId="77777777" w:rsidR="004944D4" w:rsidRPr="004944D4" w:rsidRDefault="004944D4" w:rsidP="00765400">
            <w:pPr>
              <w:jc w:val="center"/>
            </w:pPr>
            <w:bookmarkStart w:id="2" w:name="_Ref7886588"/>
            <w:r w:rsidRPr="00970A46">
              <w:t>(</w:t>
            </w:r>
            <w:fldSimple w:instr=" SEQ Equação \* ARABIC ">
              <w:r>
                <w:rPr>
                  <w:noProof/>
                </w:rPr>
                <w:t>1</w:t>
              </w:r>
            </w:fldSimple>
            <w:bookmarkEnd w:id="2"/>
            <w:r w:rsidRPr="00970A46">
              <w:t>)</w:t>
            </w:r>
          </w:p>
        </w:tc>
      </w:tr>
    </w:tbl>
    <w:p w14:paraId="35C194E0" w14:textId="77777777" w:rsidR="00CF2014" w:rsidRDefault="00CF2014" w:rsidP="00CF2014">
      <w:pPr>
        <w:jc w:val="both"/>
        <w:rPr>
          <w:rFonts w:eastAsiaTheme="minorEastAsia"/>
        </w:rPr>
      </w:pPr>
    </w:p>
    <w:p w14:paraId="5E79203A" w14:textId="77777777" w:rsidR="004944D4" w:rsidRDefault="001B24AC" w:rsidP="00CF201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representam, respectivamente, produção, trabalho, estoque de capital em </w:t>
      </w:r>
      <w:r w:rsidRPr="001B24AC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, 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representa um vetor de parâmetros. A evolução do estoque de capital é determinada pelo método do inventário perpétuo: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4944D4" w14:paraId="4624771F" w14:textId="77777777" w:rsidTr="007E13CB">
        <w:tc>
          <w:tcPr>
            <w:tcW w:w="7371" w:type="dxa"/>
            <w:vAlign w:val="center"/>
          </w:tcPr>
          <w:p w14:paraId="67D63C84" w14:textId="77777777" w:rsidR="004944D4" w:rsidRPr="00CF2014" w:rsidRDefault="001043D8" w:rsidP="008618C0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20DC7FED" w14:textId="77777777" w:rsidR="004944D4" w:rsidRPr="004944D4" w:rsidRDefault="004944D4" w:rsidP="00CF2014">
            <w:pPr>
              <w:jc w:val="center"/>
            </w:pPr>
            <w:bookmarkStart w:id="3" w:name="_Ref7885861"/>
            <w:r w:rsidRPr="00970A46">
              <w:t>(</w:t>
            </w:r>
            <w:fldSimple w:instr=" SEQ Equação \* ARABIC ">
              <w:r>
                <w:rPr>
                  <w:noProof/>
                </w:rPr>
                <w:t>2</w:t>
              </w:r>
            </w:fldSimple>
            <w:bookmarkEnd w:id="3"/>
            <w:r w:rsidRPr="00970A46">
              <w:t>)</w:t>
            </w:r>
          </w:p>
        </w:tc>
      </w:tr>
    </w:tbl>
    <w:p w14:paraId="7FFAB9CC" w14:textId="77777777" w:rsidR="00CF2014" w:rsidRDefault="00CF2014" w:rsidP="004944D4">
      <w:pPr>
        <w:jc w:val="both"/>
      </w:pPr>
    </w:p>
    <w:p w14:paraId="50B6C9A2" w14:textId="77777777" w:rsidR="004944D4" w:rsidRPr="004944D4" w:rsidRDefault="00970A46" w:rsidP="004944D4">
      <w:pPr>
        <w:jc w:val="both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é o investimento em </w:t>
      </w:r>
      <w:r w:rsidRPr="00970A46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ϕ=(1-δ)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é uma taxa de depreciação desconhecida. Substituindo sucessivamente as defasagens do estoque de capital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t-l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 K</m:t>
            </m:r>
          </m:e>
          <m:sub>
            <m:r>
              <w:rPr>
                <w:rFonts w:ascii="Cambria Math" w:hAnsi="Cambria Math"/>
              </w:rPr>
              <m:t>t-l-1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em (</w:t>
      </w:r>
      <w:r w:rsidR="004944D4">
        <w:rPr>
          <w:rFonts w:eastAsiaTheme="minorEastAsia"/>
        </w:rPr>
        <w:fldChar w:fldCharType="begin"/>
      </w:r>
      <w:r w:rsidR="004944D4">
        <w:rPr>
          <w:rFonts w:eastAsiaTheme="minorEastAsia"/>
        </w:rPr>
        <w:instrText xml:space="preserve"> REF _Ref7885861 \h </w:instrText>
      </w:r>
      <w:r w:rsidR="004944D4">
        <w:rPr>
          <w:rFonts w:eastAsiaTheme="minorEastAsia"/>
        </w:rPr>
      </w:r>
      <w:r w:rsidR="004944D4">
        <w:rPr>
          <w:rFonts w:eastAsiaTheme="minorEastAsia"/>
        </w:rPr>
        <w:fldChar w:fldCharType="separate"/>
      </w:r>
      <w:r w:rsidR="004944D4">
        <w:rPr>
          <w:noProof/>
        </w:rPr>
        <w:t>2</w:t>
      </w:r>
      <w:r w:rsidR="004944D4">
        <w:rPr>
          <w:rFonts w:eastAsiaTheme="minorEastAsia"/>
        </w:rPr>
        <w:fldChar w:fldCharType="end"/>
      </w:r>
      <w:r>
        <w:rPr>
          <w:rFonts w:eastAsiaTheme="minorEastAsia"/>
        </w:rPr>
        <w:t>) temos:</w:t>
      </w: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4944D4" w14:paraId="7F302A3A" w14:textId="77777777" w:rsidTr="008B66A4">
        <w:trPr>
          <w:jc w:val="center"/>
        </w:trPr>
        <w:tc>
          <w:tcPr>
            <w:tcW w:w="7508" w:type="dxa"/>
            <w:vAlign w:val="center"/>
          </w:tcPr>
          <w:p w14:paraId="0F6235E1" w14:textId="2AB892D6" w:rsidR="004944D4" w:rsidRPr="00CF2014" w:rsidRDefault="001043D8" w:rsidP="00CF2014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,δ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5B9AD0A" w14:textId="77777777" w:rsidR="004944D4" w:rsidRPr="004944D4" w:rsidRDefault="004944D4" w:rsidP="004944D4">
            <w:pPr>
              <w:jc w:val="center"/>
            </w:pPr>
            <w:bookmarkStart w:id="4" w:name="_Ref7910929"/>
            <w:r w:rsidRPr="00970A46">
              <w:t>(</w:t>
            </w:r>
            <w:fldSimple w:instr=" SEQ Equação \* ARABIC ">
              <w:r>
                <w:rPr>
                  <w:noProof/>
                </w:rPr>
                <w:t>3</w:t>
              </w:r>
            </w:fldSimple>
            <w:bookmarkEnd w:id="4"/>
            <w:r w:rsidRPr="00970A46">
              <w:t>)</w:t>
            </w:r>
          </w:p>
        </w:tc>
      </w:tr>
    </w:tbl>
    <w:p w14:paraId="782DD16A" w14:textId="77777777" w:rsidR="000A2855" w:rsidRDefault="000A2855" w:rsidP="008618C0">
      <w:pPr>
        <w:jc w:val="both"/>
      </w:pPr>
    </w:p>
    <w:p w14:paraId="75D0EBDA" w14:textId="49024C16" w:rsidR="004944D4" w:rsidRDefault="00A34F84" w:rsidP="008618C0">
      <w:pPr>
        <w:jc w:val="both"/>
      </w:pPr>
      <w:r>
        <w:t>Substituindo na função de produção (</w:t>
      </w:r>
      <w:r w:rsidR="008618C0">
        <w:fldChar w:fldCharType="begin"/>
      </w:r>
      <w:r w:rsidR="008618C0">
        <w:instrText xml:space="preserve"> REF _Ref7886588 \h </w:instrText>
      </w:r>
      <w:r w:rsidR="008618C0">
        <w:fldChar w:fldCharType="separate"/>
      </w:r>
      <w:r w:rsidR="008618C0">
        <w:rPr>
          <w:noProof/>
        </w:rPr>
        <w:t>1</w:t>
      </w:r>
      <w:r w:rsidR="008618C0">
        <w:fldChar w:fldCharType="end"/>
      </w:r>
      <w:r>
        <w:t>) obtemos:</w:t>
      </w: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8618C0" w14:paraId="658287D6" w14:textId="77777777" w:rsidTr="000A2855">
        <w:trPr>
          <w:jc w:val="center"/>
        </w:trPr>
        <w:tc>
          <w:tcPr>
            <w:tcW w:w="7508" w:type="dxa"/>
            <w:vAlign w:val="center"/>
          </w:tcPr>
          <w:p w14:paraId="6AF502E7" w14:textId="77777777" w:rsidR="004944D4" w:rsidRPr="008618C0" w:rsidRDefault="001043D8" w:rsidP="008618C0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,δ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47D49BC" w14:textId="77777777" w:rsidR="004944D4" w:rsidRPr="004944D4" w:rsidRDefault="004944D4" w:rsidP="00765400">
            <w:pPr>
              <w:jc w:val="center"/>
            </w:pPr>
            <w:r w:rsidRPr="00970A46">
              <w:t>(</w:t>
            </w:r>
            <w:fldSimple w:instr=" SEQ Equação \* ARABIC ">
              <w:r w:rsidR="00AF1CA9">
                <w:rPr>
                  <w:noProof/>
                </w:rPr>
                <w:t>4</w:t>
              </w:r>
            </w:fldSimple>
            <w:r w:rsidRPr="00970A46">
              <w:t>)</w:t>
            </w:r>
          </w:p>
        </w:tc>
      </w:tr>
    </w:tbl>
    <w:p w14:paraId="5BA21513" w14:textId="77777777" w:rsidR="00970A46" w:rsidRDefault="00970A46" w:rsidP="00AF1CA9">
      <w:pPr>
        <w:jc w:val="both"/>
        <w:rPr>
          <w:rFonts w:eastAsiaTheme="minorEastAsia"/>
        </w:rPr>
      </w:pPr>
    </w:p>
    <w:p w14:paraId="740F6F2A" w14:textId="77777777" w:rsidR="004944D4" w:rsidRDefault="00A34F84" w:rsidP="00AF1CA9">
      <w:pPr>
        <w:jc w:val="both"/>
        <w:rPr>
          <w:rFonts w:eastAsiaTheme="minorEastAsia"/>
        </w:rPr>
      </w:pPr>
      <w:r>
        <w:t xml:space="preserve">onde,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</w:t>
      </w:r>
      <w:r>
        <w:t xml:space="preserve">também são função de </w:t>
      </w:r>
      <w:r w:rsidRPr="00A34F84">
        <w:rPr>
          <w:i/>
          <w:iCs/>
        </w:rPr>
        <w:t>t</w:t>
      </w:r>
      <w:r w:rsidR="00C90E03">
        <w:t xml:space="preserve">. </w:t>
      </w:r>
      <w:r w:rsidR="00D061C7">
        <w:t xml:space="preserve">Uma vez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061C7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061C7">
        <w:rPr>
          <w:rFonts w:eastAsiaTheme="minorEastAsia"/>
        </w:rPr>
        <w:t xml:space="preserve"> são variáveis observáveis, os parâmetros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61C7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</m:t>
        </m:r>
      </m:oMath>
      <w:r w:rsidR="00D061C7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θ</m:t>
        </m:r>
      </m:oMath>
      <w:r w:rsidR="00D061C7">
        <w:rPr>
          <w:rFonts w:eastAsiaTheme="minorEastAsia"/>
        </w:rPr>
        <w:t xml:space="preserve"> podem ser estimados em um modelo econométrico</w:t>
      </w:r>
      <w:r w:rsidR="000A5903">
        <w:rPr>
          <w:rFonts w:eastAsiaTheme="minorEastAsia"/>
        </w:rPr>
        <w:t xml:space="preserve">. A dificuldade reside da quantidade de </w:t>
      </w:r>
      <w:r w:rsidR="00D061C7">
        <w:rPr>
          <w:rFonts w:eastAsiaTheme="minorEastAsia"/>
        </w:rPr>
        <w:t>parâmetros</w:t>
      </w:r>
      <w:r w:rsidR="000A5903">
        <w:rPr>
          <w:rFonts w:eastAsiaTheme="minorEastAsia"/>
        </w:rPr>
        <w:t xml:space="preserve">, que aumenta juntamente com </w:t>
      </w:r>
      <w:r w:rsidR="00D061C7" w:rsidRPr="00D061C7">
        <w:rPr>
          <w:rFonts w:eastAsiaTheme="minorEastAsia"/>
          <w:i/>
          <w:iCs/>
        </w:rPr>
        <w:t>t</w:t>
      </w:r>
      <w:r w:rsidR="000A5903">
        <w:rPr>
          <w:rFonts w:eastAsiaTheme="minorEastAsia"/>
          <w:i/>
          <w:iCs/>
        </w:rPr>
        <w:t>.</w:t>
      </w:r>
      <w:r w:rsidR="000A5903">
        <w:rPr>
          <w:rFonts w:eastAsiaTheme="minorEastAsia"/>
        </w:rPr>
        <w:t xml:space="preserve"> </w:t>
      </w:r>
      <w:r w:rsidR="00AF1CA9">
        <w:rPr>
          <w:rFonts w:eastAsiaTheme="minorEastAsia"/>
        </w:rPr>
        <w:t>No entanto, esta dificuldade pode ser contornada introduzindo variáveis explicativas conforme explicitado abaixo. R</w:t>
      </w:r>
      <w:r w:rsidR="000A5903">
        <w:rPr>
          <w:rFonts w:eastAsiaTheme="minorEastAsia"/>
        </w:rPr>
        <w:t xml:space="preserve">ealizando </w:t>
      </w:r>
      <w:r w:rsidR="00AF1CA9">
        <w:rPr>
          <w:rFonts w:eastAsiaTheme="minorEastAsia"/>
        </w:rPr>
        <w:t xml:space="preserve">primeiramente </w:t>
      </w:r>
      <w:r w:rsidR="000A5903">
        <w:rPr>
          <w:rFonts w:eastAsiaTheme="minorEastAsia"/>
        </w:rPr>
        <w:t>a mudança de base:</w:t>
      </w:r>
      <w:r w:rsidR="00AF1CA9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j=t-i</m:t>
        </m:r>
      </m:oMath>
      <w:r w:rsidR="004944D4">
        <w:rPr>
          <w:rFonts w:eastAsiaTheme="minorEastAsia"/>
        </w:rPr>
        <w:t>.</w:t>
      </w: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AF1CA9" w14:paraId="389AF886" w14:textId="77777777" w:rsidTr="008B66A4">
        <w:trPr>
          <w:jc w:val="center"/>
        </w:trPr>
        <w:tc>
          <w:tcPr>
            <w:tcW w:w="7508" w:type="dxa"/>
            <w:vAlign w:val="center"/>
          </w:tcPr>
          <w:p w14:paraId="0F28825E" w14:textId="77777777" w:rsidR="00AF1CA9" w:rsidRPr="008618C0" w:rsidRDefault="001043D8" w:rsidP="00765400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01DF70A" w14:textId="77777777" w:rsidR="00AF1CA9" w:rsidRPr="004944D4" w:rsidRDefault="00AF1CA9" w:rsidP="00765400">
            <w:pPr>
              <w:jc w:val="center"/>
            </w:pPr>
            <w:bookmarkStart w:id="5" w:name="_Ref7888105"/>
            <w:r w:rsidRPr="00970A46">
              <w:t>(</w:t>
            </w:r>
            <w:fldSimple w:instr=" SEQ Equação \* ARABIC ">
              <w:r>
                <w:rPr>
                  <w:noProof/>
                </w:rPr>
                <w:t>5</w:t>
              </w:r>
            </w:fldSimple>
            <w:bookmarkEnd w:id="5"/>
            <w:r w:rsidRPr="00970A46">
              <w:t>)</w:t>
            </w:r>
          </w:p>
        </w:tc>
      </w:tr>
    </w:tbl>
    <w:p w14:paraId="2C3D07DE" w14:textId="77777777" w:rsidR="00AF1CA9" w:rsidRDefault="00AF1CA9" w:rsidP="004944D4">
      <w:pPr>
        <w:jc w:val="both"/>
        <w:rPr>
          <w:rFonts w:eastAsiaTheme="minorEastAsia"/>
        </w:rPr>
      </w:pPr>
    </w:p>
    <w:p w14:paraId="3C63ABA9" w14:textId="77777777" w:rsidR="00AF1CA9" w:rsidRPr="00AF1CA9" w:rsidRDefault="00AF1CA9" w:rsidP="004944D4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Para um dado </w:t>
      </w:r>
      <m:oMath>
        <m:r>
          <w:rPr>
            <w:rFonts w:ascii="Cambria Math" w:eastAsiaTheme="minorEastAsia" w:hAnsi="Cambria Math"/>
          </w:rPr>
          <m:t>t=j+i</m:t>
        </m:r>
      </m:oMath>
      <w:r>
        <w:rPr>
          <w:rFonts w:eastAsiaTheme="minorEastAsia"/>
          <w:iCs/>
        </w:rPr>
        <w:t xml:space="preserve">, definimos </w:t>
      </w:r>
      <w:r w:rsidRPr="00AF1CA9">
        <w:rPr>
          <w:rFonts w:eastAsiaTheme="minorEastAsia"/>
          <w:i/>
        </w:rPr>
        <w:t>T</w:t>
      </w:r>
      <w:r>
        <w:rPr>
          <w:rFonts w:eastAsiaTheme="minorEastAsia"/>
          <w:iCs/>
        </w:rPr>
        <w:t xml:space="preserve"> novas variáveis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 j=1,⋯,T</m:t>
        </m:r>
      </m:oMath>
      <w:r>
        <w:rPr>
          <w:rFonts w:eastAsiaTheme="minorEastAsia"/>
        </w:rPr>
        <w:t xml:space="preserve"> com auxílio das </w:t>
      </w:r>
      <w:r>
        <w:rPr>
          <w:rFonts w:eastAsiaTheme="minorEastAsia"/>
          <w:iCs/>
        </w:rPr>
        <w:t xml:space="preserve">indicadoras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conforme a expressão:</w:t>
      </w:r>
    </w:p>
    <w:p w14:paraId="56BD4E55" w14:textId="77777777" w:rsidR="004944D4" w:rsidRPr="004944D4" w:rsidRDefault="004944D4" w:rsidP="004944D4">
      <w:pPr>
        <w:jc w:val="both"/>
        <w:rPr>
          <w:rFonts w:eastAsiaTheme="minorEastAsia"/>
        </w:rPr>
      </w:pP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AF1CA9" w14:paraId="6D3B5E72" w14:textId="77777777" w:rsidTr="009B67CB">
        <w:trPr>
          <w:jc w:val="center"/>
        </w:trPr>
        <w:tc>
          <w:tcPr>
            <w:tcW w:w="7508" w:type="dxa"/>
            <w:vAlign w:val="center"/>
          </w:tcPr>
          <w:p w14:paraId="3772E7D9" w14:textId="77777777" w:rsidR="00AF1CA9" w:rsidRPr="008618C0" w:rsidRDefault="001043D8" w:rsidP="00765400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1134" w:type="dxa"/>
            <w:vAlign w:val="center"/>
          </w:tcPr>
          <w:p w14:paraId="4E3548EC" w14:textId="77777777" w:rsidR="00AF1CA9" w:rsidRPr="004944D4" w:rsidRDefault="00AF1CA9" w:rsidP="00765400">
            <w:pPr>
              <w:jc w:val="center"/>
            </w:pPr>
            <w:bookmarkStart w:id="6" w:name="_Ref7939764"/>
            <w:r w:rsidRPr="00970A46">
              <w:t>(</w:t>
            </w:r>
            <w:fldSimple w:instr=" SEQ Equação \* ARABIC ">
              <w:r w:rsidR="00F63A02">
                <w:rPr>
                  <w:noProof/>
                </w:rPr>
                <w:t>6</w:t>
              </w:r>
            </w:fldSimple>
            <w:bookmarkEnd w:id="6"/>
            <w:r w:rsidRPr="00970A46">
              <w:t>)</w:t>
            </w:r>
          </w:p>
        </w:tc>
      </w:tr>
      <w:tr w:rsidR="00D77957" w14:paraId="53B41E4D" w14:textId="77777777" w:rsidTr="009B67CB">
        <w:trPr>
          <w:jc w:val="center"/>
        </w:trPr>
        <w:tc>
          <w:tcPr>
            <w:tcW w:w="7508" w:type="dxa"/>
            <w:vAlign w:val="center"/>
          </w:tcPr>
          <w:p w14:paraId="19A33E04" w14:textId="77777777" w:rsidR="00D77957" w:rsidRPr="00AE5910" w:rsidRDefault="001043D8" w:rsidP="00765400">
            <w:pPr>
              <w:ind w:left="601"/>
              <w:jc w:val="center"/>
              <w:rPr>
                <w:rFonts w:ascii="Calibri" w:eastAsia="Times New Roman" w:hAnsi="Calibri" w:cs="Arial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j≤t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j&gt;t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268EEA02" w14:textId="77777777" w:rsidR="00D77957" w:rsidRPr="00970A46" w:rsidRDefault="00D77957" w:rsidP="00765400">
            <w:pPr>
              <w:jc w:val="center"/>
            </w:pPr>
          </w:p>
        </w:tc>
      </w:tr>
    </w:tbl>
    <w:p w14:paraId="3FFB4611" w14:textId="77777777" w:rsidR="00AF1CA9" w:rsidRDefault="00AF1CA9" w:rsidP="004944D4">
      <w:pPr>
        <w:jc w:val="both"/>
      </w:pPr>
    </w:p>
    <w:p w14:paraId="25BBC8B4" w14:textId="77777777" w:rsidR="00F63A02" w:rsidRDefault="00F63A02" w:rsidP="004944D4">
      <w:pPr>
        <w:jc w:val="both"/>
      </w:pPr>
      <w:r>
        <w:t xml:space="preserve">Reescrevendo a expressão </w:t>
      </w:r>
      <w:r>
        <w:fldChar w:fldCharType="begin"/>
      </w:r>
      <w:r>
        <w:instrText xml:space="preserve"> REF _Ref7888105 \h </w:instrText>
      </w:r>
      <w:r>
        <w:fldChar w:fldCharType="separate"/>
      </w:r>
      <w:r>
        <w:t>(</w:t>
      </w:r>
      <w:r>
        <w:rPr>
          <w:noProof/>
        </w:rPr>
        <w:t>5</w:t>
      </w:r>
      <w:r>
        <w:fldChar w:fldCharType="end"/>
      </w:r>
      <w:r>
        <w:t>) temos:</w:t>
      </w: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F63A02" w14:paraId="4DC4310F" w14:textId="77777777" w:rsidTr="000A2855">
        <w:trPr>
          <w:jc w:val="center"/>
        </w:trPr>
        <w:tc>
          <w:tcPr>
            <w:tcW w:w="7508" w:type="dxa"/>
            <w:vAlign w:val="center"/>
          </w:tcPr>
          <w:p w14:paraId="300F62A8" w14:textId="77777777" w:rsidR="00F63A02" w:rsidRPr="008618C0" w:rsidRDefault="001043D8" w:rsidP="00765400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,⋯,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,δ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9488286" w14:textId="77777777" w:rsidR="00F63A02" w:rsidRPr="004944D4" w:rsidRDefault="00F63A02" w:rsidP="00765400">
            <w:pPr>
              <w:jc w:val="center"/>
            </w:pPr>
            <w:r w:rsidRPr="00970A46">
              <w:t>(</w:t>
            </w:r>
            <w:fldSimple w:instr=" SEQ Equação \* ARABIC ">
              <w:r w:rsidR="00D77957">
                <w:rPr>
                  <w:noProof/>
                </w:rPr>
                <w:t>7</w:t>
              </w:r>
            </w:fldSimple>
            <w:r w:rsidRPr="00970A46">
              <w:t>)</w:t>
            </w:r>
          </w:p>
        </w:tc>
      </w:tr>
    </w:tbl>
    <w:p w14:paraId="7A9AF93E" w14:textId="77777777" w:rsidR="00AF1CA9" w:rsidRDefault="00AF1CA9" w:rsidP="004944D4">
      <w:pPr>
        <w:jc w:val="both"/>
        <w:rPr>
          <w:rFonts w:eastAsiaTheme="minorEastAsia"/>
        </w:rPr>
      </w:pPr>
    </w:p>
    <w:p w14:paraId="2658B5D6" w14:textId="77777777" w:rsidR="00D77957" w:rsidRDefault="007C6407" w:rsidP="007C6407">
      <w:pPr>
        <w:jc w:val="both"/>
        <w:rPr>
          <w:rFonts w:eastAsiaTheme="minorEastAsia"/>
        </w:rPr>
      </w:pPr>
      <w:r>
        <w:rPr>
          <w:rFonts w:eastAsiaTheme="minorEastAsia"/>
        </w:rPr>
        <w:t>Agora o número de parâmetros em cada período é constante, permitindo a estimação econométrica do seguinte sistema:</w:t>
      </w:r>
    </w:p>
    <w:p w14:paraId="3444A564" w14:textId="5076B6B8" w:rsidR="007C6407" w:rsidRPr="00796900" w:rsidRDefault="001043D8" w:rsidP="007C6407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889AE37" w14:textId="77777777" w:rsidR="00796900" w:rsidRDefault="00796900" w:rsidP="007C6407">
      <w:pPr>
        <w:jc w:val="center"/>
        <w:rPr>
          <w:rFonts w:eastAsiaTheme="minorEastAsia"/>
        </w:rPr>
      </w:pP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7C6407" w14:paraId="46A463EB" w14:textId="77777777" w:rsidTr="000A2855">
        <w:trPr>
          <w:jc w:val="center"/>
        </w:trPr>
        <w:tc>
          <w:tcPr>
            <w:tcW w:w="7508" w:type="dxa"/>
            <w:vAlign w:val="center"/>
          </w:tcPr>
          <w:p w14:paraId="64ED595B" w14:textId="77777777" w:rsidR="007C6407" w:rsidRPr="008618C0" w:rsidRDefault="001043D8" w:rsidP="00765400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,⋯,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,δ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089EF0D" w14:textId="77777777" w:rsidR="007C6407" w:rsidRPr="004944D4" w:rsidRDefault="007C6407" w:rsidP="00765400">
            <w:pPr>
              <w:jc w:val="center"/>
            </w:pPr>
          </w:p>
        </w:tc>
      </w:tr>
    </w:tbl>
    <w:p w14:paraId="2B9A0FEE" w14:textId="77777777" w:rsidR="007C6407" w:rsidRDefault="007C6407" w:rsidP="007C6407">
      <w:pPr>
        <w:rPr>
          <w:rFonts w:eastAsiaTheme="minorEastAsia"/>
        </w:rPr>
      </w:pPr>
    </w:p>
    <w:p w14:paraId="5061EF6F" w14:textId="77777777" w:rsidR="004944D4" w:rsidRDefault="007C6407" w:rsidP="007C6407">
      <w:pPr>
        <w:rPr>
          <w:rFonts w:eastAsiaTheme="minorEastAsia"/>
        </w:rPr>
      </w:pPr>
      <w:r>
        <w:rPr>
          <w:rFonts w:eastAsiaTheme="minorEastAsia"/>
        </w:rPr>
        <w:t xml:space="preserve">O estoque de capital depende de </w:t>
      </w:r>
      <w:r w:rsidRPr="00796900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</w:t>
      </w:r>
      <w:r w:rsidR="00796900">
        <w:rPr>
          <w:rFonts w:eastAsiaTheme="minorEastAsia"/>
        </w:rPr>
        <w:t xml:space="preserve">variáveis em todos os períodos </w:t>
      </w:r>
      <w:r>
        <w:rPr>
          <w:rFonts w:eastAsiaTheme="minorEastAsia"/>
        </w:rPr>
        <w:t xml:space="preserve">e o modelo é identificável. </w:t>
      </w:r>
    </w:p>
    <w:p w14:paraId="582B4439" w14:textId="77777777" w:rsidR="004944D4" w:rsidRDefault="004944D4" w:rsidP="004944D4">
      <w:pPr>
        <w:jc w:val="center"/>
        <w:rPr>
          <w:rFonts w:eastAsiaTheme="minorEastAsia"/>
        </w:rPr>
      </w:pPr>
    </w:p>
    <w:p w14:paraId="0EE522D1" w14:textId="44CEFD87" w:rsidR="007C6407" w:rsidRDefault="008B66A4" w:rsidP="007C6407">
      <w:pPr>
        <w:jc w:val="both"/>
        <w:rPr>
          <w:b/>
          <w:bCs/>
        </w:rPr>
      </w:pPr>
      <w:r>
        <w:rPr>
          <w:b/>
          <w:bCs/>
        </w:rPr>
        <w:t xml:space="preserve">5.2 </w:t>
      </w:r>
      <w:r w:rsidR="007C6407" w:rsidRPr="00D061C7">
        <w:rPr>
          <w:b/>
          <w:bCs/>
        </w:rPr>
        <w:t xml:space="preserve">Estimação </w:t>
      </w:r>
      <w:r w:rsidR="00903C14">
        <w:rPr>
          <w:b/>
          <w:bCs/>
        </w:rPr>
        <w:t xml:space="preserve">Econométrica </w:t>
      </w:r>
      <w:r w:rsidR="007C6407" w:rsidRPr="00D061C7">
        <w:rPr>
          <w:b/>
          <w:bCs/>
        </w:rPr>
        <w:t xml:space="preserve">de Taxa de Depreciação </w:t>
      </w:r>
      <w:r w:rsidR="007C6407">
        <w:rPr>
          <w:b/>
          <w:bCs/>
        </w:rPr>
        <w:t>Variável</w:t>
      </w:r>
      <w:r w:rsidR="00903C14">
        <w:rPr>
          <w:b/>
          <w:bCs/>
        </w:rPr>
        <w:t xml:space="preserve"> </w:t>
      </w:r>
    </w:p>
    <w:p w14:paraId="3AF6D9D1" w14:textId="0CCF6388" w:rsidR="00FD7528" w:rsidRDefault="00765400" w:rsidP="00143390">
      <w:pPr>
        <w:ind w:firstLine="708"/>
        <w:jc w:val="both"/>
        <w:rPr>
          <w:rFonts w:eastAsiaTheme="minorEastAsia"/>
        </w:rPr>
      </w:pPr>
      <w:r>
        <w:t xml:space="preserve">A estimação da depreciação constante ocorre ao mesmo tempo da estimação do conjunto de parâmetros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da função de produção. </w:t>
      </w:r>
      <w:r w:rsidR="00FD7528">
        <w:rPr>
          <w:rFonts w:eastAsiaTheme="minorEastAsia"/>
        </w:rPr>
        <w:t xml:space="preserve">A estimação da </w:t>
      </w:r>
      <w:r>
        <w:rPr>
          <w:rFonts w:eastAsiaTheme="minorEastAsia"/>
        </w:rPr>
        <w:t xml:space="preserve">taxa de depreciação </w:t>
      </w:r>
      <w:r w:rsidR="00FD7528">
        <w:rPr>
          <w:rFonts w:eastAsiaTheme="minorEastAsia"/>
        </w:rPr>
        <w:t xml:space="preserve">variável possui duas ramificações. Na primeira ramificação introduzimos uma variável auxiliar </w:t>
      </w:r>
      <w:r w:rsidR="00FD7528" w:rsidRPr="00FD7528">
        <w:rPr>
          <w:rFonts w:eastAsiaTheme="minorEastAsia"/>
          <w:i/>
          <w:iCs/>
        </w:rPr>
        <w:t>x</w:t>
      </w:r>
      <w:r w:rsidR="00FD7528">
        <w:rPr>
          <w:rFonts w:eastAsiaTheme="minorEastAsia"/>
        </w:rPr>
        <w:t xml:space="preserve"> que possui uma relação linear com a taxa de depreciação: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 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1EE3">
        <w:rPr>
          <w:rFonts w:eastAsiaTheme="minorEastAsia"/>
        </w:rPr>
        <w:t xml:space="preserve">, enquanto na segunda abordagem a taxa de depreciação variável possui uma dependência não-linear com </w:t>
      </w:r>
      <w:r w:rsidR="00691EE3" w:rsidRPr="00691EE3">
        <w:rPr>
          <w:rFonts w:eastAsiaTheme="minorEastAsia"/>
          <w:i/>
          <w:iCs/>
        </w:rPr>
        <w:t>x</w:t>
      </w:r>
      <w:r w:rsidR="00691EE3">
        <w:rPr>
          <w:rFonts w:eastAsiaTheme="minorEastAsia"/>
        </w:rPr>
        <w:t>.</w:t>
      </w:r>
    </w:p>
    <w:p w14:paraId="2B0F021D" w14:textId="77777777" w:rsidR="00FD7528" w:rsidRDefault="00FD7528" w:rsidP="00FD7528">
      <w:pPr>
        <w:jc w:val="both"/>
      </w:pPr>
      <w:r>
        <w:t>Considerando a função de produção: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FD7528" w14:paraId="72FB0326" w14:textId="77777777" w:rsidTr="000A2855">
        <w:tc>
          <w:tcPr>
            <w:tcW w:w="7371" w:type="dxa"/>
            <w:vAlign w:val="center"/>
          </w:tcPr>
          <w:p w14:paraId="79D0EE8B" w14:textId="77777777" w:rsidR="00FD7528" w:rsidRPr="00CF2014" w:rsidRDefault="001043D8" w:rsidP="00EB7846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14:paraId="5F5C4CCB" w14:textId="6026BDDC" w:rsidR="00FD7528" w:rsidRPr="004944D4" w:rsidRDefault="00FD7528" w:rsidP="00EB7846">
            <w:pPr>
              <w:jc w:val="center"/>
            </w:pPr>
          </w:p>
        </w:tc>
      </w:tr>
    </w:tbl>
    <w:p w14:paraId="22B4CF3A" w14:textId="77777777" w:rsidR="00FD7528" w:rsidRDefault="00FD7528" w:rsidP="00FD7528">
      <w:pPr>
        <w:jc w:val="both"/>
        <w:rPr>
          <w:rFonts w:eastAsiaTheme="minorEastAsia"/>
        </w:rPr>
      </w:pPr>
    </w:p>
    <w:p w14:paraId="0D7EB8D1" w14:textId="6907F866" w:rsidR="00FD7528" w:rsidRPr="00765400" w:rsidRDefault="00FD7528" w:rsidP="00FD7528">
      <w:pPr>
        <w:jc w:val="both"/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depende de uma taxa de depreciação variável.</w:t>
      </w:r>
      <w:r w:rsidR="00691EE3">
        <w:rPr>
          <w:rFonts w:eastAsiaTheme="minorEastAsia"/>
        </w:rPr>
        <w:t xml:space="preserve"> Uma das vantagens desta especificação é a possibilidade de testar a hipótese de haver uma taxa de depreciação constante: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91EE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</w:p>
    <w:p w14:paraId="731CC065" w14:textId="00116565" w:rsidR="00691EE3" w:rsidRDefault="00691EE3" w:rsidP="00EB784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Denominando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temos: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Substituindo recursivamente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t-s</m:t>
            </m:r>
          </m:sub>
        </m:sSub>
        <m:r>
          <w:rPr>
            <w:rFonts w:ascii="Cambria Math" w:hAnsi="Cambria Math"/>
          </w:rPr>
          <m:t>, ∀s=1,⋯,t-1</m:t>
        </m:r>
      </m:oMath>
      <w:r>
        <w:rPr>
          <w:rFonts w:eastAsiaTheme="minorEastAsia"/>
        </w:rPr>
        <w:t xml:space="preserve"> em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_Ref7885861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 e substituindo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por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temos a relação: 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691EE3" w14:paraId="1A9D3DB1" w14:textId="77777777" w:rsidTr="000A2855">
        <w:tc>
          <w:tcPr>
            <w:tcW w:w="7371" w:type="dxa"/>
            <w:vAlign w:val="center"/>
          </w:tcPr>
          <w:p w14:paraId="527A39BD" w14:textId="11DD202C" w:rsidR="00691EE3" w:rsidRPr="00CF2014" w:rsidRDefault="001043D8" w:rsidP="00EB7846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3605E133" w14:textId="7F3F1788" w:rsidR="00691EE3" w:rsidRPr="004944D4" w:rsidRDefault="00691EE3" w:rsidP="00EB7846">
            <w:pPr>
              <w:jc w:val="center"/>
            </w:pPr>
            <w:bookmarkStart w:id="7" w:name="_Ref7910406"/>
            <w:r w:rsidRPr="00970A46">
              <w:t>(</w:t>
            </w:r>
            <w:fldSimple w:instr=" SEQ Equação \* ARABIC ">
              <w:r w:rsidR="00EB7846">
                <w:rPr>
                  <w:noProof/>
                </w:rPr>
                <w:t>8</w:t>
              </w:r>
            </w:fldSimple>
            <w:bookmarkEnd w:id="7"/>
            <w:r w:rsidRPr="00970A46">
              <w:t>)</w:t>
            </w:r>
          </w:p>
        </w:tc>
      </w:tr>
    </w:tbl>
    <w:p w14:paraId="787C4544" w14:textId="14FEFDE3" w:rsidR="00691EE3" w:rsidRDefault="00691EE3" w:rsidP="00FD7528">
      <w:pPr>
        <w:rPr>
          <w:rFonts w:eastAsiaTheme="minorEastAsia"/>
        </w:rPr>
      </w:pPr>
    </w:p>
    <w:p w14:paraId="155EABF5" w14:textId="0FD8C07F" w:rsidR="00EB7846" w:rsidRDefault="00EB7846" w:rsidP="00FD7528">
      <w:pPr>
        <w:rPr>
          <w:rFonts w:eastAsiaTheme="minorEastAsia"/>
        </w:rPr>
      </w:pPr>
      <w:r>
        <w:rPr>
          <w:rFonts w:eastAsiaTheme="minorEastAsia"/>
        </w:rPr>
        <w:t xml:space="preserve">Representando os coeficientes do investimento bruto no período </w:t>
      </w:r>
      <m:oMath>
        <m:r>
          <w:rPr>
            <w:rFonts w:ascii="Cambria Math" w:eastAsiaTheme="minorEastAsia" w:hAnsi="Cambria Math"/>
          </w:rPr>
          <m:t>t-s</m:t>
        </m:r>
      </m:oMath>
      <w:r>
        <w:rPr>
          <w:rFonts w:eastAsiaTheme="minorEastAsia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t,s</m:t>
            </m:r>
          </m:sub>
        </m:sSub>
      </m:oMath>
      <w:r>
        <w:rPr>
          <w:rFonts w:eastAsiaTheme="minorEastAsia"/>
        </w:rPr>
        <w:t xml:space="preserve"> ,</w:t>
      </w:r>
      <m:oMath>
        <m:r>
          <w:rPr>
            <w:rFonts w:ascii="Cambria Math" w:hAnsi="Cambria Math"/>
          </w:rPr>
          <m:t xml:space="preserve">∀s: </m:t>
        </m:r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s≤t-1</m:t>
        </m:r>
      </m:oMath>
      <w:r>
        <w:rPr>
          <w:rFonts w:eastAsiaTheme="minorEastAsia"/>
        </w:rPr>
        <w:t>, onde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t,t</m:t>
            </m:r>
          </m:sub>
        </m:sSub>
      </m:oMath>
      <w:r>
        <w:rPr>
          <w:rFonts w:eastAsiaTheme="minorEastAsia"/>
        </w:rPr>
        <w:t xml:space="preserve"> é o coeficiente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Então: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EB7846" w14:paraId="32D50F36" w14:textId="77777777" w:rsidTr="007E13CB">
        <w:tc>
          <w:tcPr>
            <w:tcW w:w="7371" w:type="dxa"/>
            <w:vAlign w:val="center"/>
          </w:tcPr>
          <w:p w14:paraId="366B8944" w14:textId="24D3E16F" w:rsidR="00EB7846" w:rsidRPr="00CF2014" w:rsidRDefault="001043D8" w:rsidP="00EB7846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se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s≤t-1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se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e>
                          </m:mr>
                        </m:m>
                      </m:e>
                      <m:sub/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14:paraId="567DCAAC" w14:textId="2330970F" w:rsidR="00EB7846" w:rsidRPr="004944D4" w:rsidRDefault="00EB7846" w:rsidP="00EB7846">
            <w:pPr>
              <w:jc w:val="center"/>
            </w:pPr>
            <w:bookmarkStart w:id="8" w:name="_Ref7943346"/>
            <w:r w:rsidRPr="00970A46">
              <w:t>(</w:t>
            </w:r>
            <w:fldSimple w:instr=" SEQ Equação \* ARABIC ">
              <w:r>
                <w:rPr>
                  <w:noProof/>
                </w:rPr>
                <w:t>9</w:t>
              </w:r>
            </w:fldSimple>
            <w:bookmarkEnd w:id="8"/>
            <w:r w:rsidRPr="00970A46">
              <w:t>)</w:t>
            </w:r>
          </w:p>
        </w:tc>
      </w:tr>
    </w:tbl>
    <w:p w14:paraId="2F2ACEC0" w14:textId="77777777" w:rsidR="00EB7846" w:rsidRDefault="00EB7846" w:rsidP="00FD7528">
      <w:pPr>
        <w:rPr>
          <w:rFonts w:eastAsiaTheme="minorEastAsia"/>
        </w:rPr>
      </w:pPr>
    </w:p>
    <w:p w14:paraId="709F3076" w14:textId="05B5BFF7" w:rsidR="00EB7846" w:rsidRDefault="00EB7846" w:rsidP="00FD7528">
      <w:pPr>
        <w:rPr>
          <w:rFonts w:eastAsiaTheme="minorEastAsia"/>
        </w:rPr>
      </w:pPr>
      <w:r>
        <w:rPr>
          <w:rFonts w:eastAsiaTheme="minorEastAsia"/>
        </w:rPr>
        <w:t xml:space="preserve">Desta forma a expressão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_Ref7910406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pode ser escrita como: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2B15B0" w14:paraId="4946ED24" w14:textId="77777777" w:rsidTr="007E13CB">
        <w:tc>
          <w:tcPr>
            <w:tcW w:w="7371" w:type="dxa"/>
            <w:vAlign w:val="center"/>
          </w:tcPr>
          <w:p w14:paraId="09434693" w14:textId="78B50477" w:rsidR="002B15B0" w:rsidRPr="00CF2014" w:rsidRDefault="001043D8" w:rsidP="002B15B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14:paraId="74F72B59" w14:textId="67441402" w:rsidR="002B15B0" w:rsidRPr="004944D4" w:rsidRDefault="002B15B0" w:rsidP="007E13CB">
            <w:pPr>
              <w:jc w:val="center"/>
            </w:pPr>
            <w:bookmarkStart w:id="9" w:name="_Ref7910889"/>
            <w:r w:rsidRPr="00970A46">
              <w:t>(</w:t>
            </w:r>
            <w:fldSimple w:instr=" SEQ Equação \* ARABIC ">
              <w:r>
                <w:rPr>
                  <w:noProof/>
                </w:rPr>
                <w:t>10</w:t>
              </w:r>
            </w:fldSimple>
            <w:bookmarkEnd w:id="9"/>
            <w:r w:rsidRPr="00970A46">
              <w:t>)</w:t>
            </w:r>
          </w:p>
        </w:tc>
      </w:tr>
    </w:tbl>
    <w:p w14:paraId="60DC7443" w14:textId="04651392" w:rsidR="002B15B0" w:rsidRDefault="002B15B0" w:rsidP="00FD7528">
      <w:pPr>
        <w:rPr>
          <w:rFonts w:eastAsiaTheme="minorEastAsia"/>
        </w:rPr>
      </w:pPr>
    </w:p>
    <w:p w14:paraId="243B3A61" w14:textId="13E7407D" w:rsidR="002B15B0" w:rsidRDefault="002B15B0" w:rsidP="007E13C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Observe que,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=δ, </m:t>
        </m:r>
        <m:r>
          <w:rPr>
            <w:rFonts w:ascii="Cambria Math" w:hAnsi="Cambria Math"/>
          </w:rPr>
          <m:t>∀t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t,s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>, e (</w:t>
      </w:r>
      <w:r w:rsidR="000223C0">
        <w:rPr>
          <w:rFonts w:eastAsiaTheme="minorEastAsia"/>
        </w:rPr>
        <w:fldChar w:fldCharType="begin"/>
      </w:r>
      <w:r w:rsidR="000223C0">
        <w:rPr>
          <w:rFonts w:eastAsiaTheme="minorEastAsia"/>
        </w:rPr>
        <w:instrText xml:space="preserve"> REF _Ref7910889 \h </w:instrText>
      </w:r>
      <w:r w:rsidR="007E13CB">
        <w:rPr>
          <w:rFonts w:eastAsiaTheme="minorEastAsia"/>
        </w:rPr>
        <w:instrText xml:space="preserve"> \* MERGEFORMAT </w:instrText>
      </w:r>
      <w:r w:rsidR="000223C0">
        <w:rPr>
          <w:rFonts w:eastAsiaTheme="minorEastAsia"/>
        </w:rPr>
      </w:r>
      <w:r w:rsidR="000223C0">
        <w:rPr>
          <w:rFonts w:eastAsiaTheme="minorEastAsia"/>
        </w:rPr>
        <w:fldChar w:fldCharType="separate"/>
      </w:r>
      <w:r w:rsidR="000223C0">
        <w:rPr>
          <w:noProof/>
        </w:rPr>
        <w:t>10</w:t>
      </w:r>
      <w:r w:rsidR="000223C0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0223C0">
        <w:rPr>
          <w:rFonts w:eastAsiaTheme="minorEastAsia"/>
        </w:rPr>
        <w:t xml:space="preserve"> e </w:t>
      </w:r>
      <w:r w:rsidR="000223C0">
        <w:rPr>
          <w:rFonts w:eastAsiaTheme="minorEastAsia"/>
        </w:rPr>
        <w:fldChar w:fldCharType="begin"/>
      </w:r>
      <w:r w:rsidR="000223C0">
        <w:rPr>
          <w:rFonts w:eastAsiaTheme="minorEastAsia"/>
        </w:rPr>
        <w:instrText xml:space="preserve"> REF _Ref7910929 \h </w:instrText>
      </w:r>
      <w:r w:rsidR="007E13CB">
        <w:rPr>
          <w:rFonts w:eastAsiaTheme="minorEastAsia"/>
        </w:rPr>
        <w:instrText xml:space="preserve"> \* MERGEFORMAT </w:instrText>
      </w:r>
      <w:r w:rsidR="000223C0">
        <w:rPr>
          <w:rFonts w:eastAsiaTheme="minorEastAsia"/>
        </w:rPr>
      </w:r>
      <w:r w:rsidR="000223C0">
        <w:rPr>
          <w:rFonts w:eastAsiaTheme="minorEastAsia"/>
        </w:rPr>
        <w:fldChar w:fldCharType="separate"/>
      </w:r>
      <w:r w:rsidR="000223C0">
        <w:t>(</w:t>
      </w:r>
      <w:r w:rsidR="000223C0">
        <w:rPr>
          <w:noProof/>
        </w:rPr>
        <w:t>3</w:t>
      </w:r>
      <w:r w:rsidR="000223C0">
        <w:rPr>
          <w:rFonts w:eastAsiaTheme="minorEastAsia"/>
        </w:rPr>
        <w:fldChar w:fldCharType="end"/>
      </w:r>
      <w:r w:rsidR="000223C0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0223C0">
        <w:rPr>
          <w:rFonts w:eastAsiaTheme="minorEastAsia"/>
        </w:rPr>
        <w:t xml:space="preserve">são equivalentes: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23C0">
        <w:rPr>
          <w:rFonts w:eastAsiaTheme="minorEastAsia"/>
        </w:rPr>
        <w:t>. Quando a taxa de depreciação é constante, a expressão (</w:t>
      </w:r>
      <w:r w:rsidR="000223C0">
        <w:rPr>
          <w:rFonts w:eastAsiaTheme="minorEastAsia"/>
        </w:rPr>
        <w:fldChar w:fldCharType="begin"/>
      </w:r>
      <w:r w:rsidR="000223C0">
        <w:rPr>
          <w:rFonts w:eastAsiaTheme="minorEastAsia"/>
        </w:rPr>
        <w:instrText xml:space="preserve"> REF _Ref7910889 \h </w:instrText>
      </w:r>
      <w:r w:rsidR="007E13CB">
        <w:rPr>
          <w:rFonts w:eastAsiaTheme="minorEastAsia"/>
        </w:rPr>
        <w:instrText xml:space="preserve"> \* MERGEFORMAT </w:instrText>
      </w:r>
      <w:r w:rsidR="000223C0">
        <w:rPr>
          <w:rFonts w:eastAsiaTheme="minorEastAsia"/>
        </w:rPr>
      </w:r>
      <w:r w:rsidR="000223C0">
        <w:rPr>
          <w:rFonts w:eastAsiaTheme="minorEastAsia"/>
        </w:rPr>
        <w:fldChar w:fldCharType="separate"/>
      </w:r>
      <w:r w:rsidR="000223C0">
        <w:rPr>
          <w:noProof/>
        </w:rPr>
        <w:t>10</w:t>
      </w:r>
      <w:r w:rsidR="000223C0">
        <w:rPr>
          <w:rFonts w:eastAsiaTheme="minorEastAsia"/>
        </w:rPr>
        <w:fldChar w:fldCharType="end"/>
      </w:r>
      <w:r w:rsidR="000223C0">
        <w:rPr>
          <w:rFonts w:eastAsiaTheme="minorEastAsia"/>
        </w:rPr>
        <w:t xml:space="preserve">) possui número de parâmetros que aumenta com </w:t>
      </w:r>
      <w:r w:rsidR="000223C0" w:rsidRPr="000223C0">
        <w:rPr>
          <w:rFonts w:eastAsiaTheme="minorEastAsia"/>
          <w:i/>
          <w:iCs/>
        </w:rPr>
        <w:t>t</w:t>
      </w:r>
      <w:r w:rsidR="000223C0">
        <w:rPr>
          <w:rFonts w:eastAsiaTheme="minorEastAsia"/>
        </w:rPr>
        <w:t>.</w:t>
      </w:r>
    </w:p>
    <w:p w14:paraId="49B5D6A7" w14:textId="5FF89F1B" w:rsidR="007E13CB" w:rsidRDefault="007E13CB" w:rsidP="00FD7528">
      <w:pPr>
        <w:rPr>
          <w:rFonts w:eastAsiaTheme="minorEastAsia"/>
        </w:rPr>
      </w:pPr>
    </w:p>
    <w:p w14:paraId="5FFCB1DD" w14:textId="17EED864" w:rsidR="007E13CB" w:rsidRDefault="007E13CB" w:rsidP="00FD7528">
      <w:pPr>
        <w:rPr>
          <w:rFonts w:eastAsiaTheme="minorEastAsia"/>
        </w:rPr>
      </w:pPr>
      <w:r w:rsidRPr="007E13CB">
        <w:rPr>
          <w:rFonts w:eastAsiaTheme="minorEastAsia"/>
          <w:b/>
          <w:bCs/>
        </w:rPr>
        <w:t>Método 1</w:t>
      </w:r>
      <w:r>
        <w:rPr>
          <w:rFonts w:eastAsiaTheme="minorEastAsia"/>
        </w:rPr>
        <w:t>:</w:t>
      </w:r>
    </w:p>
    <w:p w14:paraId="50AAF9E7" w14:textId="63514D15" w:rsidR="007E13CB" w:rsidRPr="004944D4" w:rsidRDefault="007E13CB" w:rsidP="007E13CB">
      <w:pPr>
        <w:rPr>
          <w:rFonts w:eastAsiaTheme="minorEastAsia"/>
        </w:rPr>
      </w:pPr>
      <w:r>
        <w:rPr>
          <w:rFonts w:eastAsiaTheme="minorEastAsia"/>
        </w:rPr>
        <w:t xml:space="preserve">Este método é um caso particular da abordagem demonstrada em </w:t>
      </w:r>
      <w:proofErr w:type="spellStart"/>
      <w:r>
        <w:rPr>
          <w:rFonts w:eastAsiaTheme="minorEastAsia"/>
        </w:rPr>
        <w:t>Prucha</w:t>
      </w:r>
      <w:proofErr w:type="spellEnd"/>
      <w:r>
        <w:rPr>
          <w:rFonts w:eastAsiaTheme="minorEastAsia"/>
        </w:rPr>
        <w:t xml:space="preserve"> (1997)</w:t>
      </w:r>
      <w:r w:rsidR="009B67CB">
        <w:rPr>
          <w:rFonts w:eastAsiaTheme="minorEastAsia"/>
        </w:rPr>
        <w:t xml:space="preserve"> para taxas de depreciação variáveis: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 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Substituindo </w:t>
      </w:r>
      <m:oMath>
        <m:r>
          <w:rPr>
            <w:rFonts w:ascii="Cambria Math" w:eastAsiaTheme="minorEastAsia" w:hAnsi="Cambria Math"/>
          </w:rPr>
          <m:t>j=t-s</m:t>
        </m:r>
      </m:oMath>
      <w:r>
        <w:rPr>
          <w:rFonts w:eastAsiaTheme="minorEastAsia"/>
        </w:rPr>
        <w:t xml:space="preserve">  em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_Ref7910929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temos:</w:t>
      </w: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7E13CB" w14:paraId="4A25951D" w14:textId="77777777" w:rsidTr="009B67CB">
        <w:trPr>
          <w:jc w:val="center"/>
        </w:trPr>
        <w:tc>
          <w:tcPr>
            <w:tcW w:w="7508" w:type="dxa"/>
            <w:vAlign w:val="center"/>
          </w:tcPr>
          <w:p w14:paraId="4A41E497" w14:textId="79956A6B" w:rsidR="007E13CB" w:rsidRPr="00CF2014" w:rsidRDefault="001043D8" w:rsidP="007E13CB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t,t-j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5CEB4E3E" w14:textId="2080C992" w:rsidR="007E13CB" w:rsidRPr="004944D4" w:rsidRDefault="007E13CB" w:rsidP="007E13CB">
            <w:pPr>
              <w:jc w:val="center"/>
            </w:pPr>
            <w:r w:rsidRPr="00970A46">
              <w:t>(</w:t>
            </w:r>
            <w:fldSimple w:instr=" SEQ Equação \* ARABIC ">
              <w:r>
                <w:rPr>
                  <w:noProof/>
                </w:rPr>
                <w:t>11</w:t>
              </w:r>
            </w:fldSimple>
            <w:r w:rsidRPr="00970A46">
              <w:t>)</w:t>
            </w:r>
          </w:p>
        </w:tc>
      </w:tr>
    </w:tbl>
    <w:p w14:paraId="589DAEB4" w14:textId="77777777" w:rsidR="007E13CB" w:rsidRDefault="007E13CB" w:rsidP="007E13CB">
      <w:pPr>
        <w:rPr>
          <w:rFonts w:eastAsiaTheme="minorEastAsia"/>
        </w:rPr>
      </w:pPr>
    </w:p>
    <w:p w14:paraId="004FFE76" w14:textId="44CA82E9" w:rsidR="007E13CB" w:rsidRDefault="009B67CB" w:rsidP="009B67CB">
      <w:pPr>
        <w:rPr>
          <w:rFonts w:eastAsiaTheme="minorEastAsia"/>
        </w:rPr>
      </w:pPr>
      <w:r>
        <w:rPr>
          <w:rFonts w:eastAsiaTheme="minorEastAsia"/>
        </w:rPr>
        <w:t xml:space="preserve">Utilizando novamente a relação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_Ref7939764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>
        <w:rPr>
          <w:rFonts w:eastAsiaTheme="minorEastAsia"/>
          <w:iCs/>
        </w:rPr>
        <w:t xml:space="preserve">, onde: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hAnsi="Cambria Math"/>
          </w:rPr>
          <m:t>j≤t</m:t>
        </m:r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hAnsi="Cambria Math"/>
          </w:rPr>
          <m:t>j&gt;t</m:t>
        </m:r>
      </m:oMath>
      <w:r>
        <w:rPr>
          <w:rFonts w:eastAsiaTheme="minorEastAsia"/>
        </w:rPr>
        <w:t>.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7E13CB" w14:paraId="32138053" w14:textId="77777777" w:rsidTr="00667E6C">
        <w:tc>
          <w:tcPr>
            <w:tcW w:w="7371" w:type="dxa"/>
            <w:vAlign w:val="center"/>
          </w:tcPr>
          <w:p w14:paraId="17E1AC77" w14:textId="311E47E6" w:rsidR="007E13CB" w:rsidRPr="00CF2014" w:rsidRDefault="001043D8" w:rsidP="007E13CB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t,t-j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47A22287" w14:textId="3790ED80" w:rsidR="007E13CB" w:rsidRPr="004944D4" w:rsidRDefault="007E13CB" w:rsidP="007E13CB">
            <w:pPr>
              <w:jc w:val="center"/>
            </w:pPr>
            <w:r w:rsidRPr="00970A46">
              <w:t>(</w:t>
            </w:r>
            <w:fldSimple w:instr=" SEQ Equação \* ARABIC ">
              <w:r w:rsidR="009B67CB">
                <w:rPr>
                  <w:noProof/>
                </w:rPr>
                <w:t>12</w:t>
              </w:r>
            </w:fldSimple>
            <w:r w:rsidRPr="00970A46">
              <w:t>)</w:t>
            </w:r>
          </w:p>
        </w:tc>
      </w:tr>
    </w:tbl>
    <w:p w14:paraId="28F8F101" w14:textId="70BA3B4C" w:rsidR="007E13CB" w:rsidRDefault="007E13CB" w:rsidP="00FD7528">
      <w:pPr>
        <w:rPr>
          <w:rFonts w:eastAsiaTheme="minorEastAsia"/>
        </w:rPr>
      </w:pPr>
    </w:p>
    <w:p w14:paraId="62C64E13" w14:textId="13FF8543" w:rsidR="009B67CB" w:rsidRDefault="009B67CB" w:rsidP="000A28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Temos o mesmo número de parâmetros em todos os períodos de tempo, sendo possível estimar parâmetros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em um modelo econométrico.</w:t>
      </w:r>
    </w:p>
    <w:p w14:paraId="1B36C82D" w14:textId="500B1404" w:rsidR="000A2855" w:rsidRDefault="000A2855" w:rsidP="00667E6C">
      <w:pPr>
        <w:jc w:val="both"/>
        <w:rPr>
          <w:rFonts w:eastAsiaTheme="minorEastAsia"/>
        </w:rPr>
      </w:pPr>
      <w:r>
        <w:rPr>
          <w:rFonts w:eastAsiaTheme="minorEastAsia"/>
        </w:rPr>
        <w:t>Reescrevendo o modelo na forma matricial podemos observar o aumento da complexidade do modelo devido a inclusão de uma taxa de depreciação variável: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269"/>
      </w:tblGrid>
      <w:tr w:rsidR="00667E6C" w14:paraId="5FD9055B" w14:textId="77777777" w:rsidTr="00667E6C">
        <w:tc>
          <w:tcPr>
            <w:tcW w:w="7225" w:type="dxa"/>
          </w:tcPr>
          <w:p w14:paraId="60BA09F6" w14:textId="7B4C5276" w:rsidR="00667E6C" w:rsidRDefault="001043D8" w:rsidP="00FD752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+⋯</m:t>
                </m:r>
              </m:oMath>
            </m:oMathPara>
          </w:p>
        </w:tc>
        <w:tc>
          <w:tcPr>
            <w:tcW w:w="1269" w:type="dxa"/>
          </w:tcPr>
          <w:p w14:paraId="5C1D01C0" w14:textId="23AF4F66" w:rsidR="00667E6C" w:rsidRDefault="00667E6C" w:rsidP="00FD75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</w:tr>
    </w:tbl>
    <w:p w14:paraId="0B3D7701" w14:textId="77777777" w:rsidR="00667E6C" w:rsidRPr="000A2855" w:rsidRDefault="00667E6C" w:rsidP="00FD7528">
      <w:pPr>
        <w:rPr>
          <w:rFonts w:eastAsiaTheme="minorEastAsia"/>
        </w:rPr>
      </w:pPr>
    </w:p>
    <w:p w14:paraId="6ED34552" w14:textId="17AD8814" w:rsidR="000A2855" w:rsidRDefault="000A2855" w:rsidP="00FD7528">
      <w:pPr>
        <w:rPr>
          <w:rFonts w:eastAsiaTheme="minorEastAsia"/>
        </w:rPr>
      </w:pPr>
      <w:r>
        <w:rPr>
          <w:rFonts w:eastAsiaTheme="minorEastAsia"/>
        </w:rPr>
        <w:t>Substituindo os vetores acima pelas expressões</w:t>
      </w:r>
      <w:r w:rsidR="00667E6C">
        <w:rPr>
          <w:rFonts w:eastAsiaTheme="minorEastAsia"/>
        </w:rPr>
        <w:t xml:space="preserve"> abaixo: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2"/>
      </w:tblGrid>
      <w:tr w:rsidR="000A2855" w14:paraId="26209A3A" w14:textId="77777777" w:rsidTr="00667E6C">
        <w:tc>
          <w:tcPr>
            <w:tcW w:w="4395" w:type="dxa"/>
            <w:vAlign w:val="center"/>
          </w:tcPr>
          <w:p w14:paraId="29E58521" w14:textId="6EAE150C" w:rsidR="00667E6C" w:rsidRPr="00667E6C" w:rsidRDefault="001043D8" w:rsidP="00667E6C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ϕ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252" w:type="dxa"/>
            <w:vAlign w:val="center"/>
          </w:tcPr>
          <w:p w14:paraId="65310F30" w14:textId="2C170B59" w:rsidR="000A2855" w:rsidRPr="004944D4" w:rsidRDefault="001043D8" w:rsidP="00667E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  <w:tr w:rsidR="00667E6C" w14:paraId="5CD1A8A6" w14:textId="77777777" w:rsidTr="00667E6C">
        <w:tc>
          <w:tcPr>
            <w:tcW w:w="4395" w:type="dxa"/>
            <w:vAlign w:val="center"/>
          </w:tcPr>
          <w:p w14:paraId="44E55F36" w14:textId="2DD565C5" w:rsidR="00667E6C" w:rsidRDefault="001043D8" w:rsidP="00667E6C">
            <w:pPr>
              <w:ind w:left="601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4252" w:type="dxa"/>
            <w:vAlign w:val="center"/>
          </w:tcPr>
          <w:p w14:paraId="2E826E63" w14:textId="2C12108A" w:rsidR="00667E6C" w:rsidRDefault="001043D8" w:rsidP="00667E6C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  <w:tr w:rsidR="00667E6C" w14:paraId="311497A0" w14:textId="77777777" w:rsidTr="00667E6C">
        <w:tc>
          <w:tcPr>
            <w:tcW w:w="4395" w:type="dxa"/>
            <w:vAlign w:val="center"/>
          </w:tcPr>
          <w:p w14:paraId="6610F049" w14:textId="63744ACD" w:rsidR="00667E6C" w:rsidRDefault="00667E6C" w:rsidP="00667E6C">
            <w:pPr>
              <w:ind w:left="601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</w:tc>
        <w:tc>
          <w:tcPr>
            <w:tcW w:w="4252" w:type="dxa"/>
            <w:vAlign w:val="center"/>
          </w:tcPr>
          <w:p w14:paraId="32DF06CC" w14:textId="7F66908E" w:rsidR="00667E6C" w:rsidRDefault="00667E6C" w:rsidP="00667E6C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</w:tc>
      </w:tr>
      <w:tr w:rsidR="00667E6C" w14:paraId="4001B97C" w14:textId="77777777" w:rsidTr="00667E6C">
        <w:tc>
          <w:tcPr>
            <w:tcW w:w="4395" w:type="dxa"/>
            <w:vAlign w:val="center"/>
          </w:tcPr>
          <w:p w14:paraId="2E983A34" w14:textId="280BCB83" w:rsidR="00667E6C" w:rsidRDefault="001043D8" w:rsidP="00667E6C">
            <w:pPr>
              <w:ind w:left="601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4252" w:type="dxa"/>
            <w:vAlign w:val="center"/>
          </w:tcPr>
          <w:p w14:paraId="20FDB47C" w14:textId="295165B3" w:rsidR="00667E6C" w:rsidRDefault="001043D8" w:rsidP="00667E6C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</w:tbl>
    <w:p w14:paraId="5F4D17E2" w14:textId="77777777" w:rsidR="00667E6C" w:rsidRDefault="00667E6C" w:rsidP="00FD7528">
      <w:pPr>
        <w:rPr>
          <w:rFonts w:eastAsiaTheme="minorEastAsia"/>
        </w:rPr>
      </w:pPr>
    </w:p>
    <w:p w14:paraId="444F1BAD" w14:textId="540BAF33" w:rsidR="000A2855" w:rsidRDefault="00667E6C" w:rsidP="00FD7528">
      <w:pPr>
        <w:rPr>
          <w:rFonts w:eastAsiaTheme="minorEastAsia"/>
        </w:rPr>
      </w:pPr>
      <w:r>
        <w:rPr>
          <w:rFonts w:eastAsiaTheme="minorEastAsia"/>
        </w:rPr>
        <w:t>Podemos representar a equação do estoque de capital com depreciação variável por:</w:t>
      </w:r>
    </w:p>
    <w:p w14:paraId="3EE6EA7C" w14:textId="2C857C41" w:rsidR="00667E6C" w:rsidRDefault="00667E6C" w:rsidP="00FD7528">
      <w:pPr>
        <w:rPr>
          <w:rFonts w:eastAsiaTheme="minorEastAsia"/>
        </w:rPr>
      </w:pP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667E6C" w14:paraId="1A6D3150" w14:textId="77777777" w:rsidTr="00667E6C">
        <w:tc>
          <w:tcPr>
            <w:tcW w:w="7371" w:type="dxa"/>
            <w:vAlign w:val="center"/>
          </w:tcPr>
          <w:p w14:paraId="5173922F" w14:textId="218C820A" w:rsidR="00667E6C" w:rsidRPr="00CF2014" w:rsidRDefault="001043D8" w:rsidP="00667E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59BBF32F" w14:textId="6F576F72" w:rsidR="00667E6C" w:rsidRPr="004944D4" w:rsidRDefault="00667E6C" w:rsidP="00667E6C">
            <w:pPr>
              <w:jc w:val="center"/>
            </w:pPr>
            <w:r w:rsidRPr="00970A46">
              <w:t>(</w:t>
            </w:r>
            <w:fldSimple w:instr=" SEQ Equação \* ARABIC ">
              <w:r w:rsidR="009B04C9">
                <w:rPr>
                  <w:noProof/>
                </w:rPr>
                <w:t>13</w:t>
              </w:r>
            </w:fldSimple>
            <w:r w:rsidRPr="00970A46">
              <w:t>)</w:t>
            </w:r>
          </w:p>
        </w:tc>
      </w:tr>
    </w:tbl>
    <w:p w14:paraId="17FC9F2F" w14:textId="1F346762" w:rsidR="00667E6C" w:rsidRDefault="00667E6C" w:rsidP="00FD7528">
      <w:pPr>
        <w:rPr>
          <w:rFonts w:eastAsiaTheme="minorEastAsia"/>
        </w:rPr>
      </w:pPr>
    </w:p>
    <w:p w14:paraId="386ED3D9" w14:textId="0EC1FCFC" w:rsidR="00667E6C" w:rsidRDefault="00667E6C" w:rsidP="00FD7528">
      <w:pPr>
        <w:rPr>
          <w:rFonts w:eastAsiaTheme="minorEastAsia"/>
        </w:rPr>
      </w:pPr>
    </w:p>
    <w:p w14:paraId="30D9A554" w14:textId="74D142A8" w:rsidR="00667E6C" w:rsidRDefault="00667E6C" w:rsidP="00667E6C">
      <w:pPr>
        <w:rPr>
          <w:rFonts w:eastAsiaTheme="minorEastAsia"/>
        </w:rPr>
      </w:pPr>
      <w:r w:rsidRPr="007E13CB">
        <w:rPr>
          <w:rFonts w:eastAsiaTheme="minorEastAsia"/>
          <w:b/>
          <w:bCs/>
        </w:rPr>
        <w:t xml:space="preserve">Método </w:t>
      </w:r>
      <w:r>
        <w:rPr>
          <w:rFonts w:eastAsiaTheme="minorEastAsia"/>
          <w:b/>
          <w:bCs/>
        </w:rPr>
        <w:t>2</w:t>
      </w:r>
      <w:r>
        <w:rPr>
          <w:rFonts w:eastAsiaTheme="minorEastAsia"/>
        </w:rPr>
        <w:t>:</w:t>
      </w:r>
    </w:p>
    <w:p w14:paraId="59F06BFF" w14:textId="53E1079F" w:rsidR="002B1833" w:rsidRPr="002B1833" w:rsidRDefault="00BB2398" w:rsidP="008B66A4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Conforme já comentado, a </w:t>
      </w:r>
      <w:r w:rsidR="003A5B24">
        <w:rPr>
          <w:rFonts w:eastAsiaTheme="minorEastAsia"/>
        </w:rPr>
        <w:t>não</w:t>
      </w:r>
      <w:r>
        <w:rPr>
          <w:rFonts w:eastAsiaTheme="minorEastAsia"/>
        </w:rPr>
        <w:t>-</w:t>
      </w:r>
      <w:r w:rsidR="003A5B24">
        <w:rPr>
          <w:rFonts w:eastAsiaTheme="minorEastAsia"/>
        </w:rPr>
        <w:t xml:space="preserve">linearidade </w:t>
      </w:r>
      <w:r>
        <w:rPr>
          <w:rFonts w:eastAsiaTheme="minorEastAsia"/>
        </w:rPr>
        <w:t xml:space="preserve">entre os </w:t>
      </w:r>
      <w:r w:rsidR="003A5B24">
        <w:rPr>
          <w:rFonts w:eastAsiaTheme="minorEastAsia"/>
        </w:rPr>
        <w:t>parâmetros</w:t>
      </w:r>
      <w:r w:rsidR="00075590">
        <w:rPr>
          <w:rFonts w:eastAsiaTheme="minorEastAsia"/>
        </w:rPr>
        <w:t>, e</w:t>
      </w:r>
      <w:r w:rsidR="003A5B24">
        <w:rPr>
          <w:rFonts w:eastAsiaTheme="minorEastAsia"/>
        </w:rPr>
        <w:t xml:space="preserve"> </w:t>
      </w:r>
      <w:r w:rsidR="00075590">
        <w:rPr>
          <w:rFonts w:eastAsiaTheme="minorEastAsia"/>
        </w:rPr>
        <w:t xml:space="preserve">o </w:t>
      </w:r>
      <w:r w:rsidR="003A5B24">
        <w:rPr>
          <w:rFonts w:eastAsiaTheme="minorEastAsia"/>
        </w:rPr>
        <w:t xml:space="preserve">fato da </w:t>
      </w:r>
      <w:r w:rsidR="002B1833">
        <w:rPr>
          <w:rFonts w:eastAsiaTheme="minorEastAsia"/>
        </w:rPr>
        <w:t xml:space="preserve">expressão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t,s</m:t>
            </m:r>
          </m:sub>
        </m:sSub>
      </m:oMath>
      <w:r w:rsidR="002B1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possuir </w:t>
      </w:r>
      <w:r w:rsidR="002B1833">
        <w:rPr>
          <w:rFonts w:eastAsiaTheme="minorEastAsia"/>
        </w:rPr>
        <w:t>uma quantidade de parâmetros</w:t>
      </w:r>
      <w:r w:rsidR="003A5B24">
        <w:rPr>
          <w:rFonts w:eastAsiaTheme="minorEastAsia"/>
        </w:rPr>
        <w:t xml:space="preserve"> que varia com </w:t>
      </w:r>
      <w:r w:rsidR="003A5B24" w:rsidRPr="003A5B24">
        <w:rPr>
          <w:rFonts w:eastAsiaTheme="minorEastAsia"/>
          <w:i/>
          <w:iCs/>
        </w:rPr>
        <w:t>t</w:t>
      </w:r>
      <w:r w:rsidR="00075590">
        <w:rPr>
          <w:rFonts w:eastAsiaTheme="minorEastAsia"/>
        </w:rPr>
        <w:t xml:space="preserve"> dificultam a estimação das taxas de depreciação por métodos econométricos. </w:t>
      </w:r>
      <w:r w:rsidR="003A5B24">
        <w:rPr>
          <w:rFonts w:eastAsiaTheme="minorEastAsia"/>
        </w:rPr>
        <w:t xml:space="preserve">Seria mais fácil estimar </w:t>
      </w:r>
      <w:r w:rsidR="00075590">
        <w:rPr>
          <w:rFonts w:eastAsiaTheme="minorEastAsia"/>
        </w:rPr>
        <w:t xml:space="preserve">as </w:t>
      </w:r>
      <w:r w:rsidR="003A5B24">
        <w:rPr>
          <w:rFonts w:eastAsiaTheme="minorEastAsia"/>
        </w:rPr>
        <w:t>taxa</w:t>
      </w:r>
      <w:r w:rsidR="00075590">
        <w:rPr>
          <w:rFonts w:eastAsiaTheme="minorEastAsia"/>
        </w:rPr>
        <w:t>s</w:t>
      </w:r>
      <w:r w:rsidR="003A5B24">
        <w:rPr>
          <w:rFonts w:eastAsiaTheme="minorEastAsia"/>
        </w:rPr>
        <w:t xml:space="preserve"> </w:t>
      </w:r>
      <w:r w:rsidR="00075590">
        <w:rPr>
          <w:rFonts w:eastAsiaTheme="minorEastAsia"/>
        </w:rPr>
        <w:t xml:space="preserve">de depreciação </w:t>
      </w:r>
      <w:r w:rsidR="003A5B24">
        <w:rPr>
          <w:rFonts w:eastAsiaTheme="minorEastAsia"/>
        </w:rPr>
        <w:t>variáve</w:t>
      </w:r>
      <w:r w:rsidR="00075590">
        <w:rPr>
          <w:rFonts w:eastAsiaTheme="minorEastAsia"/>
        </w:rPr>
        <w:t xml:space="preserve">is </w:t>
      </w:r>
      <w:r w:rsidR="003A5B24">
        <w:rPr>
          <w:rFonts w:eastAsiaTheme="minorEastAsia"/>
        </w:rPr>
        <w:t xml:space="preserve">se houvesse uma expressão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onde os </w:t>
      </w:r>
      <w:r w:rsidR="00075590">
        <w:rPr>
          <w:rFonts w:eastAsiaTheme="minorEastAsia"/>
        </w:rPr>
        <w:t xml:space="preserve">pesos associados às defasagens dos </w:t>
      </w:r>
      <w:r>
        <w:rPr>
          <w:rFonts w:eastAsiaTheme="minorEastAsia"/>
        </w:rPr>
        <w:t>investimentos</w:t>
      </w:r>
      <w:r w:rsidR="00075590">
        <w:rPr>
          <w:rFonts w:eastAsiaTheme="minorEastAsia"/>
        </w:rPr>
        <w:t xml:space="preserve"> possuíssem uma forma mais simples de conexão com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75590">
        <w:rPr>
          <w:rFonts w:eastAsiaTheme="minorEastAsia"/>
        </w:rPr>
        <w:t xml:space="preserve">, e o modelo tivesse baixo viés e alta eficiência. Isto pode ser alcançado substituindo os coeficientes da expressão </w:t>
      </w:r>
      <w:r w:rsidR="00075590">
        <w:rPr>
          <w:rFonts w:eastAsiaTheme="minorEastAsia"/>
        </w:rPr>
        <w:fldChar w:fldCharType="begin"/>
      </w:r>
      <w:r w:rsidR="00075590">
        <w:rPr>
          <w:rFonts w:eastAsiaTheme="minorEastAsia"/>
        </w:rPr>
        <w:instrText xml:space="preserve"> REF _Ref7943346 \h </w:instrText>
      </w:r>
      <w:r w:rsidR="00075590">
        <w:rPr>
          <w:rFonts w:eastAsiaTheme="minorEastAsia"/>
        </w:rPr>
      </w:r>
      <w:r w:rsidR="00075590">
        <w:rPr>
          <w:rFonts w:eastAsiaTheme="minorEastAsia"/>
        </w:rPr>
        <w:fldChar w:fldCharType="separate"/>
      </w:r>
      <w:r w:rsidR="00075590">
        <w:t>(</w:t>
      </w:r>
      <w:r w:rsidR="00075590">
        <w:rPr>
          <w:noProof/>
        </w:rPr>
        <w:t>9</w:t>
      </w:r>
      <w:r w:rsidR="00075590">
        <w:rPr>
          <w:rFonts w:eastAsiaTheme="minorEastAsia"/>
        </w:rPr>
        <w:fldChar w:fldCharType="end"/>
      </w:r>
      <w:r w:rsidR="00075590">
        <w:rPr>
          <w:rFonts w:eastAsiaTheme="minorEastAsia"/>
        </w:rPr>
        <w:t xml:space="preserve">) por uma aproximação linear em torno da média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75590">
        <w:rPr>
          <w:rFonts w:eastAsiaTheme="minorEastAsia"/>
        </w:rPr>
        <w:t xml:space="preserve">. Esperasse simplificar a não linearidade associada aos produtos cruzados com os coeficientes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103DA">
        <w:rPr>
          <w:rFonts w:eastAsiaTheme="minorEastAsia"/>
        </w:rPr>
        <w:t>.</w:t>
      </w:r>
    </w:p>
    <w:p w14:paraId="28A849C1" w14:textId="0C4384E2" w:rsidR="00667E6C" w:rsidRPr="004944D4" w:rsidRDefault="00A103DA" w:rsidP="00667E6C">
      <w:pPr>
        <w:rPr>
          <w:rFonts w:eastAsiaTheme="minorEastAsia"/>
        </w:rPr>
      </w:pPr>
      <w:r>
        <w:rPr>
          <w:rFonts w:eastAsiaTheme="minorEastAsia"/>
        </w:rPr>
        <w:t xml:space="preserve">Conforme demonstrado em </w:t>
      </w:r>
      <w:r w:rsidR="001043D8" w:rsidRPr="001043D8">
        <w:rPr>
          <w:rFonts w:eastAsiaTheme="minorEastAsia"/>
        </w:rPr>
        <w:t xml:space="preserve">Hernández &amp; </w:t>
      </w:r>
      <w:proofErr w:type="spellStart"/>
      <w:r w:rsidR="001043D8" w:rsidRPr="001043D8">
        <w:rPr>
          <w:rFonts w:eastAsiaTheme="minorEastAsia"/>
        </w:rPr>
        <w:t>Mauleón</w:t>
      </w:r>
      <w:proofErr w:type="spellEnd"/>
      <w:r w:rsidR="00C055F3">
        <w:rPr>
          <w:rFonts w:eastAsiaTheme="minorEastAsia"/>
        </w:rPr>
        <w:t xml:space="preserve"> </w:t>
      </w:r>
      <w:r>
        <w:rPr>
          <w:rFonts w:eastAsiaTheme="minorEastAsia"/>
        </w:rPr>
        <w:t>(200</w:t>
      </w:r>
      <w:r w:rsidR="001043D8">
        <w:rPr>
          <w:rFonts w:eastAsiaTheme="minorEastAsia"/>
        </w:rPr>
        <w:t>5</w:t>
      </w:r>
      <w:r>
        <w:rPr>
          <w:rFonts w:eastAsiaTheme="minorEastAsia"/>
        </w:rPr>
        <w:t xml:space="preserve">), uma aproximação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t,s</m:t>
            </m:r>
          </m:sub>
        </m:sSub>
      </m:oMath>
      <w:r>
        <w:rPr>
          <w:rFonts w:eastAsiaTheme="minorEastAsia"/>
        </w:rPr>
        <w:t xml:space="preserve"> pode ser obtida por:</w:t>
      </w:r>
    </w:p>
    <w:tbl>
      <w:tblPr>
        <w:tblStyle w:val="Tabelacomgrade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134"/>
      </w:tblGrid>
      <w:tr w:rsidR="00667E6C" w14:paraId="20A08A82" w14:textId="77777777" w:rsidTr="00667E6C">
        <w:trPr>
          <w:jc w:val="center"/>
        </w:trPr>
        <w:tc>
          <w:tcPr>
            <w:tcW w:w="7508" w:type="dxa"/>
            <w:vAlign w:val="center"/>
          </w:tcPr>
          <w:p w14:paraId="5B223A77" w14:textId="58AEEA0B" w:rsidR="00667E6C" w:rsidRPr="00CF2014" w:rsidRDefault="001043D8" w:rsidP="00667E6C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t,s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s-1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B29E0C4" w14:textId="06C3F7DC" w:rsidR="00667E6C" w:rsidRPr="004944D4" w:rsidRDefault="00667E6C" w:rsidP="00667E6C">
            <w:pPr>
              <w:jc w:val="center"/>
            </w:pPr>
            <w:r w:rsidRPr="00970A46">
              <w:t>(</w:t>
            </w:r>
            <w:fldSimple w:instr=" SEQ Equação \* ARABIC ">
              <w:r w:rsidR="00177C82">
                <w:rPr>
                  <w:noProof/>
                </w:rPr>
                <w:t>14</w:t>
              </w:r>
            </w:fldSimple>
            <w:r w:rsidRPr="00970A46">
              <w:t>)</w:t>
            </w:r>
          </w:p>
        </w:tc>
      </w:tr>
    </w:tbl>
    <w:p w14:paraId="49EE65C2" w14:textId="77777777" w:rsidR="00667E6C" w:rsidRDefault="00667E6C" w:rsidP="00667E6C">
      <w:pPr>
        <w:rPr>
          <w:rFonts w:eastAsiaTheme="minorEastAsia"/>
        </w:rPr>
      </w:pPr>
    </w:p>
    <w:p w14:paraId="0D39FED6" w14:textId="09A59FCD" w:rsidR="00667E6C" w:rsidRPr="009B04C9" w:rsidRDefault="00177C82" w:rsidP="00CD5627">
      <w:pPr>
        <w:rPr>
          <w:rFonts w:eastAsiaTheme="minorEastAsia"/>
        </w:rPr>
      </w:pPr>
      <w:r>
        <w:rPr>
          <w:rFonts w:eastAsiaTheme="minorEastAsia"/>
        </w:rPr>
        <w:t>Por simplificação vamos utilizar</w:t>
      </w:r>
      <w:r w:rsidR="00667E6C"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Subsistindo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t,t-j</m:t>
            </m:r>
          </m:sub>
        </m:sSub>
      </m:oMath>
      <w:r>
        <w:rPr>
          <w:rFonts w:eastAsiaTheme="minorEastAsia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t,s</m:t>
            </m:r>
          </m:sub>
        </m:sSub>
      </m:oMath>
      <w:r>
        <w:rPr>
          <w:rFonts w:eastAsiaTheme="minorEastAsia"/>
        </w:rPr>
        <w:t xml:space="preserve"> na equação de estoque de capital.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9B04C9" w14:paraId="162FEF39" w14:textId="77777777" w:rsidTr="004851DF">
        <w:tc>
          <w:tcPr>
            <w:tcW w:w="7371" w:type="dxa"/>
            <w:vAlign w:val="center"/>
          </w:tcPr>
          <w:p w14:paraId="7C6F41DE" w14:textId="77777777" w:rsidR="009B04C9" w:rsidRPr="009B04C9" w:rsidRDefault="001043D8" w:rsidP="00C97FEF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  <w:p w14:paraId="349F7808" w14:textId="137DAFE9" w:rsidR="00CD5627" w:rsidRPr="00CF2014" w:rsidRDefault="009B04C9" w:rsidP="00CD5627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64CC8C51" w14:textId="0D2304D9" w:rsidR="009B04C9" w:rsidRPr="004944D4" w:rsidRDefault="009B04C9" w:rsidP="00C97FEF">
            <w:pPr>
              <w:jc w:val="center"/>
            </w:pPr>
            <w:r w:rsidRPr="00970A46">
              <w:t>(</w:t>
            </w:r>
            <w:fldSimple w:instr=" SEQ Equação \* ARABIC ">
              <w:r w:rsidR="00CD5627">
                <w:rPr>
                  <w:noProof/>
                </w:rPr>
                <w:t>15</w:t>
              </w:r>
            </w:fldSimple>
            <w:r w:rsidRPr="00970A46">
              <w:t>)</w:t>
            </w:r>
          </w:p>
        </w:tc>
      </w:tr>
    </w:tbl>
    <w:p w14:paraId="38AE6469" w14:textId="77777777" w:rsidR="009B04C9" w:rsidRDefault="009B04C9" w:rsidP="009B04C9">
      <w:pPr>
        <w:rPr>
          <w:rFonts w:eastAsiaTheme="minorEastAsia"/>
        </w:rPr>
      </w:pPr>
    </w:p>
    <w:p w14:paraId="01059B5A" w14:textId="3EB315BB" w:rsidR="00667E6C" w:rsidRDefault="00CD5627" w:rsidP="00CD5627">
      <w:pPr>
        <w:rPr>
          <w:rFonts w:eastAsiaTheme="minorEastAsia"/>
        </w:rPr>
      </w:pPr>
      <w:r>
        <w:rPr>
          <w:rFonts w:eastAsiaTheme="minorEastAsia"/>
        </w:rPr>
        <w:t xml:space="preserve">Substituindo </w:t>
      </w:r>
      <m:oMath>
        <m:r>
          <w:rPr>
            <w:rFonts w:ascii="Cambria Math" w:eastAsiaTheme="minorEastAsia" w:hAnsi="Cambria Math"/>
          </w:rPr>
          <m:t>j=t-s</m:t>
        </m:r>
      </m:oMath>
      <w:r>
        <w:rPr>
          <w:rFonts w:eastAsiaTheme="minorEastAsia"/>
        </w:rPr>
        <w:t>, p</w:t>
      </w:r>
      <w:r w:rsidR="00667E6C">
        <w:rPr>
          <w:rFonts w:eastAsiaTheme="minorEastAsia"/>
        </w:rPr>
        <w:t xml:space="preserve">odemos </w:t>
      </w:r>
      <w:r>
        <w:rPr>
          <w:rFonts w:eastAsiaTheme="minorEastAsia"/>
        </w:rPr>
        <w:t xml:space="preserve">escrever </w:t>
      </w:r>
      <w:r w:rsidR="00667E6C">
        <w:rPr>
          <w:rFonts w:eastAsiaTheme="minorEastAsia"/>
        </w:rPr>
        <w:t xml:space="preserve">a equação do estoque de capital </w:t>
      </w:r>
      <w:r>
        <w:rPr>
          <w:rFonts w:eastAsiaTheme="minorEastAsia"/>
        </w:rPr>
        <w:t>na forma</w:t>
      </w:r>
      <w:r w:rsidR="00667E6C">
        <w:rPr>
          <w:rFonts w:eastAsiaTheme="minorEastAsia"/>
        </w:rPr>
        <w:t>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CD5627" w14:paraId="0D76DF4A" w14:textId="77777777" w:rsidTr="00C97FEF">
        <w:tc>
          <w:tcPr>
            <w:tcW w:w="7371" w:type="dxa"/>
            <w:vAlign w:val="center"/>
          </w:tcPr>
          <w:p w14:paraId="42F816CB" w14:textId="195641A1" w:rsidR="00CD5627" w:rsidRPr="00CF2014" w:rsidRDefault="001043D8" w:rsidP="00C97FEF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t,t-j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t,t-T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,⋯,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14:paraId="428F45D5" w14:textId="7DA504B9" w:rsidR="00CD5627" w:rsidRPr="004944D4" w:rsidRDefault="00CD5627" w:rsidP="00C97FEF">
            <w:pPr>
              <w:jc w:val="center"/>
            </w:pPr>
            <w:bookmarkStart w:id="10" w:name="_Ref7946679"/>
            <w:r w:rsidRPr="00970A46">
              <w:t>(</w:t>
            </w:r>
            <w:fldSimple w:instr=" SEQ Equação \* ARABIC ">
              <w:r>
                <w:rPr>
                  <w:noProof/>
                </w:rPr>
                <w:t>16</w:t>
              </w:r>
            </w:fldSimple>
            <w:bookmarkEnd w:id="10"/>
            <w:r w:rsidRPr="00970A46">
              <w:t>)</w:t>
            </w:r>
          </w:p>
        </w:tc>
      </w:tr>
    </w:tbl>
    <w:p w14:paraId="25003E52" w14:textId="15638E82" w:rsidR="004851DF" w:rsidRDefault="004851DF" w:rsidP="00FD7528">
      <w:pPr>
        <w:rPr>
          <w:rFonts w:eastAsiaTheme="minorEastAsia"/>
        </w:rPr>
      </w:pPr>
    </w:p>
    <w:p w14:paraId="67EFBA98" w14:textId="507B75A0" w:rsidR="00F2368D" w:rsidRDefault="00F2368D" w:rsidP="00D57C41">
      <w:pPr>
        <w:rPr>
          <w:rFonts w:eastAsiaTheme="minorEastAsia"/>
        </w:rPr>
      </w:pPr>
      <w:r>
        <w:rPr>
          <w:rFonts w:eastAsiaTheme="minorEastAsia"/>
        </w:rPr>
        <w:t xml:space="preserve">onde,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j&gt;t</m:t>
        </m:r>
      </m:oMath>
      <w:r w:rsidR="00D57C41">
        <w:rPr>
          <w:rFonts w:eastAsiaTheme="minorEastAsia"/>
        </w:rPr>
        <w:t xml:space="preserve">. </w:t>
      </w:r>
      <w:r>
        <w:rPr>
          <w:rFonts w:eastAsiaTheme="minorEastAsia"/>
        </w:rPr>
        <w:t>Por último, a expressão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_Ref7946679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16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é substituída na função de produção para estimação dos parâmetros. Escrevendo a equação na forma matricial temos: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269"/>
      </w:tblGrid>
      <w:tr w:rsidR="004851DF" w14:paraId="7C7BD779" w14:textId="77777777" w:rsidTr="00504EC2">
        <w:tc>
          <w:tcPr>
            <w:tcW w:w="7225" w:type="dxa"/>
            <w:vAlign w:val="center"/>
          </w:tcPr>
          <w:p w14:paraId="6742DA88" w14:textId="78186560" w:rsidR="004851DF" w:rsidRDefault="001043D8" w:rsidP="00504EC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9" w:type="dxa"/>
            <w:vAlign w:val="center"/>
          </w:tcPr>
          <w:p w14:paraId="0AC68227" w14:textId="68454168" w:rsidR="004851DF" w:rsidRDefault="00504EC2" w:rsidP="00504EC2">
            <w:pPr>
              <w:jc w:val="center"/>
              <w:rPr>
                <w:rFonts w:eastAsiaTheme="minorEastAsia"/>
              </w:rPr>
            </w:pPr>
            <w:r w:rsidRPr="00970A46">
              <w:t>(</w:t>
            </w:r>
            <w:fldSimple w:instr=" SEQ Equação \* ARABIC ">
              <w:r w:rsidR="00D33655">
                <w:rPr>
                  <w:noProof/>
                </w:rPr>
                <w:t>17</w:t>
              </w:r>
            </w:fldSimple>
            <w:r w:rsidRPr="00970A46">
              <w:t>)</w:t>
            </w:r>
          </w:p>
        </w:tc>
      </w:tr>
    </w:tbl>
    <w:p w14:paraId="405B45C6" w14:textId="77777777" w:rsidR="00D57C41" w:rsidRDefault="00D57C41" w:rsidP="00FD7528">
      <w:pPr>
        <w:rPr>
          <w:rFonts w:eastAsiaTheme="minorEastAsia"/>
        </w:rPr>
      </w:pPr>
    </w:p>
    <w:p w14:paraId="4F6EEA58" w14:textId="7787D128" w:rsidR="004851DF" w:rsidRDefault="00D57C41" w:rsidP="00FD7528">
      <w:pPr>
        <w:rPr>
          <w:rFonts w:eastAsiaTheme="minorEastAsia"/>
        </w:rPr>
      </w:pPr>
      <w:r>
        <w:rPr>
          <w:rFonts w:eastAsiaTheme="minorEastAsia"/>
        </w:rPr>
        <w:t>Escrevendo na forma compacta temos:</w:t>
      </w:r>
    </w:p>
    <w:tbl>
      <w:tblPr>
        <w:tblStyle w:val="Tabelacomgrade"/>
        <w:tblW w:w="86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276"/>
      </w:tblGrid>
      <w:tr w:rsidR="00D57C41" w14:paraId="722EF2D0" w14:textId="77777777" w:rsidTr="00C97FEF">
        <w:tc>
          <w:tcPr>
            <w:tcW w:w="7371" w:type="dxa"/>
            <w:vAlign w:val="center"/>
          </w:tcPr>
          <w:p w14:paraId="51BBD125" w14:textId="3AAC1F0A" w:rsidR="00D57C41" w:rsidRPr="00CF2014" w:rsidRDefault="001043D8" w:rsidP="00C97FEF">
            <w:pPr>
              <w:ind w:left="60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 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D535D4C" w14:textId="6D5E68A2" w:rsidR="00D57C41" w:rsidRPr="004944D4" w:rsidRDefault="00D57C41" w:rsidP="00C97FEF">
            <w:pPr>
              <w:jc w:val="center"/>
            </w:pPr>
            <w:r w:rsidRPr="00970A46">
              <w:t>(</w:t>
            </w:r>
            <w:fldSimple w:instr=" SEQ Equação \* ARABIC ">
              <w:r>
                <w:rPr>
                  <w:noProof/>
                </w:rPr>
                <w:t>18</w:t>
              </w:r>
            </w:fldSimple>
            <w:r w:rsidRPr="00970A46">
              <w:t>)</w:t>
            </w:r>
          </w:p>
        </w:tc>
      </w:tr>
    </w:tbl>
    <w:p w14:paraId="74885269" w14:textId="35461C1B" w:rsidR="00D57C41" w:rsidRDefault="00D57C41" w:rsidP="00D57C41">
      <w:pPr>
        <w:rPr>
          <w:rFonts w:eastAsiaTheme="minorEastAsia"/>
        </w:rPr>
      </w:pPr>
      <w:r>
        <w:rPr>
          <w:rFonts w:eastAsiaTheme="minorEastAsia"/>
        </w:rPr>
        <w:t xml:space="preserve">onde, </w:t>
      </w:r>
      <w:r w:rsidRPr="00D57C41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e </w:t>
      </w:r>
      <w:r w:rsidRPr="00D57C41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são matrizes </w:t>
      </w:r>
      <w:r w:rsidRPr="00D57C41">
        <w:rPr>
          <w:rFonts w:eastAsiaTheme="minorEastAsia"/>
          <w:i/>
          <w:iCs/>
        </w:rPr>
        <w:t>T(T+1)</w:t>
      </w:r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são vetores de parâmetros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5DB1141E" w14:textId="62E95AF5" w:rsidR="00D57C41" w:rsidRDefault="00D57C41" w:rsidP="00D57C41">
      <w:pPr>
        <w:rPr>
          <w:rFonts w:eastAsiaTheme="minorEastAsia"/>
        </w:rPr>
      </w:pPr>
    </w:p>
    <w:p w14:paraId="2D535799" w14:textId="6C03B45E" w:rsidR="008B66A4" w:rsidRDefault="008D56F7" w:rsidP="008D56F7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Utilizando a abordagem econométrica esclarecida na seção 5 é possível obter estimativas de taxas de depreciação variáveis com o tempo.  A dificuldade reside na disponibilidade de uma estimativa de estoque de capital já construída, que na maioria das situações não existe. Uma forma de contornar esta dificuldade é utilizar estimativas de estoque de capital já construídas por outros autores, obter taxas de depreciação variáveis a cada 5 ou 10 anos e aplicar estas mesmas taxas para dados anuais mais atualizados.</w:t>
      </w:r>
    </w:p>
    <w:p w14:paraId="4DE6142E" w14:textId="0EA11223" w:rsidR="008B66A4" w:rsidRDefault="008B66A4" w:rsidP="00D57C41">
      <w:pPr>
        <w:rPr>
          <w:rFonts w:eastAsiaTheme="minorEastAsia"/>
        </w:rPr>
      </w:pPr>
    </w:p>
    <w:p w14:paraId="544191FE" w14:textId="77777777" w:rsidR="008B66A4" w:rsidRDefault="008B66A4" w:rsidP="00D57C41">
      <w:pPr>
        <w:rPr>
          <w:rFonts w:eastAsiaTheme="minorEastAsia"/>
        </w:rPr>
      </w:pPr>
    </w:p>
    <w:p w14:paraId="3FD09C9A" w14:textId="41149AAF" w:rsidR="00D57C41" w:rsidRDefault="00D57C41" w:rsidP="00D57C41">
      <w:pPr>
        <w:rPr>
          <w:rFonts w:eastAsiaTheme="minorEastAsia"/>
        </w:rPr>
      </w:pPr>
    </w:p>
    <w:p w14:paraId="4E7F0424" w14:textId="2929ACD1" w:rsidR="00D57C41" w:rsidRDefault="00D57C41" w:rsidP="00A37B0B">
      <w:pPr>
        <w:spacing w:line="240" w:lineRule="auto"/>
        <w:jc w:val="both"/>
        <w:rPr>
          <w:rFonts w:eastAsiaTheme="minorEastAsia"/>
        </w:rPr>
      </w:pPr>
      <w:r w:rsidRPr="00D57C41">
        <w:rPr>
          <w:rFonts w:eastAsiaTheme="minorEastAsia"/>
          <w:b/>
          <w:bCs/>
        </w:rPr>
        <w:t>Referência</w:t>
      </w:r>
      <w:r>
        <w:rPr>
          <w:rFonts w:eastAsiaTheme="minorEastAsia"/>
        </w:rPr>
        <w:t>:</w:t>
      </w:r>
    </w:p>
    <w:p w14:paraId="3ED78A81" w14:textId="6DE95E60" w:rsidR="00A37B0B" w:rsidRDefault="00A37B0B" w:rsidP="00A37B0B">
      <w:pPr>
        <w:spacing w:line="240" w:lineRule="auto"/>
        <w:jc w:val="both"/>
        <w:rPr>
          <w:rFonts w:eastAsiaTheme="minorEastAsia"/>
        </w:rPr>
      </w:pPr>
    </w:p>
    <w:p w14:paraId="19EE26EB" w14:textId="39EF60B0" w:rsidR="00A37B0B" w:rsidRDefault="00A37B0B" w:rsidP="00C055F3">
      <w:pPr>
        <w:spacing w:line="240" w:lineRule="auto"/>
        <w:jc w:val="both"/>
      </w:pPr>
      <w:r w:rsidRPr="0002542D">
        <w:t xml:space="preserve">Alves, P; </w:t>
      </w:r>
      <w:proofErr w:type="spellStart"/>
      <w:r w:rsidRPr="0002542D">
        <w:t>Messa</w:t>
      </w:r>
      <w:proofErr w:type="spellEnd"/>
      <w:r w:rsidRPr="0002542D">
        <w:t>, A. Estimativa do Estoque de Capital das Empresas Industriais Brasileiras. Instituto de Pesquisa Econômica Aplicada. Texto de Discussão 1325, Brasília, 2008.</w:t>
      </w:r>
    </w:p>
    <w:p w14:paraId="2F5D1DE6" w14:textId="55DE978C" w:rsidR="00C055F3" w:rsidRPr="0002542D" w:rsidRDefault="00C055F3" w:rsidP="00C055F3">
      <w:pPr>
        <w:spacing w:line="240" w:lineRule="auto"/>
        <w:jc w:val="both"/>
      </w:pPr>
      <w:proofErr w:type="spellStart"/>
      <w:r>
        <w:t>Arestoff</w:t>
      </w:r>
      <w:proofErr w:type="spellEnd"/>
      <w:r>
        <w:t xml:space="preserve">, F. &amp; </w:t>
      </w:r>
      <w:proofErr w:type="spellStart"/>
      <w:r>
        <w:t>Hurlin</w:t>
      </w:r>
      <w:proofErr w:type="spellEnd"/>
      <w:r>
        <w:t>, C</w:t>
      </w:r>
      <w:r>
        <w:t xml:space="preserve">.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net capital stocks for</w:t>
      </w:r>
      <w:r>
        <w:t xml:space="preserve"> </w:t>
      </w:r>
      <w:r>
        <w:t xml:space="preserve">26 </w:t>
      </w:r>
      <w:proofErr w:type="spellStart"/>
      <w:r>
        <w:t>developing</w:t>
      </w:r>
      <w:proofErr w:type="spellEnd"/>
      <w:r>
        <w:t xml:space="preserve"> countries:1970-2002. World Bank</w:t>
      </w:r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r>
        <w:t>3858, 2006.</w:t>
      </w:r>
    </w:p>
    <w:p w14:paraId="43FFDE09" w14:textId="57FD6FB3" w:rsidR="00A841E3" w:rsidRPr="00A841E3" w:rsidRDefault="00A841E3" w:rsidP="00C055F3">
      <w:pPr>
        <w:spacing w:line="240" w:lineRule="auto"/>
        <w:jc w:val="both"/>
        <w:rPr>
          <w:rFonts w:eastAsiaTheme="minorEastAsia"/>
        </w:rPr>
      </w:pPr>
      <w:r w:rsidRPr="00A841E3">
        <w:rPr>
          <w:rFonts w:eastAsiaTheme="minorEastAsia"/>
        </w:rPr>
        <w:t xml:space="preserve">Cavalcanti, </w:t>
      </w:r>
      <w:r>
        <w:rPr>
          <w:rFonts w:eastAsiaTheme="minorEastAsia"/>
        </w:rPr>
        <w:t>P</w:t>
      </w:r>
      <w:r w:rsidRPr="00A841E3">
        <w:rPr>
          <w:rFonts w:eastAsiaTheme="minorEastAsia"/>
        </w:rPr>
        <w:t xml:space="preserve">.; </w:t>
      </w:r>
      <w:proofErr w:type="spellStart"/>
      <w:r>
        <w:rPr>
          <w:rFonts w:eastAsiaTheme="minorEastAsia"/>
        </w:rPr>
        <w:t>M</w:t>
      </w:r>
      <w:r w:rsidRPr="00A841E3">
        <w:rPr>
          <w:rFonts w:eastAsiaTheme="minorEastAsia"/>
        </w:rPr>
        <w:t>alliagros</w:t>
      </w:r>
      <w:proofErr w:type="spellEnd"/>
      <w:r w:rsidRPr="00A841E3">
        <w:rPr>
          <w:rFonts w:eastAsiaTheme="minorEastAsia"/>
        </w:rPr>
        <w:t>, T. Impactos produtivos da infraestrutura do</w:t>
      </w:r>
      <w:r>
        <w:rPr>
          <w:rFonts w:eastAsiaTheme="minorEastAsia"/>
        </w:rPr>
        <w:t xml:space="preserve"> </w:t>
      </w:r>
      <w:r w:rsidRPr="00A841E3">
        <w:rPr>
          <w:rFonts w:eastAsiaTheme="minorEastAsia"/>
        </w:rPr>
        <w:t>Brasil – 1950/95. Pesquisa e Planejamento Econômico (PPE), v. 28 n. 2, p.</w:t>
      </w:r>
      <w:r>
        <w:rPr>
          <w:rFonts w:eastAsiaTheme="minorEastAsia"/>
        </w:rPr>
        <w:t xml:space="preserve"> </w:t>
      </w:r>
      <w:r w:rsidRPr="00A841E3">
        <w:rPr>
          <w:rFonts w:eastAsiaTheme="minorEastAsia"/>
        </w:rPr>
        <w:t>315-338, 1998.</w:t>
      </w:r>
    </w:p>
    <w:p w14:paraId="5507930A" w14:textId="03CBBBC7" w:rsidR="00A37B0B" w:rsidRDefault="00A37B0B" w:rsidP="00C055F3">
      <w:pPr>
        <w:spacing w:line="240" w:lineRule="auto"/>
        <w:jc w:val="both"/>
        <w:rPr>
          <w:rFonts w:eastAsiaTheme="minorEastAsia"/>
        </w:rPr>
      </w:pPr>
      <w:proofErr w:type="spellStart"/>
      <w:r w:rsidRPr="00C97FEF">
        <w:rPr>
          <w:rFonts w:eastAsiaTheme="minorEastAsia"/>
        </w:rPr>
        <w:t>Frischtak</w:t>
      </w:r>
      <w:proofErr w:type="spellEnd"/>
      <w:r>
        <w:rPr>
          <w:rFonts w:eastAsiaTheme="minorEastAsia"/>
        </w:rPr>
        <w:t xml:space="preserve">, C. &amp; </w:t>
      </w:r>
      <w:r w:rsidRPr="00C97FEF">
        <w:rPr>
          <w:rFonts w:eastAsiaTheme="minorEastAsia"/>
        </w:rPr>
        <w:t>Mourão</w:t>
      </w:r>
      <w:r>
        <w:rPr>
          <w:rFonts w:eastAsiaTheme="minorEastAsia"/>
        </w:rPr>
        <w:t xml:space="preserve">, J. </w:t>
      </w:r>
      <w:r w:rsidRPr="00C97FEF">
        <w:rPr>
          <w:rFonts w:eastAsiaTheme="minorEastAsia"/>
        </w:rPr>
        <w:t xml:space="preserve">Uma </w:t>
      </w:r>
      <w:r>
        <w:rPr>
          <w:rFonts w:eastAsiaTheme="minorEastAsia"/>
        </w:rPr>
        <w:t>E</w:t>
      </w:r>
      <w:r w:rsidRPr="00C97FEF">
        <w:rPr>
          <w:rFonts w:eastAsiaTheme="minorEastAsia"/>
        </w:rPr>
        <w:t xml:space="preserve">stimativa do </w:t>
      </w:r>
      <w:r>
        <w:rPr>
          <w:rFonts w:eastAsiaTheme="minorEastAsia"/>
        </w:rPr>
        <w:t>E</w:t>
      </w:r>
      <w:r w:rsidRPr="00C97FEF">
        <w:rPr>
          <w:rFonts w:eastAsiaTheme="minorEastAsia"/>
        </w:rPr>
        <w:t xml:space="preserve">stoque de </w:t>
      </w:r>
      <w:r>
        <w:rPr>
          <w:rFonts w:eastAsiaTheme="minorEastAsia"/>
        </w:rPr>
        <w:t>C</w:t>
      </w:r>
      <w:r w:rsidRPr="00C97FEF">
        <w:rPr>
          <w:rFonts w:eastAsiaTheme="minorEastAsia"/>
        </w:rPr>
        <w:t>apital de</w:t>
      </w:r>
      <w:r>
        <w:rPr>
          <w:rFonts w:eastAsiaTheme="minorEastAsia"/>
        </w:rPr>
        <w:t xml:space="preserve"> </w:t>
      </w:r>
      <w:r w:rsidRPr="00C97FEF">
        <w:rPr>
          <w:rFonts w:eastAsiaTheme="minorEastAsia"/>
        </w:rPr>
        <w:t xml:space="preserve">Infraestrutura no </w:t>
      </w:r>
      <w:r>
        <w:rPr>
          <w:rFonts w:eastAsiaTheme="minorEastAsia"/>
        </w:rPr>
        <w:t>B</w:t>
      </w:r>
      <w:r w:rsidRPr="00C97FEF">
        <w:rPr>
          <w:rFonts w:eastAsiaTheme="minorEastAsia"/>
        </w:rPr>
        <w:t>rasil</w:t>
      </w:r>
      <w:r>
        <w:rPr>
          <w:rFonts w:eastAsiaTheme="minorEastAsia"/>
        </w:rPr>
        <w:t xml:space="preserve">. </w:t>
      </w:r>
      <w:r w:rsidRPr="00C97FEF">
        <w:rPr>
          <w:rFonts w:eastAsiaTheme="minorEastAsia"/>
        </w:rPr>
        <w:t>Desafios da Nação: artigos de apoio</w:t>
      </w:r>
      <w:r>
        <w:rPr>
          <w:rFonts w:eastAsiaTheme="minorEastAsia"/>
        </w:rPr>
        <w:t>.</w:t>
      </w:r>
      <w:r w:rsidR="00C055F3">
        <w:rPr>
          <w:rFonts w:eastAsiaTheme="minorEastAsia"/>
        </w:rPr>
        <w:t xml:space="preserve"> IPEA, 2017.</w:t>
      </w:r>
    </w:p>
    <w:p w14:paraId="32D19E1E" w14:textId="5B201731" w:rsidR="001043D8" w:rsidRDefault="001043D8" w:rsidP="001043D8">
      <w:pPr>
        <w:spacing w:line="240" w:lineRule="auto"/>
      </w:pPr>
      <w:r>
        <w:t xml:space="preserve">Hernández, J. &amp; </w:t>
      </w:r>
      <w:proofErr w:type="spellStart"/>
      <w:r>
        <w:t>Mauleón</w:t>
      </w:r>
      <w:proofErr w:type="spellEnd"/>
      <w:r>
        <w:t xml:space="preserve">, I. </w:t>
      </w:r>
      <w:proofErr w:type="spellStart"/>
      <w:r>
        <w:t>Econometric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depreciation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capital stock.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, v. 30(3), </w:t>
      </w:r>
      <w:proofErr w:type="spellStart"/>
      <w:r>
        <w:t xml:space="preserve">p. </w:t>
      </w:r>
      <w:proofErr w:type="spellEnd"/>
      <w:r>
        <w:t xml:space="preserve">575-595, 2005. </w:t>
      </w:r>
    </w:p>
    <w:p w14:paraId="6057D22C" w14:textId="2E0C08CB" w:rsidR="00A37B0B" w:rsidRPr="0002542D" w:rsidRDefault="00A37B0B" w:rsidP="00A841E3">
      <w:pPr>
        <w:spacing w:line="240" w:lineRule="auto"/>
        <w:jc w:val="both"/>
      </w:pPr>
      <w:proofErr w:type="spellStart"/>
      <w:r w:rsidRPr="0002542D">
        <w:t>Hyslop</w:t>
      </w:r>
      <w:proofErr w:type="spellEnd"/>
      <w:r w:rsidRPr="0002542D">
        <w:t xml:space="preserve">, D; </w:t>
      </w:r>
      <w:proofErr w:type="spellStart"/>
      <w:r w:rsidRPr="0002542D">
        <w:t>Imbens</w:t>
      </w:r>
      <w:proofErr w:type="spellEnd"/>
      <w:r w:rsidRPr="0002542D">
        <w:t xml:space="preserve">, G. </w:t>
      </w:r>
      <w:r w:rsidRPr="0002542D">
        <w:rPr>
          <w:i/>
        </w:rPr>
        <w:t xml:space="preserve">Bias </w:t>
      </w:r>
      <w:proofErr w:type="spellStart"/>
      <w:r w:rsidRPr="0002542D">
        <w:rPr>
          <w:i/>
        </w:rPr>
        <w:t>From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Classical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And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Other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Forms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Of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Measurement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Error</w:t>
      </w:r>
      <w:proofErr w:type="spellEnd"/>
      <w:r w:rsidRPr="0002542D">
        <w:t xml:space="preserve">. </w:t>
      </w:r>
      <w:proofErr w:type="spellStart"/>
      <w:r w:rsidRPr="0002542D">
        <w:t>Journal</w:t>
      </w:r>
      <w:proofErr w:type="spellEnd"/>
      <w:r w:rsidRPr="0002542D">
        <w:t xml:space="preserve"> </w:t>
      </w:r>
      <w:proofErr w:type="spellStart"/>
      <w:r w:rsidRPr="0002542D">
        <w:t>of</w:t>
      </w:r>
      <w:proofErr w:type="spellEnd"/>
      <w:r w:rsidRPr="0002542D">
        <w:t xml:space="preserve"> Business </w:t>
      </w:r>
      <w:proofErr w:type="spellStart"/>
      <w:r w:rsidRPr="0002542D">
        <w:t>and</w:t>
      </w:r>
      <w:proofErr w:type="spellEnd"/>
      <w:r w:rsidRPr="0002542D">
        <w:t xml:space="preserve"> </w:t>
      </w:r>
      <w:proofErr w:type="spellStart"/>
      <w:r w:rsidRPr="0002542D">
        <w:t>Economic</w:t>
      </w:r>
      <w:proofErr w:type="spellEnd"/>
      <w:r w:rsidRPr="0002542D">
        <w:t xml:space="preserve"> </w:t>
      </w:r>
      <w:proofErr w:type="spellStart"/>
      <w:r w:rsidRPr="0002542D">
        <w:t>Statistics</w:t>
      </w:r>
      <w:proofErr w:type="spellEnd"/>
      <w:proofErr w:type="gramStart"/>
      <w:r w:rsidRPr="0002542D">
        <w:t>, ,</w:t>
      </w:r>
      <w:proofErr w:type="gramEnd"/>
      <w:r w:rsidRPr="0002542D">
        <w:t xml:space="preserve"> v. 19 (4), p. 475-481, 2001.</w:t>
      </w:r>
    </w:p>
    <w:p w14:paraId="25F5178E" w14:textId="3AD58BA8" w:rsidR="00A37B0B" w:rsidRPr="0002542D" w:rsidRDefault="00A37B0B" w:rsidP="00A841E3">
      <w:pPr>
        <w:spacing w:line="240" w:lineRule="auto"/>
        <w:jc w:val="both"/>
      </w:pPr>
      <w:r w:rsidRPr="0002542D">
        <w:t>IBGE</w:t>
      </w:r>
      <w:r>
        <w:t>(a)</w:t>
      </w:r>
      <w:r w:rsidRPr="0002542D">
        <w:t xml:space="preserve">. Pesquisa Industrial Anual 2015: Empresa. Instituto Brasileiro de Geografia e Estatística, Rio de Janeiro, 2015. Disponível em: </w:t>
      </w:r>
      <w:hyperlink r:id="rId8" w:history="1">
        <w:r w:rsidRPr="00501798">
          <w:rPr>
            <w:rStyle w:val="Hyperlink"/>
          </w:rPr>
          <w:t>https://biblioteca.ibge.gov.br/visualizacao/periodicos/1719/pia_2015_v34_n1_empresa.pdf</w:t>
        </w:r>
      </w:hyperlink>
    </w:p>
    <w:p w14:paraId="48EED616" w14:textId="20B95048" w:rsidR="00A37B0B" w:rsidRDefault="00A37B0B" w:rsidP="00A841E3">
      <w:pPr>
        <w:spacing w:line="240" w:lineRule="auto"/>
        <w:jc w:val="both"/>
      </w:pPr>
      <w:r w:rsidRPr="0002542D">
        <w:t>IBGE</w:t>
      </w:r>
      <w:r>
        <w:t>(b)</w:t>
      </w:r>
      <w:r w:rsidRPr="0002542D">
        <w:t xml:space="preserve">. Pesquisa Anual de Serviços. Notas Técnicas. v. 17. Instituto Brasileiro de Geografia e Estatística, Rio de Janeiro, 2015. Disponível em: </w:t>
      </w:r>
      <w:hyperlink r:id="rId9" w:history="1">
        <w:r w:rsidRPr="00501798">
          <w:rPr>
            <w:rStyle w:val="Hyperlink"/>
          </w:rPr>
          <w:t>https://biblioteca.ibge.gov.br/visualizacao/periodicos/150/pas_2015_v17_notas_tecnicas.pdf</w:t>
        </w:r>
      </w:hyperlink>
    </w:p>
    <w:p w14:paraId="2426C2CB" w14:textId="6B12BD23" w:rsidR="00A37B0B" w:rsidRPr="0002542D" w:rsidRDefault="00A37B0B" w:rsidP="00A841E3">
      <w:pPr>
        <w:spacing w:line="240" w:lineRule="auto"/>
        <w:jc w:val="both"/>
      </w:pPr>
      <w:proofErr w:type="spellStart"/>
      <w:r w:rsidRPr="0002542D">
        <w:t>Iudícibus</w:t>
      </w:r>
      <w:proofErr w:type="spellEnd"/>
      <w:r w:rsidRPr="0002542D">
        <w:t>, S. et al. Manual de contabilidade societária. São Paulo: Atlas, 2010.</w:t>
      </w:r>
    </w:p>
    <w:p w14:paraId="7E0BB34B" w14:textId="77777777" w:rsidR="00A37B0B" w:rsidRPr="0002542D" w:rsidRDefault="00A37B0B" w:rsidP="00A841E3">
      <w:pPr>
        <w:spacing w:line="240" w:lineRule="auto"/>
        <w:jc w:val="both"/>
      </w:pPr>
      <w:proofErr w:type="spellStart"/>
      <w:r w:rsidRPr="0002542D">
        <w:lastRenderedPageBreak/>
        <w:t>Wooldridge</w:t>
      </w:r>
      <w:proofErr w:type="spellEnd"/>
      <w:r w:rsidRPr="0002542D">
        <w:t xml:space="preserve">, J. </w:t>
      </w:r>
      <w:proofErr w:type="spellStart"/>
      <w:r w:rsidRPr="0002542D">
        <w:rPr>
          <w:i/>
        </w:rPr>
        <w:t>Omitted</w:t>
      </w:r>
      <w:proofErr w:type="spellEnd"/>
      <w:r w:rsidRPr="0002542D">
        <w:rPr>
          <w:i/>
        </w:rPr>
        <w:t xml:space="preserve"> </w:t>
      </w:r>
      <w:proofErr w:type="spellStart"/>
      <w:r w:rsidRPr="0002542D">
        <w:rPr>
          <w:i/>
        </w:rPr>
        <w:t>Variable</w:t>
      </w:r>
      <w:proofErr w:type="spellEnd"/>
      <w:r w:rsidRPr="0002542D">
        <w:rPr>
          <w:i/>
        </w:rPr>
        <w:t xml:space="preserve"> Bias: The </w:t>
      </w:r>
      <w:proofErr w:type="spellStart"/>
      <w:r w:rsidRPr="0002542D">
        <w:rPr>
          <w:i/>
        </w:rPr>
        <w:t>Simple</w:t>
      </w:r>
      <w:proofErr w:type="spellEnd"/>
      <w:r w:rsidRPr="0002542D">
        <w:rPr>
          <w:i/>
        </w:rPr>
        <w:t xml:space="preserve"> Case</w:t>
      </w:r>
      <w:r w:rsidRPr="0002542D">
        <w:t xml:space="preserve">. </w:t>
      </w:r>
      <w:proofErr w:type="spellStart"/>
      <w:r w:rsidRPr="0002542D">
        <w:t>Introductory</w:t>
      </w:r>
      <w:proofErr w:type="spellEnd"/>
      <w:r w:rsidRPr="0002542D">
        <w:t xml:space="preserve"> </w:t>
      </w:r>
      <w:proofErr w:type="spellStart"/>
      <w:r w:rsidRPr="0002542D">
        <w:t>Econometrics</w:t>
      </w:r>
      <w:proofErr w:type="spellEnd"/>
      <w:r w:rsidRPr="0002542D">
        <w:t xml:space="preserve">: A </w:t>
      </w:r>
      <w:proofErr w:type="spellStart"/>
      <w:r w:rsidRPr="0002542D">
        <w:t>Modern</w:t>
      </w:r>
      <w:proofErr w:type="spellEnd"/>
      <w:r w:rsidRPr="0002542D">
        <w:t xml:space="preserve"> Approach. Mason, OH: Ed. </w:t>
      </w:r>
      <w:proofErr w:type="spellStart"/>
      <w:r w:rsidRPr="0002542D">
        <w:t>Cengage</w:t>
      </w:r>
      <w:proofErr w:type="spellEnd"/>
      <w:r w:rsidRPr="0002542D">
        <w:t xml:space="preserve"> Learning. p. 89-93. ISBN 9780324660548, 2009.</w:t>
      </w:r>
    </w:p>
    <w:p w14:paraId="4DD98804" w14:textId="2D5B7E61" w:rsidR="00A37B0B" w:rsidRPr="0002542D" w:rsidRDefault="00A37B0B" w:rsidP="00A841E3">
      <w:pPr>
        <w:spacing w:line="240" w:lineRule="auto"/>
        <w:jc w:val="both"/>
      </w:pPr>
      <w:r w:rsidRPr="0002542D">
        <w:t xml:space="preserve">OCDE. </w:t>
      </w:r>
      <w:proofErr w:type="spellStart"/>
      <w:r w:rsidRPr="0002542D">
        <w:t>Measurement</w:t>
      </w:r>
      <w:proofErr w:type="spellEnd"/>
      <w:r w:rsidRPr="0002542D">
        <w:t xml:space="preserve"> </w:t>
      </w:r>
      <w:proofErr w:type="spellStart"/>
      <w:r w:rsidRPr="0002542D">
        <w:t>of</w:t>
      </w:r>
      <w:proofErr w:type="spellEnd"/>
      <w:r w:rsidRPr="0002542D">
        <w:t xml:space="preserve"> Capital Stocks, </w:t>
      </w:r>
      <w:proofErr w:type="spellStart"/>
      <w:r w:rsidRPr="0002542D">
        <w:t>Consumption</w:t>
      </w:r>
      <w:proofErr w:type="spellEnd"/>
      <w:r w:rsidRPr="0002542D">
        <w:t xml:space="preserve"> </w:t>
      </w:r>
      <w:proofErr w:type="spellStart"/>
      <w:r w:rsidRPr="0002542D">
        <w:t>of</w:t>
      </w:r>
      <w:proofErr w:type="spellEnd"/>
      <w:r w:rsidRPr="0002542D">
        <w:t xml:space="preserve"> </w:t>
      </w:r>
      <w:proofErr w:type="spellStart"/>
      <w:r w:rsidRPr="0002542D">
        <w:t>Fixed</w:t>
      </w:r>
      <w:proofErr w:type="spellEnd"/>
      <w:r w:rsidRPr="0002542D">
        <w:t xml:space="preserve"> Capital </w:t>
      </w:r>
      <w:proofErr w:type="spellStart"/>
      <w:r w:rsidRPr="0002542D">
        <w:t>and</w:t>
      </w:r>
      <w:proofErr w:type="spellEnd"/>
      <w:r w:rsidRPr="0002542D">
        <w:t xml:space="preserve"> Capital Services, </w:t>
      </w:r>
      <w:proofErr w:type="spellStart"/>
      <w:r w:rsidRPr="0002542D">
        <w:t>Measuring</w:t>
      </w:r>
      <w:proofErr w:type="spellEnd"/>
      <w:r w:rsidRPr="0002542D">
        <w:t xml:space="preserve"> Capital. OECD Manual, 2009.</w:t>
      </w:r>
    </w:p>
    <w:p w14:paraId="2D43ED6D" w14:textId="1637795F" w:rsidR="00A37B0B" w:rsidRDefault="00A37B0B" w:rsidP="00A841E3">
      <w:pPr>
        <w:spacing w:line="240" w:lineRule="auto"/>
        <w:jc w:val="both"/>
      </w:pPr>
      <w:proofErr w:type="spellStart"/>
      <w:r w:rsidRPr="00D57C41">
        <w:rPr>
          <w:rFonts w:eastAsiaTheme="minorEastAsia"/>
        </w:rPr>
        <w:t>Prucha</w:t>
      </w:r>
      <w:proofErr w:type="spellEnd"/>
      <w:r w:rsidRPr="00D57C41">
        <w:rPr>
          <w:rFonts w:eastAsiaTheme="minorEastAsia"/>
        </w:rPr>
        <w:t xml:space="preserve">, I. </w:t>
      </w:r>
      <w:proofErr w:type="spellStart"/>
      <w:r w:rsidRPr="00D57C41">
        <w:rPr>
          <w:rFonts w:eastAsiaTheme="minorEastAsia"/>
          <w:i/>
          <w:iCs/>
        </w:rPr>
        <w:t>Estimation</w:t>
      </w:r>
      <w:proofErr w:type="spellEnd"/>
      <w:r w:rsidRPr="00D57C41">
        <w:rPr>
          <w:rFonts w:eastAsiaTheme="minorEastAsia"/>
          <w:i/>
          <w:iCs/>
        </w:rPr>
        <w:t xml:space="preserve"> </w:t>
      </w:r>
      <w:proofErr w:type="spellStart"/>
      <w:r w:rsidRPr="00D57C41">
        <w:rPr>
          <w:rFonts w:eastAsiaTheme="minorEastAsia"/>
          <w:i/>
          <w:iCs/>
        </w:rPr>
        <w:t>of</w:t>
      </w:r>
      <w:proofErr w:type="spellEnd"/>
      <w:r w:rsidRPr="00D57C41">
        <w:rPr>
          <w:rFonts w:eastAsiaTheme="minorEastAsia"/>
          <w:i/>
          <w:iCs/>
        </w:rPr>
        <w:t xml:space="preserve"> a </w:t>
      </w:r>
      <w:proofErr w:type="spellStart"/>
      <w:r w:rsidRPr="00D57C41">
        <w:rPr>
          <w:rFonts w:eastAsiaTheme="minorEastAsia"/>
          <w:i/>
          <w:iCs/>
        </w:rPr>
        <w:t>variable</w:t>
      </w:r>
      <w:proofErr w:type="spellEnd"/>
      <w:r w:rsidRPr="00D57C41">
        <w:rPr>
          <w:rFonts w:eastAsiaTheme="minorEastAsia"/>
          <w:i/>
          <w:iCs/>
        </w:rPr>
        <w:t xml:space="preserve"> rate </w:t>
      </w:r>
      <w:proofErr w:type="spellStart"/>
      <w:r w:rsidRPr="00D57C41">
        <w:rPr>
          <w:rFonts w:eastAsiaTheme="minorEastAsia"/>
          <w:i/>
          <w:iCs/>
        </w:rPr>
        <w:t>of</w:t>
      </w:r>
      <w:proofErr w:type="spellEnd"/>
      <w:r w:rsidRPr="00D57C41">
        <w:rPr>
          <w:rFonts w:eastAsiaTheme="minorEastAsia"/>
          <w:i/>
          <w:iCs/>
        </w:rPr>
        <w:t xml:space="preserve"> </w:t>
      </w:r>
      <w:proofErr w:type="spellStart"/>
      <w:r w:rsidRPr="00D57C41">
        <w:rPr>
          <w:rFonts w:eastAsiaTheme="minorEastAsia"/>
          <w:i/>
          <w:iCs/>
        </w:rPr>
        <w:t>depreciation</w:t>
      </w:r>
      <w:proofErr w:type="spellEnd"/>
      <w:r w:rsidRPr="00D57C41">
        <w:rPr>
          <w:rFonts w:eastAsiaTheme="minorEastAsia"/>
          <w:i/>
          <w:iCs/>
        </w:rPr>
        <w:t xml:space="preserve">: a </w:t>
      </w:r>
      <w:proofErr w:type="spellStart"/>
      <w:r w:rsidRPr="00D57C41">
        <w:rPr>
          <w:rFonts w:eastAsiaTheme="minorEastAsia"/>
          <w:i/>
          <w:iCs/>
        </w:rPr>
        <w:t>dummy</w:t>
      </w:r>
      <w:proofErr w:type="spellEnd"/>
      <w:r w:rsidRPr="00D57C41">
        <w:rPr>
          <w:rFonts w:eastAsiaTheme="minorEastAsia"/>
          <w:i/>
          <w:iCs/>
        </w:rPr>
        <w:t xml:space="preserve"> </w:t>
      </w:r>
      <w:proofErr w:type="spellStart"/>
      <w:r w:rsidRPr="00D57C41">
        <w:rPr>
          <w:rFonts w:eastAsiaTheme="minorEastAsia"/>
          <w:i/>
          <w:iCs/>
        </w:rPr>
        <w:t>variable</w:t>
      </w:r>
      <w:proofErr w:type="spellEnd"/>
      <w:r>
        <w:rPr>
          <w:rFonts w:eastAsiaTheme="minorEastAsia"/>
          <w:i/>
          <w:iCs/>
        </w:rPr>
        <w:t xml:space="preserve"> </w:t>
      </w:r>
      <w:r w:rsidRPr="00D57C41">
        <w:rPr>
          <w:rFonts w:eastAsiaTheme="minorEastAsia"/>
          <w:i/>
          <w:iCs/>
        </w:rPr>
        <w:t>approach</w:t>
      </w:r>
      <w:r w:rsidRPr="00D57C41">
        <w:rPr>
          <w:rFonts w:eastAsiaTheme="minorEastAsia"/>
        </w:rPr>
        <w:t xml:space="preserve">. </w:t>
      </w:r>
      <w:proofErr w:type="spellStart"/>
      <w:r w:rsidRPr="00D57C41">
        <w:rPr>
          <w:rFonts w:eastAsiaTheme="minorEastAsia"/>
        </w:rPr>
        <w:t>Structural</w:t>
      </w:r>
      <w:proofErr w:type="spellEnd"/>
      <w:r w:rsidRPr="00D57C41">
        <w:rPr>
          <w:rFonts w:eastAsiaTheme="minorEastAsia"/>
        </w:rPr>
        <w:t xml:space="preserve"> </w:t>
      </w:r>
      <w:proofErr w:type="spellStart"/>
      <w:r w:rsidRPr="00D57C41">
        <w:rPr>
          <w:rFonts w:eastAsiaTheme="minorEastAsia"/>
        </w:rPr>
        <w:t>Change</w:t>
      </w:r>
      <w:proofErr w:type="spellEnd"/>
      <w:r w:rsidRPr="00D57C41">
        <w:rPr>
          <w:rFonts w:eastAsiaTheme="minorEastAsia"/>
        </w:rPr>
        <w:t xml:space="preserve"> </w:t>
      </w:r>
      <w:proofErr w:type="spellStart"/>
      <w:r w:rsidRPr="00D57C41">
        <w:rPr>
          <w:rFonts w:eastAsiaTheme="minorEastAsia"/>
        </w:rPr>
        <w:t>and</w:t>
      </w:r>
      <w:proofErr w:type="spellEnd"/>
      <w:r w:rsidRPr="00D57C41">
        <w:rPr>
          <w:rFonts w:eastAsiaTheme="minorEastAsia"/>
        </w:rPr>
        <w:t xml:space="preserve"> </w:t>
      </w:r>
      <w:proofErr w:type="spellStart"/>
      <w:r w:rsidRPr="00D57C41">
        <w:rPr>
          <w:rFonts w:eastAsiaTheme="minorEastAsia"/>
        </w:rPr>
        <w:t>Economic</w:t>
      </w:r>
      <w:proofErr w:type="spellEnd"/>
      <w:r w:rsidRPr="00D57C41">
        <w:rPr>
          <w:rFonts w:eastAsiaTheme="minorEastAsia"/>
        </w:rPr>
        <w:t xml:space="preserve"> Dynamics</w:t>
      </w:r>
      <w:r>
        <w:rPr>
          <w:rFonts w:eastAsiaTheme="minorEastAsia"/>
        </w:rPr>
        <w:t>, v.</w:t>
      </w:r>
      <w:r w:rsidRPr="00D57C41">
        <w:rPr>
          <w:rFonts w:eastAsiaTheme="minorEastAsia"/>
        </w:rPr>
        <w:t xml:space="preserve"> 3, p. 319–325</w:t>
      </w:r>
      <w:r>
        <w:rPr>
          <w:rFonts w:eastAsiaTheme="minorEastAsia"/>
        </w:rPr>
        <w:t xml:space="preserve">, </w:t>
      </w:r>
      <w:r w:rsidRPr="00D57C41">
        <w:rPr>
          <w:rFonts w:eastAsiaTheme="minorEastAsia"/>
        </w:rPr>
        <w:t>1997</w:t>
      </w:r>
      <w:r>
        <w:rPr>
          <w:rFonts w:eastAsiaTheme="minorEastAsia"/>
        </w:rPr>
        <w:t>.</w:t>
      </w:r>
    </w:p>
    <w:p w14:paraId="2CD6736D" w14:textId="77777777" w:rsidR="00A37B0B" w:rsidRDefault="00A37B0B" w:rsidP="00A37B0B">
      <w:pPr>
        <w:spacing w:line="240" w:lineRule="auto"/>
        <w:jc w:val="both"/>
        <w:rPr>
          <w:rFonts w:eastAsiaTheme="minorEastAsia"/>
        </w:rPr>
      </w:pPr>
    </w:p>
    <w:p w14:paraId="7C65766E" w14:textId="48AE3649" w:rsidR="00C97FEF" w:rsidRPr="00C97FEF" w:rsidRDefault="00C97FEF" w:rsidP="00A37B0B">
      <w:pPr>
        <w:jc w:val="both"/>
        <w:rPr>
          <w:rFonts w:eastAsiaTheme="minorEastAsia"/>
        </w:rPr>
      </w:pPr>
      <w:bookmarkStart w:id="11" w:name="_GoBack"/>
      <w:bookmarkEnd w:id="11"/>
    </w:p>
    <w:sectPr w:rsidR="00C97FEF" w:rsidRPr="00C9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F2D0" w14:textId="77777777" w:rsidR="004B1DF1" w:rsidRDefault="004B1DF1" w:rsidP="00A37B0B">
      <w:pPr>
        <w:spacing w:after="0" w:line="240" w:lineRule="auto"/>
      </w:pPr>
      <w:r>
        <w:separator/>
      </w:r>
    </w:p>
  </w:endnote>
  <w:endnote w:type="continuationSeparator" w:id="0">
    <w:p w14:paraId="31718E67" w14:textId="77777777" w:rsidR="004B1DF1" w:rsidRDefault="004B1DF1" w:rsidP="00A3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FEFD2" w14:textId="77777777" w:rsidR="004B1DF1" w:rsidRDefault="004B1DF1" w:rsidP="00A37B0B">
      <w:pPr>
        <w:spacing w:after="0" w:line="240" w:lineRule="auto"/>
      </w:pPr>
      <w:r>
        <w:separator/>
      </w:r>
    </w:p>
  </w:footnote>
  <w:footnote w:type="continuationSeparator" w:id="0">
    <w:p w14:paraId="726DE6F3" w14:textId="77777777" w:rsidR="004B1DF1" w:rsidRDefault="004B1DF1" w:rsidP="00A37B0B">
      <w:pPr>
        <w:spacing w:after="0" w:line="240" w:lineRule="auto"/>
      </w:pPr>
      <w:r>
        <w:continuationSeparator/>
      </w:r>
    </w:p>
  </w:footnote>
  <w:footnote w:id="1">
    <w:p w14:paraId="21A3D202" w14:textId="77777777" w:rsidR="001043D8" w:rsidRDefault="001043D8" w:rsidP="00A37B0B">
      <w:pPr>
        <w:pStyle w:val="Textodenotaderodap"/>
      </w:pPr>
      <w:r>
        <w:rPr>
          <w:rStyle w:val="Refdenotaderodap"/>
        </w:rPr>
        <w:footnoteRef/>
      </w:r>
      <w:r>
        <w:t xml:space="preserve"> Para uma discussão acerca dos diferentes métodos de cálculo do estoque de capital, vide OECD (2001).</w:t>
      </w:r>
    </w:p>
  </w:footnote>
  <w:footnote w:id="2">
    <w:p w14:paraId="24BC5A17" w14:textId="77777777" w:rsidR="001043D8" w:rsidRDefault="001043D8" w:rsidP="00A37B0B">
      <w:pPr>
        <w:pStyle w:val="Textodenotaderodap"/>
      </w:pPr>
      <w:r>
        <w:rPr>
          <w:rStyle w:val="Refdenotaderodap"/>
        </w:rPr>
        <w:footnoteRef/>
      </w:r>
      <w:r>
        <w:t xml:space="preserve"> Existem tais informações disponíveis, por exemplo, na Pesquisa Industrial Anual e na Pesquisa Anual de Serviços (</w:t>
      </w:r>
      <w:r w:rsidRPr="0027334E">
        <w:rPr>
          <w:rFonts w:eastAsiaTheme="minorEastAsia"/>
        </w:rPr>
        <w:t>PAS</w:t>
      </w:r>
      <w:r>
        <w:rPr>
          <w:rFonts w:eastAsiaTheme="minorEastAsia"/>
        </w:rPr>
        <w:t>) (IBGE, 2015a; IBGE, 2015b).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11B90"/>
    <w:multiLevelType w:val="multilevel"/>
    <w:tmpl w:val="34DC3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xNzY1MzcwMDO3NDVW0lEKTi0uzszPAykwqQUAAf23gywAAAA="/>
  </w:docVars>
  <w:rsids>
    <w:rsidRoot w:val="001B24AC"/>
    <w:rsid w:val="000223C0"/>
    <w:rsid w:val="00075590"/>
    <w:rsid w:val="000A2855"/>
    <w:rsid w:val="000A5903"/>
    <w:rsid w:val="000E71E5"/>
    <w:rsid w:val="001043D8"/>
    <w:rsid w:val="00143390"/>
    <w:rsid w:val="00177C82"/>
    <w:rsid w:val="001824E4"/>
    <w:rsid w:val="001B24AC"/>
    <w:rsid w:val="002B154B"/>
    <w:rsid w:val="002B15B0"/>
    <w:rsid w:val="002B1833"/>
    <w:rsid w:val="003A5B24"/>
    <w:rsid w:val="003F4DC1"/>
    <w:rsid w:val="004851DF"/>
    <w:rsid w:val="004944D4"/>
    <w:rsid w:val="004B1DF1"/>
    <w:rsid w:val="00504EC2"/>
    <w:rsid w:val="005A40D4"/>
    <w:rsid w:val="005A695F"/>
    <w:rsid w:val="005B48C1"/>
    <w:rsid w:val="00607E4C"/>
    <w:rsid w:val="006612B5"/>
    <w:rsid w:val="00666944"/>
    <w:rsid w:val="00667E6C"/>
    <w:rsid w:val="00691EE3"/>
    <w:rsid w:val="007269A4"/>
    <w:rsid w:val="00765400"/>
    <w:rsid w:val="00796900"/>
    <w:rsid w:val="007C6407"/>
    <w:rsid w:val="007E13CB"/>
    <w:rsid w:val="007F2428"/>
    <w:rsid w:val="00805A43"/>
    <w:rsid w:val="00835D45"/>
    <w:rsid w:val="008618C0"/>
    <w:rsid w:val="008B66A4"/>
    <w:rsid w:val="008D56F7"/>
    <w:rsid w:val="00903C14"/>
    <w:rsid w:val="00970A46"/>
    <w:rsid w:val="009B04C9"/>
    <w:rsid w:val="009B67CB"/>
    <w:rsid w:val="00A103DA"/>
    <w:rsid w:val="00A34F84"/>
    <w:rsid w:val="00A37B0B"/>
    <w:rsid w:val="00A4663C"/>
    <w:rsid w:val="00A646D6"/>
    <w:rsid w:val="00A841E3"/>
    <w:rsid w:val="00AF1CA9"/>
    <w:rsid w:val="00BB2398"/>
    <w:rsid w:val="00C055F3"/>
    <w:rsid w:val="00C90E03"/>
    <w:rsid w:val="00C96D31"/>
    <w:rsid w:val="00C97FEF"/>
    <w:rsid w:val="00CD5627"/>
    <w:rsid w:val="00CF2014"/>
    <w:rsid w:val="00D061C7"/>
    <w:rsid w:val="00D13C09"/>
    <w:rsid w:val="00D33655"/>
    <w:rsid w:val="00D54F68"/>
    <w:rsid w:val="00D57C41"/>
    <w:rsid w:val="00D729CB"/>
    <w:rsid w:val="00D77957"/>
    <w:rsid w:val="00D958EA"/>
    <w:rsid w:val="00E24554"/>
    <w:rsid w:val="00E779A3"/>
    <w:rsid w:val="00EB7846"/>
    <w:rsid w:val="00EE2436"/>
    <w:rsid w:val="00F2368D"/>
    <w:rsid w:val="00F63A02"/>
    <w:rsid w:val="00F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AB5D"/>
  <w15:chartTrackingRefBased/>
  <w15:docId w15:val="{60618ED4-1D18-45A8-BD15-1860C154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7B0B"/>
    <w:pPr>
      <w:keepNext/>
      <w:keepLines/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B24AC"/>
    <w:rPr>
      <w:color w:val="808080"/>
    </w:rPr>
  </w:style>
  <w:style w:type="paragraph" w:styleId="Legenda">
    <w:name w:val="caption"/>
    <w:basedOn w:val="Normal"/>
    <w:next w:val="Normal"/>
    <w:unhideWhenUsed/>
    <w:qFormat/>
    <w:rsid w:val="00970A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49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37B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paragraph" w:styleId="PargrafodaLista">
    <w:name w:val="List Paragraph"/>
    <w:basedOn w:val="Normal"/>
    <w:uiPriority w:val="34"/>
    <w:qFormat/>
    <w:rsid w:val="00A37B0B"/>
    <w:pPr>
      <w:spacing w:after="200" w:line="276" w:lineRule="auto"/>
      <w:ind w:left="720"/>
      <w:contextualSpacing/>
      <w:jc w:val="both"/>
    </w:pPr>
    <w:rPr>
      <w:sz w:val="24"/>
      <w:szCs w:val="24"/>
      <w:lang w:bidi="ar-SA"/>
    </w:rPr>
  </w:style>
  <w:style w:type="paragraph" w:styleId="Textodenotaderodap">
    <w:name w:val="footnote text"/>
    <w:basedOn w:val="Normal"/>
    <w:link w:val="TextodenotaderodapChar"/>
    <w:uiPriority w:val="99"/>
    <w:semiHidden/>
    <w:rsid w:val="00A37B0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7B0B"/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character" w:styleId="Refdenotaderodap">
    <w:name w:val="footnote reference"/>
    <w:basedOn w:val="Fontepargpadro"/>
    <w:uiPriority w:val="99"/>
    <w:semiHidden/>
    <w:rsid w:val="00A37B0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37B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7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ibge.gov.br/visualizacao/periodicos/1719/pia_2015_v34_n1_empres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blioteca.ibge.gov.br/visualizacao/periodicos/150/pas_2015_v17_notas_tecnica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A73E4-966C-46C8-BEB4-3929BE1F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3765</Words>
  <Characters>20333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29</cp:revision>
  <dcterms:created xsi:type="dcterms:W3CDTF">2019-05-04T19:59:00Z</dcterms:created>
  <dcterms:modified xsi:type="dcterms:W3CDTF">2019-05-07T01:48:00Z</dcterms:modified>
</cp:coreProperties>
</file>