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664461" w14:textId="77777777" w:rsidR="008C4256" w:rsidRPr="0002542D" w:rsidRDefault="008C4256" w:rsidP="00102EE8"/>
    <w:p w14:paraId="195A10F0" w14:textId="77777777" w:rsidR="001F4F54" w:rsidRPr="0002542D" w:rsidRDefault="00212D16" w:rsidP="0002542D">
      <w:pPr>
        <w:jc w:val="center"/>
      </w:pPr>
      <w:r w:rsidRPr="0002542D">
        <w:t xml:space="preserve">Estimativa do </w:t>
      </w:r>
      <w:r w:rsidR="00C1196E" w:rsidRPr="0002542D">
        <w:t>E</w:t>
      </w:r>
      <w:r w:rsidRPr="0002542D">
        <w:t>stoque de capital</w:t>
      </w:r>
      <w:r w:rsidR="008C4256" w:rsidRPr="0002542D">
        <w:t xml:space="preserve"> para Firmas</w:t>
      </w:r>
      <w:r w:rsidR="00C1196E" w:rsidRPr="0002542D">
        <w:t xml:space="preserve"> na Indústria e no </w:t>
      </w:r>
      <w:r w:rsidR="008C4256" w:rsidRPr="0002542D">
        <w:t>Setor de Serviços</w:t>
      </w:r>
    </w:p>
    <w:p w14:paraId="2F48768B" w14:textId="77777777" w:rsidR="00212D16" w:rsidRPr="0002542D" w:rsidRDefault="00212D16" w:rsidP="0002542D">
      <w:pPr>
        <w:jc w:val="center"/>
      </w:pPr>
    </w:p>
    <w:p w14:paraId="09F8848C" w14:textId="77777777" w:rsidR="00212D16" w:rsidRPr="0002542D" w:rsidRDefault="00212D16" w:rsidP="0002542D">
      <w:pPr>
        <w:jc w:val="center"/>
      </w:pPr>
    </w:p>
    <w:p w14:paraId="1E019E5E" w14:textId="77777777" w:rsidR="00907E87" w:rsidRPr="0002542D" w:rsidRDefault="00907E87" w:rsidP="0002542D">
      <w:pPr>
        <w:jc w:val="center"/>
      </w:pPr>
    </w:p>
    <w:p w14:paraId="1F4C8E9C" w14:textId="77777777" w:rsidR="00CC26A2" w:rsidRDefault="00212D16" w:rsidP="0002542D">
      <w:pPr>
        <w:jc w:val="center"/>
      </w:pPr>
      <w:r w:rsidRPr="0002542D">
        <w:t>Patrick Alves</w:t>
      </w:r>
    </w:p>
    <w:p w14:paraId="3F2535C5" w14:textId="7639B7C9" w:rsidR="00212D16" w:rsidRPr="0002542D" w:rsidRDefault="00CC26A2" w:rsidP="0002542D">
      <w:pPr>
        <w:jc w:val="center"/>
      </w:pPr>
      <w:r>
        <w:t xml:space="preserve"> </w:t>
      </w:r>
      <w:r w:rsidR="008C4256" w:rsidRPr="0002542D">
        <w:t>Glaucia Estef</w:t>
      </w:r>
      <w:r w:rsidR="00C1196E" w:rsidRPr="0002542D">
        <w:t>â</w:t>
      </w:r>
      <w:r w:rsidR="008C4256" w:rsidRPr="0002542D">
        <w:t>ni</w:t>
      </w:r>
      <w:r w:rsidR="00C1196E" w:rsidRPr="0002542D">
        <w:t xml:space="preserve">a de Souza Ferreira </w:t>
      </w:r>
    </w:p>
    <w:p w14:paraId="118C9432" w14:textId="77777777" w:rsidR="008C4256" w:rsidRPr="0002542D" w:rsidRDefault="008C4256" w:rsidP="0002542D">
      <w:pPr>
        <w:jc w:val="center"/>
      </w:pPr>
    </w:p>
    <w:p w14:paraId="591DFC88" w14:textId="77777777" w:rsidR="00212D16" w:rsidRPr="0002542D" w:rsidRDefault="00212D16" w:rsidP="00102EE8"/>
    <w:p w14:paraId="6E6DDA59" w14:textId="77777777" w:rsidR="00212D16" w:rsidRPr="0002542D" w:rsidRDefault="00212D16" w:rsidP="00102EE8"/>
    <w:p w14:paraId="075E8C96" w14:textId="77777777" w:rsidR="00212D16" w:rsidRPr="0002542D" w:rsidRDefault="00212D16" w:rsidP="00102EE8"/>
    <w:p w14:paraId="5143FA88" w14:textId="77777777" w:rsidR="00212D16" w:rsidRPr="0002542D" w:rsidRDefault="00212D16" w:rsidP="00102EE8"/>
    <w:p w14:paraId="37EF1B68" w14:textId="77777777" w:rsidR="00212D16" w:rsidRPr="0002542D" w:rsidRDefault="00212D16" w:rsidP="00102EE8"/>
    <w:p w14:paraId="6AFB431D" w14:textId="77777777" w:rsidR="00212D16" w:rsidRPr="0002542D" w:rsidRDefault="00212D16" w:rsidP="00102EE8"/>
    <w:p w14:paraId="444AA3AD" w14:textId="77777777" w:rsidR="00C1196E" w:rsidRPr="0002542D" w:rsidRDefault="00C1196E" w:rsidP="00102EE8"/>
    <w:p w14:paraId="7E75EC4D" w14:textId="77777777" w:rsidR="00C1196E" w:rsidRPr="0002542D" w:rsidRDefault="00C1196E" w:rsidP="00102EE8"/>
    <w:p w14:paraId="0CF7389E" w14:textId="77777777" w:rsidR="00212D16" w:rsidRPr="0002542D" w:rsidRDefault="00212D16" w:rsidP="00102EE8"/>
    <w:p w14:paraId="0343B595" w14:textId="77777777" w:rsidR="00212D16" w:rsidRPr="0002542D" w:rsidRDefault="00212D16" w:rsidP="00102EE8"/>
    <w:p w14:paraId="5799C0BC" w14:textId="77777777" w:rsidR="00212D16" w:rsidRPr="0002542D" w:rsidRDefault="00212D16" w:rsidP="00102EE8"/>
    <w:p w14:paraId="4083E190" w14:textId="77777777" w:rsidR="0002542D" w:rsidRPr="0002542D" w:rsidRDefault="0002542D" w:rsidP="00102EE8"/>
    <w:p w14:paraId="1E71260F" w14:textId="77777777" w:rsidR="00212D16" w:rsidRPr="0002542D" w:rsidRDefault="00212D16" w:rsidP="00102EE8"/>
    <w:p w14:paraId="75CDD1A2" w14:textId="77777777" w:rsidR="00212D16" w:rsidRPr="0002542D" w:rsidRDefault="00212D16" w:rsidP="00102EE8"/>
    <w:p w14:paraId="73F018ED" w14:textId="77777777" w:rsidR="00212D16" w:rsidRPr="0002542D" w:rsidRDefault="00212D16" w:rsidP="00102EE8"/>
    <w:p w14:paraId="5CF93DA6" w14:textId="77777777" w:rsidR="00212D16" w:rsidRPr="0002542D" w:rsidRDefault="00212D16" w:rsidP="00102EE8"/>
    <w:p w14:paraId="60BEE564" w14:textId="77777777" w:rsidR="00212D16" w:rsidRPr="0002542D" w:rsidRDefault="00212D16" w:rsidP="0002542D">
      <w:pPr>
        <w:jc w:val="center"/>
      </w:pPr>
      <w:r w:rsidRPr="0002542D">
        <w:t xml:space="preserve">Rio de janeiro, </w:t>
      </w:r>
      <w:proofErr w:type="gramStart"/>
      <w:r w:rsidR="0002542D">
        <w:t>Abril</w:t>
      </w:r>
      <w:proofErr w:type="gramEnd"/>
      <w:r w:rsidR="0002542D">
        <w:t xml:space="preserve"> </w:t>
      </w:r>
      <w:r w:rsidRPr="0002542D">
        <w:t>de 201</w:t>
      </w:r>
      <w:r w:rsidR="0002542D">
        <w:t>8</w:t>
      </w:r>
    </w:p>
    <w:p w14:paraId="1673103D" w14:textId="77777777" w:rsidR="00212D16" w:rsidRPr="0002542D" w:rsidRDefault="00212D16" w:rsidP="00102EE8"/>
    <w:p w14:paraId="57429EA5" w14:textId="77777777" w:rsidR="00212D16" w:rsidRPr="0002542D" w:rsidRDefault="00212D16" w:rsidP="00102EE8"/>
    <w:p w14:paraId="31CCF968" w14:textId="77777777" w:rsidR="00212D16" w:rsidRDefault="00907E87" w:rsidP="00102EE8">
      <w:r>
        <w:t>RESUMO</w:t>
      </w:r>
    </w:p>
    <w:p w14:paraId="1F88DFFA" w14:textId="77777777" w:rsidR="00131998" w:rsidRDefault="00212D16" w:rsidP="00102EE8">
      <w:r w:rsidRPr="00212D16">
        <w:t>Este trabalho busca contribuir com os estudos de microdados da indús</w:t>
      </w:r>
      <w:r>
        <w:t xml:space="preserve">tria brasileira </w:t>
      </w:r>
      <w:r w:rsidR="005F2177">
        <w:t xml:space="preserve">e do setor de serviços </w:t>
      </w:r>
      <w:r w:rsidR="008C4256">
        <w:t xml:space="preserve">propondo abordagens </w:t>
      </w:r>
      <w:r>
        <w:t>para estima</w:t>
      </w:r>
      <w:r w:rsidR="008C4256">
        <w:t xml:space="preserve">ção do </w:t>
      </w:r>
      <w:r>
        <w:t>estoque de capital</w:t>
      </w:r>
      <w:r w:rsidR="008C4256">
        <w:t xml:space="preserve"> no nível das firmas</w:t>
      </w:r>
      <w:r>
        <w:t xml:space="preserve">. </w:t>
      </w:r>
      <w:r w:rsidR="008C4256">
        <w:t xml:space="preserve">Sabe-se que o estoque de capital é uma informação </w:t>
      </w:r>
      <w:r>
        <w:t xml:space="preserve">crucial </w:t>
      </w:r>
      <w:r w:rsidR="008C4256">
        <w:t xml:space="preserve">a ser incluída em muitos modelos microeconômicos e econométricos, tais como na estimação da produtividade total dos fatores. Sua ausência </w:t>
      </w:r>
      <w:r w:rsidR="005F2177">
        <w:t xml:space="preserve">nos modelos econométricos, ou sua inadequada mensuração através de </w:t>
      </w:r>
      <w:r w:rsidR="005F2177" w:rsidRPr="008C4256">
        <w:t>proxies</w:t>
      </w:r>
      <w:r w:rsidR="005F2177">
        <w:t xml:space="preserve">, acarretaria os problemas de </w:t>
      </w:r>
      <w:r w:rsidR="008C4256">
        <w:t>viés de omissão</w:t>
      </w:r>
      <w:r w:rsidR="005F2177">
        <w:t xml:space="preserve"> de variáveis </w:t>
      </w:r>
      <w:r w:rsidR="008C4256">
        <w:t xml:space="preserve">de viés </w:t>
      </w:r>
      <w:r w:rsidR="005F2177">
        <w:t xml:space="preserve">devido </w:t>
      </w:r>
      <w:r w:rsidR="008C4256">
        <w:t xml:space="preserve">ao erro de medida. </w:t>
      </w:r>
    </w:p>
    <w:p w14:paraId="61054173" w14:textId="77777777" w:rsidR="00041D95" w:rsidRDefault="008C4256" w:rsidP="00102EE8">
      <w:r>
        <w:t xml:space="preserve">Somente recentemente a Pesquisa Industrial Anual </w:t>
      </w:r>
      <w:r w:rsidR="005F2177">
        <w:t xml:space="preserve">(PIA) </w:t>
      </w:r>
      <w:r>
        <w:t xml:space="preserve">e a Pesquisa Anual de Serviços </w:t>
      </w:r>
      <w:r w:rsidR="005F2177">
        <w:t xml:space="preserve">(PAS) </w:t>
      </w:r>
      <w:r>
        <w:t xml:space="preserve">passaram a incluir o ativo imobilizado </w:t>
      </w:r>
      <w:r w:rsidR="00131998">
        <w:t xml:space="preserve">das firmas </w:t>
      </w:r>
      <w:r>
        <w:t xml:space="preserve">entre as informações </w:t>
      </w:r>
      <w:r w:rsidR="00131998">
        <w:t>coletadas</w:t>
      </w:r>
      <w:r>
        <w:t xml:space="preserve">. </w:t>
      </w:r>
      <w:r w:rsidR="00131998">
        <w:t xml:space="preserve">Portanto, mesmo adotando o ativo fixo como proxy do estoque de capital, ainda seria necessária construir tal medida para todo </w:t>
      </w:r>
      <w:proofErr w:type="gramStart"/>
      <w:r w:rsidR="00131998">
        <w:t>período de tempo</w:t>
      </w:r>
      <w:proofErr w:type="gramEnd"/>
      <w:r w:rsidR="00131998">
        <w:t xml:space="preserve">. </w:t>
      </w:r>
      <w:r w:rsidR="00C1196E">
        <w:t>Neste trabalho apresentaremos os resultados da aplicação de diferentes versões do método do inventário perpétuo para estimação do estoque de capital</w:t>
      </w:r>
      <w:r w:rsidR="00041D95">
        <w:t>.</w:t>
      </w:r>
      <w:r w:rsidR="00C1196E">
        <w:t xml:space="preserve"> Os resultados mostram-se consistentes com comparações internacionais para as mesmas medidas.</w:t>
      </w:r>
    </w:p>
    <w:p w14:paraId="21ACCB7F" w14:textId="77777777" w:rsidR="002429F8" w:rsidRDefault="002429F8" w:rsidP="00102EE8"/>
    <w:p w14:paraId="7D077E21" w14:textId="77777777" w:rsidR="002429F8" w:rsidRPr="002429F8" w:rsidRDefault="002429F8" w:rsidP="00102EE8">
      <w:pPr>
        <w:rPr>
          <w:lang w:val="en-US"/>
        </w:rPr>
      </w:pPr>
      <w:r w:rsidRPr="002429F8">
        <w:rPr>
          <w:lang w:val="en-US"/>
        </w:rPr>
        <w:t>ABSTRACT</w:t>
      </w:r>
    </w:p>
    <w:p w14:paraId="237EC4A1" w14:textId="77777777" w:rsidR="00131998" w:rsidRDefault="00C1196E" w:rsidP="00102EE8">
      <w:pPr>
        <w:rPr>
          <w:lang w:val="en-US"/>
        </w:rPr>
      </w:pPr>
      <w:r w:rsidRPr="00C1196E">
        <w:rPr>
          <w:lang w:val="en-US"/>
        </w:rPr>
        <w:t xml:space="preserve">This paper </w:t>
      </w:r>
      <w:r w:rsidR="00E43616">
        <w:rPr>
          <w:lang w:val="en-US"/>
        </w:rPr>
        <w:t xml:space="preserve">is a methodological </w:t>
      </w:r>
      <w:r w:rsidRPr="00C1196E">
        <w:rPr>
          <w:lang w:val="en-US"/>
        </w:rPr>
        <w:t>contribut</w:t>
      </w:r>
      <w:r w:rsidR="00E43616">
        <w:rPr>
          <w:lang w:val="en-US"/>
        </w:rPr>
        <w:t xml:space="preserve">ion </w:t>
      </w:r>
      <w:r w:rsidRPr="00C1196E">
        <w:rPr>
          <w:lang w:val="en-US"/>
        </w:rPr>
        <w:t xml:space="preserve">to the </w:t>
      </w:r>
      <w:r w:rsidR="00E43616">
        <w:rPr>
          <w:lang w:val="en-US"/>
        </w:rPr>
        <w:t xml:space="preserve">empirical </w:t>
      </w:r>
      <w:r w:rsidRPr="00C1196E">
        <w:rPr>
          <w:lang w:val="en-US"/>
        </w:rPr>
        <w:t>micro</w:t>
      </w:r>
      <w:r w:rsidR="00E43616">
        <w:rPr>
          <w:lang w:val="en-US"/>
        </w:rPr>
        <w:t xml:space="preserve">economic investigations using data from the Brazilian Institute of Statistics and Geography </w:t>
      </w:r>
      <w:r w:rsidR="00131998">
        <w:rPr>
          <w:lang w:val="en-US"/>
        </w:rPr>
        <w:t xml:space="preserve">for the </w:t>
      </w:r>
      <w:r w:rsidRPr="00C1196E">
        <w:rPr>
          <w:lang w:val="en-US"/>
        </w:rPr>
        <w:t>industry and services sector</w:t>
      </w:r>
      <w:r w:rsidR="00131998">
        <w:rPr>
          <w:lang w:val="en-US"/>
        </w:rPr>
        <w:t>. We estimate the fixed capital stock at the firm level using different methodology</w:t>
      </w:r>
      <w:r w:rsidRPr="00C1196E">
        <w:rPr>
          <w:lang w:val="en-US"/>
        </w:rPr>
        <w:t xml:space="preserve">. It is known that </w:t>
      </w:r>
      <w:r w:rsidR="00131998">
        <w:rPr>
          <w:lang w:val="en-US"/>
        </w:rPr>
        <w:t xml:space="preserve">fixed </w:t>
      </w:r>
      <w:r w:rsidRPr="00C1196E">
        <w:rPr>
          <w:lang w:val="en-US"/>
        </w:rPr>
        <w:t>capital stock is crucial information to be included in many microeconomic and econometric models</w:t>
      </w:r>
      <w:r w:rsidR="00131998">
        <w:rPr>
          <w:lang w:val="en-US"/>
        </w:rPr>
        <w:t xml:space="preserve">. For instance, it’s needed to </w:t>
      </w:r>
      <w:r w:rsidR="00131998" w:rsidRPr="00C1196E">
        <w:rPr>
          <w:lang w:val="en-US"/>
        </w:rPr>
        <w:t>total factor productivity</w:t>
      </w:r>
      <w:r w:rsidR="00131998">
        <w:rPr>
          <w:lang w:val="en-US"/>
        </w:rPr>
        <w:t xml:space="preserve"> estimation</w:t>
      </w:r>
      <w:r w:rsidRPr="00C1196E">
        <w:rPr>
          <w:lang w:val="en-US"/>
        </w:rPr>
        <w:t xml:space="preserve">. Its absence in the econometric models, or its inadequate measurement through </w:t>
      </w:r>
      <w:r w:rsidR="00131998">
        <w:rPr>
          <w:lang w:val="en-US"/>
        </w:rPr>
        <w:t xml:space="preserve">weak </w:t>
      </w:r>
      <w:r w:rsidRPr="00C1196E">
        <w:rPr>
          <w:lang w:val="en-US"/>
        </w:rPr>
        <w:t xml:space="preserve">proxies, would entail the </w:t>
      </w:r>
      <w:r w:rsidR="00131998">
        <w:rPr>
          <w:lang w:val="en-US"/>
        </w:rPr>
        <w:t xml:space="preserve">bias due to missing variables and </w:t>
      </w:r>
      <w:r w:rsidRPr="00C1196E">
        <w:rPr>
          <w:lang w:val="en-US"/>
        </w:rPr>
        <w:t>due to the measurement error.</w:t>
      </w:r>
    </w:p>
    <w:p w14:paraId="514A2C14" w14:textId="77777777" w:rsidR="00041D95" w:rsidRDefault="00C1196E" w:rsidP="00102EE8">
      <w:pPr>
        <w:rPr>
          <w:lang w:val="en-US"/>
        </w:rPr>
      </w:pPr>
      <w:r w:rsidRPr="00C1196E">
        <w:rPr>
          <w:lang w:val="en-US"/>
        </w:rPr>
        <w:t xml:space="preserve">Only recently the Annual Industrial Survey (PIA) and the Annual Survey of Services (PAS) </w:t>
      </w:r>
      <w:r w:rsidR="00131998">
        <w:rPr>
          <w:lang w:val="en-US"/>
        </w:rPr>
        <w:t xml:space="preserve">start </w:t>
      </w:r>
      <w:r w:rsidRPr="00C1196E">
        <w:rPr>
          <w:lang w:val="en-US"/>
        </w:rPr>
        <w:t xml:space="preserve">to </w:t>
      </w:r>
      <w:r w:rsidR="00131998">
        <w:rPr>
          <w:lang w:val="en-US"/>
        </w:rPr>
        <w:t xml:space="preserve">collect </w:t>
      </w:r>
      <w:r w:rsidR="00131998" w:rsidRPr="00C1196E">
        <w:rPr>
          <w:lang w:val="en-US"/>
        </w:rPr>
        <w:t xml:space="preserve">the </w:t>
      </w:r>
      <w:r w:rsidR="00131998">
        <w:rPr>
          <w:lang w:val="en-US"/>
        </w:rPr>
        <w:t xml:space="preserve">firm’s </w:t>
      </w:r>
      <w:r w:rsidR="00131998" w:rsidRPr="00C1196E">
        <w:rPr>
          <w:lang w:val="en-US"/>
        </w:rPr>
        <w:t xml:space="preserve">fixed assets </w:t>
      </w:r>
      <w:r w:rsidR="00131998">
        <w:rPr>
          <w:lang w:val="en-US"/>
        </w:rPr>
        <w:t xml:space="preserve">in its </w:t>
      </w:r>
      <w:r w:rsidR="00131998" w:rsidRPr="00C1196E">
        <w:rPr>
          <w:lang w:val="en-US"/>
        </w:rPr>
        <w:t>questionnaire</w:t>
      </w:r>
      <w:r w:rsidR="00131998">
        <w:rPr>
          <w:lang w:val="en-US"/>
        </w:rPr>
        <w:t xml:space="preserve">s </w:t>
      </w:r>
      <w:r w:rsidRPr="00C1196E">
        <w:rPr>
          <w:lang w:val="en-US"/>
        </w:rPr>
        <w:t xml:space="preserve">collected. </w:t>
      </w:r>
      <w:r w:rsidR="005F5690" w:rsidRPr="005F5690">
        <w:rPr>
          <w:lang w:val="en-US"/>
        </w:rPr>
        <w:t>Therefore, even adopting fixed assets as a proxy for the capital stock, it would still be necessary to build such a measure for any period of time.</w:t>
      </w:r>
      <w:r w:rsidR="005F5690">
        <w:rPr>
          <w:lang w:val="en-US"/>
        </w:rPr>
        <w:t xml:space="preserve"> </w:t>
      </w:r>
      <w:r w:rsidRPr="00C1196E">
        <w:rPr>
          <w:lang w:val="en-US"/>
        </w:rPr>
        <w:t>In this paper we present the results of applying different versions of the perpetual inventory method to estimate the capital stock. The results are consistent with international comparisons for the same measurements.</w:t>
      </w:r>
    </w:p>
    <w:p w14:paraId="2589E212" w14:textId="77777777" w:rsidR="00D13039" w:rsidRDefault="00D13039" w:rsidP="00102EE8">
      <w:pPr>
        <w:rPr>
          <w:lang w:val="en-US"/>
        </w:rPr>
      </w:pPr>
    </w:p>
    <w:p w14:paraId="35B2881C" w14:textId="77777777" w:rsidR="00D13039" w:rsidRDefault="00D13039" w:rsidP="00102EE8">
      <w:pPr>
        <w:rPr>
          <w:lang w:val="en-US"/>
        </w:rPr>
      </w:pPr>
    </w:p>
    <w:p w14:paraId="1D1C5D29" w14:textId="77777777" w:rsidR="00D13039" w:rsidRPr="00D13039" w:rsidRDefault="00D13039" w:rsidP="00102EE8">
      <w:pPr>
        <w:rPr>
          <w:lang w:val="en-US"/>
        </w:rPr>
      </w:pPr>
    </w:p>
    <w:p w14:paraId="642EB034" w14:textId="77777777" w:rsidR="005F5690" w:rsidRPr="00896CC2" w:rsidRDefault="00BE6F25" w:rsidP="00896CC2">
      <w:pPr>
        <w:pStyle w:val="Ttulo1"/>
        <w:numPr>
          <w:ilvl w:val="0"/>
          <w:numId w:val="19"/>
        </w:numPr>
        <w:ind w:left="0" w:firstLine="0"/>
        <w:rPr>
          <w:rFonts w:asciiTheme="minorHAnsi" w:hAnsiTheme="minorHAnsi" w:cstheme="minorHAnsi"/>
          <w:color w:val="auto"/>
          <w:sz w:val="24"/>
          <w:szCs w:val="24"/>
        </w:rPr>
      </w:pPr>
      <w:r w:rsidRPr="00896CC2">
        <w:rPr>
          <w:rFonts w:asciiTheme="minorHAnsi" w:hAnsiTheme="minorHAnsi" w:cstheme="minorHAnsi"/>
          <w:color w:val="auto"/>
          <w:sz w:val="24"/>
          <w:szCs w:val="24"/>
        </w:rPr>
        <w:t>Introdução</w:t>
      </w:r>
    </w:p>
    <w:p w14:paraId="6E2AB193" w14:textId="77777777" w:rsidR="005F5690" w:rsidRPr="00D13039" w:rsidRDefault="005F5690" w:rsidP="00102EE8">
      <w:pPr>
        <w:pStyle w:val="PargrafodaLista"/>
      </w:pPr>
    </w:p>
    <w:p w14:paraId="76EB49D0" w14:textId="77777777" w:rsidR="00C1196E" w:rsidRPr="0002542D" w:rsidRDefault="00C1196E" w:rsidP="0002542D">
      <w:pPr>
        <w:rPr>
          <w:b/>
        </w:rPr>
      </w:pPr>
      <w:r w:rsidRPr="00D13039">
        <w:t xml:space="preserve">Os estudos </w:t>
      </w:r>
      <w:proofErr w:type="spellStart"/>
      <w:r w:rsidRPr="00D13039">
        <w:t>micro-econométricos</w:t>
      </w:r>
      <w:proofErr w:type="spellEnd"/>
      <w:r w:rsidRPr="00D13039">
        <w:t xml:space="preserve"> </w:t>
      </w:r>
      <w:r w:rsidR="00907E87">
        <w:t>no</w:t>
      </w:r>
      <w:r w:rsidRPr="00D13039">
        <w:t xml:space="preserve">s setores da indústria e serviços frequentemente esbarram na falta de uma medida adequada </w:t>
      </w:r>
      <w:r w:rsidR="00907E87">
        <w:t xml:space="preserve">para o </w:t>
      </w:r>
      <w:r w:rsidRPr="00D13039">
        <w:t xml:space="preserve">estoque de capital das empresas. A ausência </w:t>
      </w:r>
      <w:r w:rsidR="00907E87">
        <w:t xml:space="preserve">de uma informação explicita para o </w:t>
      </w:r>
      <w:r w:rsidRPr="00D13039">
        <w:t xml:space="preserve">estoque de capital </w:t>
      </w:r>
      <w:r w:rsidR="00254A6C" w:rsidRPr="00D13039">
        <w:t>na</w:t>
      </w:r>
      <w:r w:rsidR="00264276" w:rsidRPr="00D13039">
        <w:t xml:space="preserve"> Pesquisa Industrial Anual (PIA) e </w:t>
      </w:r>
      <w:r w:rsidR="005F5690" w:rsidRPr="00D13039">
        <w:t xml:space="preserve">na </w:t>
      </w:r>
      <w:r w:rsidR="00264276" w:rsidRPr="00D13039">
        <w:t xml:space="preserve">Pesquisa Anual de Serviços (PIA) </w:t>
      </w:r>
      <w:r w:rsidR="00907E87">
        <w:t xml:space="preserve">devem-se à orientação ao </w:t>
      </w:r>
      <w:r w:rsidRPr="00D13039">
        <w:t xml:space="preserve">Sistema de Contas Nacionais </w:t>
      </w:r>
      <w:r w:rsidR="00264276" w:rsidRPr="00D13039">
        <w:t xml:space="preserve">(SCN) </w:t>
      </w:r>
      <w:r w:rsidR="00907E87" w:rsidRPr="00D13039">
        <w:t>gerido</w:t>
      </w:r>
      <w:r w:rsidR="005F5690" w:rsidRPr="00D13039">
        <w:t xml:space="preserve"> pelo </w:t>
      </w:r>
      <w:r w:rsidR="00264276" w:rsidRPr="00D13039">
        <w:t xml:space="preserve">Instituto Brasileiro de Geografia e Estatística (IBGE), especialmente </w:t>
      </w:r>
      <w:r w:rsidR="00907E87">
        <w:t xml:space="preserve">nas </w:t>
      </w:r>
      <w:r w:rsidR="00264276" w:rsidRPr="00D13039">
        <w:t>primeiras edições</w:t>
      </w:r>
      <w:r w:rsidR="00907E87">
        <w:t xml:space="preserve"> da PIA e da PAS</w:t>
      </w:r>
      <w:r w:rsidR="00264276" w:rsidRPr="00D13039">
        <w:t xml:space="preserve">. </w:t>
      </w:r>
      <w:r w:rsidR="00211991">
        <w:t>Uma vez que o estoque de capital não faz parte dos Sistemas de Contas Nacionais</w:t>
      </w:r>
      <w:r w:rsidR="00211991" w:rsidRPr="00D13039">
        <w:t xml:space="preserve"> </w:t>
      </w:r>
      <w:r w:rsidR="00211991">
        <w:t xml:space="preserve">(OCDE, 2001), a </w:t>
      </w:r>
      <w:r w:rsidR="00264276" w:rsidRPr="00D13039">
        <w:t xml:space="preserve">preocupação </w:t>
      </w:r>
      <w:r w:rsidR="00211991">
        <w:t xml:space="preserve">primordial </w:t>
      </w:r>
      <w:r w:rsidR="00907E87">
        <w:t xml:space="preserve">do IBGE na década de 1990 </w:t>
      </w:r>
      <w:r w:rsidR="00211991">
        <w:t>era c</w:t>
      </w:r>
      <w:r w:rsidR="00264276" w:rsidRPr="00D13039">
        <w:t>ontabiliza</w:t>
      </w:r>
      <w:r w:rsidR="00211991">
        <w:t xml:space="preserve">r a </w:t>
      </w:r>
      <w:r w:rsidRPr="00D13039">
        <w:t xml:space="preserve">formação bruta de capital fixo. </w:t>
      </w:r>
    </w:p>
    <w:p w14:paraId="3B7BA2AE" w14:textId="77777777" w:rsidR="00375454" w:rsidRPr="00D13039" w:rsidRDefault="007D4A5F" w:rsidP="00102EE8">
      <w:r w:rsidRPr="00D13039">
        <w:t xml:space="preserve">Sabe-se que o estoque de capital é uma informação crucial </w:t>
      </w:r>
      <w:r w:rsidR="00375454" w:rsidRPr="00D13039">
        <w:t xml:space="preserve">na construção de indicadores econômicos </w:t>
      </w:r>
      <w:r w:rsidRPr="00D13039">
        <w:t xml:space="preserve">em </w:t>
      </w:r>
      <w:r w:rsidR="00907E87">
        <w:t xml:space="preserve">indicadores e </w:t>
      </w:r>
      <w:r w:rsidRPr="00D13039">
        <w:t xml:space="preserve">modelos microeconômicos, tais como na </w:t>
      </w:r>
      <w:r w:rsidR="00907E87">
        <w:t xml:space="preserve">construção da </w:t>
      </w:r>
      <w:r w:rsidR="00375454" w:rsidRPr="00D13039">
        <w:t xml:space="preserve">razão capital-trabalho e na </w:t>
      </w:r>
      <w:r w:rsidRPr="00D13039">
        <w:t xml:space="preserve">estimação da produtividade total dos fatores. Sua ausência </w:t>
      </w:r>
      <w:r w:rsidR="00907E87">
        <w:t xml:space="preserve">dá origem ao </w:t>
      </w:r>
      <w:r w:rsidRPr="00D13039">
        <w:t xml:space="preserve">viés </w:t>
      </w:r>
      <w:r w:rsidR="006A6AA9">
        <w:t xml:space="preserve">por </w:t>
      </w:r>
      <w:r w:rsidRPr="00D13039">
        <w:t>omissão</w:t>
      </w:r>
      <w:r w:rsidR="00264276" w:rsidRPr="00D13039">
        <w:t xml:space="preserve"> </w:t>
      </w:r>
      <w:r w:rsidR="006A6AA9">
        <w:t>de variáveis, afetando os valores esperados dos parâmetros das variáveis explicativas remanescentes (</w:t>
      </w:r>
      <w:proofErr w:type="spellStart"/>
      <w:r w:rsidR="006A6AA9">
        <w:t>Wooldridge</w:t>
      </w:r>
      <w:proofErr w:type="spellEnd"/>
      <w:r w:rsidR="006A6AA9">
        <w:t>, 2009)</w:t>
      </w:r>
      <w:r w:rsidR="00264276" w:rsidRPr="00D13039">
        <w:t>. S</w:t>
      </w:r>
      <w:r w:rsidRPr="00D13039">
        <w:t xml:space="preserve">ua aproximação por meio de </w:t>
      </w:r>
      <w:r w:rsidRPr="00D13039">
        <w:rPr>
          <w:i/>
        </w:rPr>
        <w:t>proxies</w:t>
      </w:r>
      <w:r w:rsidRPr="00D13039">
        <w:t xml:space="preserve"> </w:t>
      </w:r>
      <w:r w:rsidR="00375454" w:rsidRPr="00D13039">
        <w:t xml:space="preserve">anêmicas </w:t>
      </w:r>
      <w:r w:rsidR="00907E87">
        <w:t xml:space="preserve">dá origem ao </w:t>
      </w:r>
      <w:r w:rsidR="00907E87" w:rsidRPr="00D13039">
        <w:t xml:space="preserve">viés de omissão de variáveis apontado por </w:t>
      </w:r>
      <w:proofErr w:type="spellStart"/>
      <w:r w:rsidR="00907E87">
        <w:t>Hyslop</w:t>
      </w:r>
      <w:proofErr w:type="spellEnd"/>
      <w:r w:rsidR="00907E87">
        <w:t xml:space="preserve"> e </w:t>
      </w:r>
      <w:proofErr w:type="spellStart"/>
      <w:r w:rsidR="00907E87">
        <w:t>Imbens</w:t>
      </w:r>
      <w:proofErr w:type="spellEnd"/>
      <w:r w:rsidR="00907E87">
        <w:t xml:space="preserve"> (2001), resultando em endogeneidade das variáveis explicativas contendo o erro de medida</w:t>
      </w:r>
      <w:r w:rsidRPr="00D13039">
        <w:t xml:space="preserve">. </w:t>
      </w:r>
    </w:p>
    <w:p w14:paraId="111CB944" w14:textId="77777777" w:rsidR="007D4A5F" w:rsidRPr="00D13039" w:rsidRDefault="00264276" w:rsidP="00102EE8">
      <w:r w:rsidRPr="00D13039">
        <w:t>Mais r</w:t>
      </w:r>
      <w:r w:rsidR="007D4A5F" w:rsidRPr="00D13039">
        <w:t xml:space="preserve">ecentemente </w:t>
      </w:r>
      <w:r w:rsidR="006A6AA9">
        <w:t xml:space="preserve">os levantamentos da </w:t>
      </w:r>
      <w:r w:rsidR="007D4A5F" w:rsidRPr="00D13039">
        <w:t>PIA</w:t>
      </w:r>
      <w:r w:rsidRPr="00D13039">
        <w:t xml:space="preserve"> e </w:t>
      </w:r>
      <w:r w:rsidR="007D4A5F" w:rsidRPr="00D13039">
        <w:t>PAS</w:t>
      </w:r>
      <w:r w:rsidRPr="00D13039">
        <w:t xml:space="preserve"> </w:t>
      </w:r>
      <w:r w:rsidR="007D4A5F" w:rsidRPr="00D13039">
        <w:t xml:space="preserve">passaram </w:t>
      </w:r>
      <w:r w:rsidR="006A6AA9">
        <w:t xml:space="preserve">incluir uma pergunta </w:t>
      </w:r>
      <w:r w:rsidRPr="00D13039">
        <w:t>sobre o ativo imobilizado em seus respectivos</w:t>
      </w:r>
      <w:r w:rsidR="006A6AA9">
        <w:t xml:space="preserve"> questionários</w:t>
      </w:r>
      <w:r w:rsidR="007D4A5F" w:rsidRPr="00D13039">
        <w:t xml:space="preserve">. </w:t>
      </w:r>
      <w:r w:rsidRPr="00D13039">
        <w:t xml:space="preserve">Entretanto, </w:t>
      </w:r>
      <w:r w:rsidR="007D4A5F" w:rsidRPr="00D13039">
        <w:t xml:space="preserve">tal informação não </w:t>
      </w:r>
      <w:r w:rsidR="006A6AA9">
        <w:t xml:space="preserve">está </w:t>
      </w:r>
      <w:r w:rsidR="007D4A5F" w:rsidRPr="00D13039">
        <w:t xml:space="preserve">disponível para todo o </w:t>
      </w:r>
      <w:r w:rsidR="006A6AA9">
        <w:t xml:space="preserve">período de tempo de </w:t>
      </w:r>
      <w:r w:rsidR="007D4A5F" w:rsidRPr="00D13039">
        <w:t xml:space="preserve">tais pesquisas. </w:t>
      </w:r>
      <w:r w:rsidR="00325C69">
        <w:t xml:space="preserve">Havendo ainda a necessidade </w:t>
      </w:r>
      <w:r w:rsidR="00375454" w:rsidRPr="00D13039">
        <w:t>metodológic</w:t>
      </w:r>
      <w:r w:rsidR="00325C69">
        <w:t xml:space="preserve">a </w:t>
      </w:r>
      <w:r w:rsidR="006A6AA9">
        <w:t xml:space="preserve">em </w:t>
      </w:r>
      <w:r w:rsidR="00375454" w:rsidRPr="00D13039">
        <w:t xml:space="preserve">estimar </w:t>
      </w:r>
      <w:r w:rsidR="00325C69">
        <w:t xml:space="preserve">adequadamente </w:t>
      </w:r>
      <w:r w:rsidR="00375454" w:rsidRPr="00D13039">
        <w:t>o estoque de capital.</w:t>
      </w:r>
    </w:p>
    <w:p w14:paraId="15FC2731" w14:textId="77777777" w:rsidR="00C1196E" w:rsidRPr="00D13039" w:rsidRDefault="00325C69" w:rsidP="00102EE8">
      <w:r>
        <w:t xml:space="preserve">Diante da </w:t>
      </w:r>
      <w:r w:rsidR="00375454" w:rsidRPr="00D13039">
        <w:t xml:space="preserve">inexistência de uma medida de estoque de capital </w:t>
      </w:r>
      <w:r w:rsidR="007D4A5F" w:rsidRPr="00D13039">
        <w:t xml:space="preserve">no nível microeconômico, alguns </w:t>
      </w:r>
      <w:r w:rsidR="00C1196E" w:rsidRPr="00D13039">
        <w:t xml:space="preserve">trabalhos </w:t>
      </w:r>
      <w:r w:rsidR="007D4A5F" w:rsidRPr="00D13039">
        <w:t xml:space="preserve">tentaram </w:t>
      </w:r>
      <w:r w:rsidR="00C1196E" w:rsidRPr="00D13039">
        <w:t>contornar esse problema</w:t>
      </w:r>
      <w:r w:rsidR="007D4A5F" w:rsidRPr="00D13039">
        <w:t xml:space="preserve"> </w:t>
      </w:r>
      <w:r>
        <w:t xml:space="preserve">utilizando </w:t>
      </w:r>
      <w:r w:rsidR="00C1196E" w:rsidRPr="00D13039">
        <w:t xml:space="preserve">variáveis proxies </w:t>
      </w:r>
      <w:r>
        <w:t xml:space="preserve">em suas </w:t>
      </w:r>
      <w:r w:rsidR="00C1196E" w:rsidRPr="00D13039">
        <w:t>estimações</w:t>
      </w:r>
      <w:r w:rsidR="007D4A5F" w:rsidRPr="00D13039">
        <w:t xml:space="preserve"> econométrica. N</w:t>
      </w:r>
      <w:r w:rsidR="00C1196E" w:rsidRPr="00D13039">
        <w:t>otadamente os gastos em energia elétrica ou o próprio fluxo de investimento das firmas</w:t>
      </w:r>
      <w:r w:rsidR="007D4A5F" w:rsidRPr="00D13039">
        <w:t xml:space="preserve"> foram utilizados </w:t>
      </w:r>
      <w:r>
        <w:t xml:space="preserve">anteriormente </w:t>
      </w:r>
      <w:r w:rsidR="007D4A5F" w:rsidRPr="00D13039">
        <w:t>como medidas aproximadas do estoque de capital</w:t>
      </w:r>
      <w:r w:rsidR="00375454" w:rsidRPr="00D13039">
        <w:t xml:space="preserve"> (referencia)</w:t>
      </w:r>
      <w:r w:rsidR="00C1196E" w:rsidRPr="00D13039">
        <w:t xml:space="preserve">. Apesar de ser uma solução </w:t>
      </w:r>
      <w:r w:rsidR="007D4A5F" w:rsidRPr="00D13039">
        <w:t xml:space="preserve">viável </w:t>
      </w:r>
      <w:r w:rsidR="00C1196E" w:rsidRPr="00D13039">
        <w:t xml:space="preserve">para </w:t>
      </w:r>
      <w:r w:rsidR="007D4A5F" w:rsidRPr="00D13039">
        <w:t>a ausência do estoque de capital</w:t>
      </w:r>
      <w:r w:rsidR="00C1196E" w:rsidRPr="00D13039">
        <w:t xml:space="preserve">, </w:t>
      </w:r>
      <w:r w:rsidR="007D4A5F" w:rsidRPr="00D13039">
        <w:t xml:space="preserve">tal </w:t>
      </w:r>
      <w:r w:rsidR="00C1196E" w:rsidRPr="00D13039">
        <w:t xml:space="preserve">recurso pode </w:t>
      </w:r>
      <w:r w:rsidR="00375454" w:rsidRPr="00D13039">
        <w:t xml:space="preserve">resultar no </w:t>
      </w:r>
      <w:r w:rsidR="007D4A5F" w:rsidRPr="00D13039">
        <w:t xml:space="preserve">viés devido ao erro de mensuração </w:t>
      </w:r>
      <w:r w:rsidR="00375454" w:rsidRPr="00D13039">
        <w:t xml:space="preserve">já citado anteriormente </w:t>
      </w:r>
      <w:r w:rsidR="007D4A5F" w:rsidRPr="00D13039">
        <w:t>(Greene, 2007)</w:t>
      </w:r>
      <w:r w:rsidR="00C1196E" w:rsidRPr="00D13039">
        <w:t xml:space="preserve">. </w:t>
      </w:r>
      <w:r w:rsidR="00375454" w:rsidRPr="00D13039">
        <w:t>Consequentemente, s</w:t>
      </w:r>
      <w:r w:rsidR="007D4A5F" w:rsidRPr="00D13039">
        <w:t xml:space="preserve">urge uma correlação entre as variáveis explicativas e o termo de erro, tornando os </w:t>
      </w:r>
      <w:r w:rsidR="00C1196E" w:rsidRPr="00D13039">
        <w:t xml:space="preserve">estimadores </w:t>
      </w:r>
      <w:r w:rsidR="007D4A5F" w:rsidRPr="00D13039">
        <w:t xml:space="preserve">do modelo </w:t>
      </w:r>
      <w:r w:rsidR="00C1196E" w:rsidRPr="00D13039">
        <w:t>enviesados, a própria direç</w:t>
      </w:r>
      <w:r w:rsidR="007D4A5F" w:rsidRPr="00D13039">
        <w:t xml:space="preserve">ão deste viés seja imprevisível. </w:t>
      </w:r>
    </w:p>
    <w:p w14:paraId="05785334" w14:textId="77777777" w:rsidR="00C1196E" w:rsidRDefault="00C1196E" w:rsidP="00102EE8">
      <w:r w:rsidRPr="00D13039">
        <w:t xml:space="preserve">Outro recurso tem sido a recorrência a determinadas hipóteses que possibilitem a estimação do inventário perpétuo, tais como a suposição de que o fluxo de investimentos anteriores a 1996 apresentem o mesmo comportamento observado a </w:t>
      </w:r>
      <w:r w:rsidRPr="00D13039">
        <w:lastRenderedPageBreak/>
        <w:t xml:space="preserve">partir desta data – para um exemplo, vide </w:t>
      </w:r>
      <w:proofErr w:type="spellStart"/>
      <w:r w:rsidRPr="00D13039">
        <w:t>Giovanetti</w:t>
      </w:r>
      <w:proofErr w:type="spellEnd"/>
      <w:r w:rsidRPr="00D13039">
        <w:t xml:space="preserve"> e Menezes-Filho (2006). Porém, algumas considerações podem ser levantadas no que se refere a este procedimento: diferenças entre as idades das firmas, contextos macroeconômicos díspares, ciclos de vida dos produtos etc. </w:t>
      </w:r>
    </w:p>
    <w:p w14:paraId="741CA18B" w14:textId="77777777" w:rsidR="00896CC2" w:rsidRPr="00D13039" w:rsidRDefault="00896CC2" w:rsidP="00102EE8"/>
    <w:p w14:paraId="096E3F6B" w14:textId="77777777" w:rsidR="00375454" w:rsidRPr="00896CC2" w:rsidRDefault="00375454" w:rsidP="00896CC2">
      <w:pPr>
        <w:pStyle w:val="PargrafodaLista"/>
        <w:numPr>
          <w:ilvl w:val="0"/>
          <w:numId w:val="19"/>
        </w:numPr>
        <w:ind w:left="0" w:firstLine="0"/>
        <w:outlineLvl w:val="0"/>
        <w:rPr>
          <w:b/>
        </w:rPr>
      </w:pPr>
      <w:r w:rsidRPr="00896CC2">
        <w:rPr>
          <w:b/>
        </w:rPr>
        <w:t>Método do Inventario Perpétuo na PIA</w:t>
      </w:r>
    </w:p>
    <w:p w14:paraId="6583B154" w14:textId="77777777" w:rsidR="00375454" w:rsidRPr="00D13039" w:rsidRDefault="00375454" w:rsidP="00102EE8">
      <w:r w:rsidRPr="00D13039">
        <w:t>O método do chamado inventário perpétuo é o método usualmente utilizado para estimativa do estoque de capital</w:t>
      </w:r>
      <w:r w:rsidRPr="00D13039">
        <w:rPr>
          <w:rStyle w:val="Refdenotaderodap"/>
        </w:rPr>
        <w:footnoteReference w:id="1"/>
      </w:r>
      <w:r w:rsidRPr="00D13039">
        <w:t>. Trata-se de uma forma indireta de cálculo por meio da soma dos investimentos acumulados que, devidamente depreciada, converge ao longo do tempo para o estoque de capital fixo das empresas, conforme o sistema de equações abaixo:</w:t>
      </w:r>
    </w:p>
    <w:p w14:paraId="0836CBF8" w14:textId="77777777" w:rsidR="00B840EC" w:rsidRDefault="00C164E5" w:rsidP="00102EE8">
      <w:pPr>
        <w:pStyle w:val="Legenda"/>
      </w:pPr>
      <w:r>
        <w:rPr>
          <w:rFonts w:asciiTheme="minorHAnsi" w:eastAsiaTheme="minorEastAsia" w:hAnsiTheme="minorHAnsi" w:cstheme="minorBidi"/>
        </w:rPr>
        <w:tab/>
      </w:r>
      <w:r>
        <w:rPr>
          <w:rFonts w:asciiTheme="minorHAnsi" w:eastAsiaTheme="minorEastAsia" w:hAnsiTheme="minorHAnsi" w:cstheme="minorBidi"/>
        </w:rPr>
        <w:tab/>
      </w:r>
      <w:r>
        <w:rPr>
          <w:rFonts w:asciiTheme="minorHAnsi" w:eastAsiaTheme="minorEastAsia" w:hAnsiTheme="minorHAnsi" w:cstheme="minorBidi"/>
        </w:rPr>
        <w:tab/>
      </w:r>
      <w:r>
        <w:rPr>
          <w:rFonts w:asciiTheme="minorHAnsi" w:eastAsiaTheme="minorEastAsia" w:hAnsiTheme="minorHAnsi" w:cstheme="minorBidi"/>
        </w:rPr>
        <w:tab/>
      </w:r>
      <m:oMath>
        <m:sSub>
          <m:sSubPr>
            <m:ctrlPr>
              <w:rPr>
                <w:rFonts w:ascii="Cambria Math" w:hAnsi="Cambria Math"/>
                <w:b w:val="0"/>
              </w:rPr>
            </m:ctrlPr>
          </m:sSubPr>
          <m:e>
            <m:r>
              <m:rPr>
                <m:sty m:val="bi"/>
              </m:rPr>
              <w:rPr>
                <w:rFonts w:ascii="Cambria Math" w:hAnsi="Cambria Math"/>
              </w:rPr>
              <m:t>K</m:t>
            </m:r>
          </m:e>
          <m:sub>
            <m:r>
              <m:rPr>
                <m:sty m:val="bi"/>
              </m:rPr>
              <w:rPr>
                <w:rFonts w:ascii="Cambria Math" w:hAnsi="Cambria Math"/>
              </w:rPr>
              <m:t>ijt</m:t>
            </m:r>
          </m:sub>
        </m:sSub>
        <m:r>
          <m:rPr>
            <m:sty m:val="b"/>
          </m:rPr>
          <w:rPr>
            <w:rFonts w:ascii="Cambria Math" w:hAnsi="Cambria Math"/>
          </w:rPr>
          <m:t>=</m:t>
        </m:r>
        <m:d>
          <m:dPr>
            <m:ctrlPr>
              <w:rPr>
                <w:rFonts w:ascii="Cambria Math" w:hAnsi="Cambria Math"/>
                <w:b w:val="0"/>
              </w:rPr>
            </m:ctrlPr>
          </m:dPr>
          <m:e>
            <m:r>
              <m:rPr>
                <m:sty m:val="b"/>
              </m:rPr>
              <w:rPr>
                <w:rFonts w:ascii="Cambria Math" w:hAnsi="Cambria Math"/>
              </w:rPr>
              <m:t>1-</m:t>
            </m:r>
            <m:r>
              <m:rPr>
                <m:sty m:val="bi"/>
              </m:rPr>
              <w:rPr>
                <w:rFonts w:ascii="Cambria Math" w:hAnsi="Cambria Math" w:cstheme="minorHAnsi"/>
                <w:sz w:val="24"/>
                <w:szCs w:val="24"/>
              </w:rPr>
              <m:t>δ</m:t>
            </m:r>
          </m:e>
        </m:d>
        <m:sSub>
          <m:sSubPr>
            <m:ctrlPr>
              <w:rPr>
                <w:rFonts w:ascii="Cambria Math" w:hAnsi="Cambria Math"/>
                <w:b w:val="0"/>
              </w:rPr>
            </m:ctrlPr>
          </m:sSubPr>
          <m:e>
            <m:r>
              <m:rPr>
                <m:sty m:val="bi"/>
              </m:rPr>
              <w:rPr>
                <w:rFonts w:ascii="Cambria Math" w:hAnsi="Cambria Math"/>
              </w:rPr>
              <m:t>K</m:t>
            </m:r>
          </m:e>
          <m:sub>
            <m:r>
              <m:rPr>
                <m:sty m:val="bi"/>
              </m:rPr>
              <w:rPr>
                <w:rFonts w:ascii="Cambria Math" w:hAnsi="Cambria Math"/>
              </w:rPr>
              <m:t>ijt</m:t>
            </m:r>
            <m:r>
              <m:rPr>
                <m:sty m:val="b"/>
              </m:rPr>
              <w:rPr>
                <w:rFonts w:ascii="Cambria Math" w:hAnsi="Cambria Math"/>
              </w:rPr>
              <m:t>-1</m:t>
            </m:r>
          </m:sub>
        </m:sSub>
        <m:r>
          <m:rPr>
            <m:sty m:val="b"/>
          </m:rPr>
          <w:rPr>
            <w:rFonts w:ascii="Cambria Math" w:hAnsi="Cambria Math"/>
          </w:rPr>
          <m:t>+</m:t>
        </m:r>
        <m:sSub>
          <m:sSubPr>
            <m:ctrlPr>
              <w:rPr>
                <w:rFonts w:ascii="Cambria Math" w:hAnsi="Cambria Math"/>
                <w:b w:val="0"/>
              </w:rPr>
            </m:ctrlPr>
          </m:sSubPr>
          <m:e>
            <m:r>
              <m:rPr>
                <m:sty m:val="bi"/>
              </m:rPr>
              <w:rPr>
                <w:rFonts w:ascii="Cambria Math" w:hAnsi="Cambria Math"/>
              </w:rPr>
              <m:t>I</m:t>
            </m:r>
          </m:e>
          <m:sub>
            <m:r>
              <m:rPr>
                <m:sty m:val="bi"/>
              </m:rPr>
              <w:rPr>
                <w:rFonts w:ascii="Cambria Math" w:hAnsi="Cambria Math"/>
              </w:rPr>
              <m:t>ijt</m:t>
            </m:r>
          </m:sub>
        </m:sSub>
      </m:oMath>
      <w:r>
        <w:rPr>
          <w:rFonts w:asciiTheme="minorHAnsi" w:eastAsiaTheme="minorEastAsia" w:hAnsiTheme="minorHAnsi" w:cstheme="minorBidi"/>
        </w:rPr>
        <w:tab/>
      </w:r>
      <w:r>
        <w:rPr>
          <w:rFonts w:asciiTheme="minorHAnsi" w:eastAsiaTheme="minorEastAsia" w:hAnsiTheme="minorHAnsi" w:cstheme="minorBidi"/>
        </w:rPr>
        <w:tab/>
      </w:r>
      <w:r>
        <w:rPr>
          <w:rFonts w:asciiTheme="minorHAnsi" w:eastAsiaTheme="minorEastAsia" w:hAnsiTheme="minorHAnsi" w:cstheme="minorBidi"/>
        </w:rPr>
        <w:tab/>
      </w:r>
      <w:r>
        <w:rPr>
          <w:rFonts w:asciiTheme="minorHAnsi" w:eastAsiaTheme="minorEastAsia" w:hAnsiTheme="minorHAnsi" w:cstheme="minorBidi"/>
        </w:rPr>
        <w:tab/>
      </w:r>
      <w:r>
        <w:t xml:space="preserve"> </w:t>
      </w:r>
      <w:r w:rsidRPr="00C164E5">
        <w:rPr>
          <w:rFonts w:asciiTheme="minorHAnsi" w:hAnsiTheme="minorHAnsi" w:cstheme="minorHAnsi"/>
          <w:sz w:val="22"/>
          <w:szCs w:val="22"/>
        </w:rPr>
        <w:t>(</w:t>
      </w:r>
      <w:r w:rsidR="000C3D81" w:rsidRPr="00C164E5">
        <w:rPr>
          <w:rFonts w:asciiTheme="minorHAnsi" w:hAnsiTheme="minorHAnsi" w:cstheme="minorHAnsi"/>
          <w:sz w:val="22"/>
          <w:szCs w:val="22"/>
        </w:rPr>
        <w:fldChar w:fldCharType="begin"/>
      </w:r>
      <w:r w:rsidRPr="00C164E5">
        <w:rPr>
          <w:rFonts w:asciiTheme="minorHAnsi" w:hAnsiTheme="minorHAnsi" w:cstheme="minorHAnsi"/>
          <w:sz w:val="22"/>
          <w:szCs w:val="22"/>
        </w:rPr>
        <w:instrText xml:space="preserve"> SEQ Equação \* ARABIC </w:instrText>
      </w:r>
      <w:r w:rsidR="000C3D81" w:rsidRPr="00C164E5">
        <w:rPr>
          <w:rFonts w:asciiTheme="minorHAnsi" w:hAnsiTheme="minorHAnsi" w:cstheme="minorHAnsi"/>
          <w:sz w:val="22"/>
          <w:szCs w:val="22"/>
        </w:rPr>
        <w:fldChar w:fldCharType="separate"/>
      </w:r>
      <w:r w:rsidRPr="00C164E5">
        <w:rPr>
          <w:rFonts w:asciiTheme="minorHAnsi" w:hAnsiTheme="minorHAnsi" w:cstheme="minorHAnsi"/>
          <w:noProof/>
          <w:sz w:val="22"/>
          <w:szCs w:val="22"/>
        </w:rPr>
        <w:t>1</w:t>
      </w:r>
      <w:r w:rsidR="000C3D81" w:rsidRPr="00C164E5">
        <w:rPr>
          <w:rFonts w:asciiTheme="minorHAnsi" w:hAnsiTheme="minorHAnsi" w:cstheme="minorHAnsi"/>
          <w:sz w:val="22"/>
          <w:szCs w:val="22"/>
        </w:rPr>
        <w:fldChar w:fldCharType="end"/>
      </w:r>
      <w:r w:rsidRPr="00C164E5">
        <w:rPr>
          <w:rFonts w:asciiTheme="minorHAnsi" w:hAnsiTheme="minorHAnsi" w:cstheme="minorHAnsi"/>
          <w:sz w:val="22"/>
          <w:szCs w:val="22"/>
        </w:rPr>
        <w:t>)</w:t>
      </w:r>
    </w:p>
    <w:p w14:paraId="393BA483" w14:textId="77777777" w:rsidR="005136B3" w:rsidRDefault="00B840EC" w:rsidP="00102EE8">
      <w:r w:rsidRPr="00D13039">
        <w:t>onde</w:t>
      </w:r>
      <w:r w:rsidR="005136B3">
        <w:t>,</w:t>
      </w:r>
      <w:r w:rsidRPr="00D13039">
        <w:t xml:space="preserve"> </w:t>
      </w:r>
      <m:oMath>
        <m:sSub>
          <m:sSubPr>
            <m:ctrlPr>
              <w:rPr>
                <w:rFonts w:ascii="Cambria Math" w:hAnsi="Cambria Math"/>
                <w:i/>
              </w:rPr>
            </m:ctrlPr>
          </m:sSubPr>
          <m:e>
            <m:r>
              <w:rPr>
                <w:rFonts w:ascii="Cambria Math" w:hAnsi="Cambria Math"/>
              </w:rPr>
              <m:t>K</m:t>
            </m:r>
          </m:e>
          <m:sub>
            <m:r>
              <w:rPr>
                <w:rFonts w:ascii="Cambria Math" w:hAnsi="Cambria Math"/>
              </w:rPr>
              <m:t>it</m:t>
            </m:r>
          </m:sub>
        </m:sSub>
      </m:oMath>
      <w:r w:rsidR="00375454" w:rsidRPr="00D13039">
        <w:t xml:space="preserve"> e </w:t>
      </w:r>
      <m:oMath>
        <m:sSub>
          <m:sSubPr>
            <m:ctrlPr>
              <w:rPr>
                <w:rFonts w:ascii="Cambria Math" w:hAnsi="Cambria Math"/>
                <w:i/>
              </w:rPr>
            </m:ctrlPr>
          </m:sSubPr>
          <m:e>
            <m:r>
              <w:rPr>
                <w:rFonts w:ascii="Cambria Math" w:hAnsi="Cambria Math"/>
              </w:rPr>
              <m:t>I</m:t>
            </m:r>
          </m:e>
          <m:sub>
            <m:r>
              <w:rPr>
                <w:rFonts w:ascii="Cambria Math" w:hAnsi="Cambria Math"/>
              </w:rPr>
              <m:t>it</m:t>
            </m:r>
          </m:sub>
        </m:sSub>
      </m:oMath>
      <w:r w:rsidR="00375454" w:rsidRPr="00D13039">
        <w:t xml:space="preserve"> representam</w:t>
      </w:r>
      <w:r w:rsidR="005136B3">
        <w:t xml:space="preserve"> </w:t>
      </w:r>
      <w:r w:rsidR="00375454" w:rsidRPr="00D13039">
        <w:t xml:space="preserve">o estoque de capital e o investimento </w:t>
      </w:r>
      <w:r w:rsidRPr="00D13039">
        <w:t xml:space="preserve">da firma </w:t>
      </w:r>
      <w:r w:rsidRPr="00D13039">
        <w:rPr>
          <w:i/>
        </w:rPr>
        <w:t>i</w:t>
      </w:r>
      <w:r w:rsidR="00682167">
        <w:rPr>
          <w:i/>
        </w:rPr>
        <w:t>,</w:t>
      </w:r>
      <w:r w:rsidRPr="00D13039">
        <w:rPr>
          <w:i/>
        </w:rPr>
        <w:t xml:space="preserve"> </w:t>
      </w:r>
      <w:r w:rsidR="00682167">
        <w:t xml:space="preserve">no setor </w:t>
      </w:r>
      <w:r w:rsidR="00682167" w:rsidRPr="00682167">
        <w:rPr>
          <w:i/>
        </w:rPr>
        <w:t>j</w:t>
      </w:r>
      <w:r w:rsidR="00682167">
        <w:t xml:space="preserve">, </w:t>
      </w:r>
      <w:r w:rsidR="00375454" w:rsidRPr="00D13039">
        <w:t>no ano</w:t>
      </w:r>
      <w:r w:rsidRPr="00D13039">
        <w:t xml:space="preserve"> </w:t>
      </w:r>
      <w:r w:rsidRPr="00D13039">
        <w:rPr>
          <w:i/>
        </w:rPr>
        <w:t>t</w:t>
      </w:r>
      <w:r w:rsidRPr="00D13039">
        <w:t xml:space="preserve">. O parâmetro </w:t>
      </w:r>
      <m:oMath>
        <m:r>
          <w:rPr>
            <w:rFonts w:ascii="Cambria Math" w:hAnsi="Cambria Math"/>
          </w:rPr>
          <m:t>δ</m:t>
        </m:r>
      </m:oMath>
      <w:r w:rsidR="00375454" w:rsidRPr="00D13039">
        <w:t xml:space="preserve"> </w:t>
      </w:r>
      <w:r w:rsidR="005136B3">
        <w:t xml:space="preserve">é </w:t>
      </w:r>
      <w:r w:rsidRPr="00D13039">
        <w:t xml:space="preserve">a taxa </w:t>
      </w:r>
      <w:r w:rsidR="00375454" w:rsidRPr="00D13039">
        <w:t>de depreciação</w:t>
      </w:r>
      <w:r w:rsidR="005136B3">
        <w:t xml:space="preserve"> do estoque de capital, assumida </w:t>
      </w:r>
      <w:r w:rsidRPr="00D13039">
        <w:t>constante ao longo das firmas e ao longo do tempo</w:t>
      </w:r>
      <w:r w:rsidR="00375454" w:rsidRPr="00D13039">
        <w:t xml:space="preserve">. </w:t>
      </w:r>
    </w:p>
    <w:p w14:paraId="40231101" w14:textId="77777777" w:rsidR="00375454" w:rsidRDefault="00C86323" w:rsidP="00102EE8">
      <w:r w:rsidRPr="00D13039">
        <w:t>Na ausência de um valor</w:t>
      </w:r>
      <w:r w:rsidR="00446086" w:rsidRPr="00D13039">
        <w:t xml:space="preserve"> para o estoque de capital</w:t>
      </w:r>
      <w:r w:rsidRPr="00D13039">
        <w:t xml:space="preserve"> no período inicial</w:t>
      </w:r>
      <w:r w:rsidR="005136B3">
        <w:t>, utiliza-se</w:t>
      </w:r>
      <w:r w:rsidRPr="00D13039">
        <w:t xml:space="preserve"> </w:t>
      </w:r>
      <m:oMath>
        <m:sSub>
          <m:sSubPr>
            <m:ctrlPr>
              <w:rPr>
                <w:rFonts w:ascii="Cambria Math" w:hAnsi="Cambria Math"/>
                <w:i/>
              </w:rPr>
            </m:ctrlPr>
          </m:sSubPr>
          <m:e>
            <m:r>
              <w:rPr>
                <w:rFonts w:ascii="Cambria Math" w:hAnsi="Cambria Math"/>
              </w:rPr>
              <m:t>K</m:t>
            </m:r>
          </m:e>
          <m:sub>
            <m:r>
              <w:rPr>
                <w:rFonts w:ascii="Cambria Math" w:hAnsi="Cambria Math"/>
              </w:rPr>
              <m:t>ij</m:t>
            </m:r>
            <m:r>
              <w:rPr>
                <w:rFonts w:ascii="Cambria Math"/>
              </w:rPr>
              <m:t>0</m:t>
            </m:r>
          </m:sub>
        </m:sSub>
        <m:r>
          <w:rPr>
            <w:rFonts w:ascii="Cambria Math"/>
          </w:rPr>
          <m:t>=0</m:t>
        </m:r>
      </m:oMath>
      <w:r w:rsidR="005136B3">
        <w:t xml:space="preserve">, resultando em um erro de medida do estoque de capital, especialmente no </w:t>
      </w:r>
      <w:proofErr w:type="gramStart"/>
      <w:r w:rsidR="005136B3">
        <w:t>período de tempo</w:t>
      </w:r>
      <w:proofErr w:type="gramEnd"/>
      <w:r w:rsidR="005136B3">
        <w:t xml:space="preserve"> </w:t>
      </w:r>
      <m:oMath>
        <m:r>
          <w:rPr>
            <w:rFonts w:ascii="Cambria Math"/>
          </w:rPr>
          <m:t>=1</m:t>
        </m:r>
      </m:oMath>
      <w:r w:rsidRPr="00D13039">
        <w:t xml:space="preserve">, </w:t>
      </w:r>
      <w:r w:rsidR="005136B3">
        <w:t xml:space="preserve">onde </w:t>
      </w:r>
      <m:oMath>
        <m:sSub>
          <m:sSubPr>
            <m:ctrlPr>
              <w:rPr>
                <w:rFonts w:ascii="Cambria Math" w:hAnsi="Cambria Math"/>
                <w:i/>
              </w:rPr>
            </m:ctrlPr>
          </m:sSubPr>
          <m:e>
            <m:r>
              <w:rPr>
                <w:rFonts w:ascii="Cambria Math" w:hAnsi="Cambria Math"/>
              </w:rPr>
              <m:t>K</m:t>
            </m:r>
          </m:e>
          <m:sub>
            <m:r>
              <w:rPr>
                <w:rFonts w:ascii="Cambria Math" w:hAnsi="Cambria Math"/>
              </w:rPr>
              <m:t>i</m:t>
            </m:r>
            <m:r>
              <w:rPr>
                <w:rFonts w:ascii="Cambria Math"/>
              </w:rPr>
              <m:t>1</m:t>
            </m:r>
          </m:sub>
        </m:sSub>
        <m:r>
          <w:rPr>
            <w:rFonts w:ascii="Cambria Math"/>
          </w:rPr>
          <m:t>=</m:t>
        </m:r>
        <m:sSub>
          <m:sSubPr>
            <m:ctrlPr>
              <w:rPr>
                <w:rFonts w:ascii="Cambria Math" w:hAnsi="Cambria Math"/>
                <w:i/>
              </w:rPr>
            </m:ctrlPr>
          </m:sSubPr>
          <m:e>
            <m:r>
              <w:rPr>
                <w:rFonts w:ascii="Cambria Math" w:hAnsi="Cambria Math"/>
              </w:rPr>
              <m:t>I</m:t>
            </m:r>
          </m:e>
          <m:sub>
            <m:r>
              <w:rPr>
                <w:rFonts w:ascii="Cambria Math" w:hAnsi="Cambria Math"/>
              </w:rPr>
              <m:t>ij1</m:t>
            </m:r>
          </m:sub>
        </m:sSub>
        <m:r>
          <w:rPr>
            <w:rFonts w:ascii="Cambria Math" w:hAnsi="Cambria Math"/>
          </w:rPr>
          <m:t>, ∀i,j</m:t>
        </m:r>
      </m:oMath>
      <w:r w:rsidR="00446086" w:rsidRPr="00D13039">
        <w:t xml:space="preserve">. No método do inventário perpetuo a </w:t>
      </w:r>
      <w:r w:rsidR="00375454" w:rsidRPr="00D13039">
        <w:t xml:space="preserve">convergência </w:t>
      </w:r>
      <w:r w:rsidR="00B840EC" w:rsidRPr="00D13039">
        <w:t xml:space="preserve">do estoque de capital calculado </w:t>
      </w:r>
      <m:oMath>
        <m:sSub>
          <m:sSubPr>
            <m:ctrlPr>
              <w:rPr>
                <w:rFonts w:ascii="Cambria Math" w:hAnsi="Cambria Math"/>
                <w:i/>
              </w:rPr>
            </m:ctrlPr>
          </m:sSubPr>
          <m:e>
            <m:r>
              <w:rPr>
                <w:rFonts w:ascii="Cambria Math" w:hAnsi="Cambria Math"/>
              </w:rPr>
              <m:t>K</m:t>
            </m:r>
          </m:e>
          <m:sub>
            <m:r>
              <w:rPr>
                <w:rFonts w:ascii="Cambria Math" w:hAnsi="Cambria Math"/>
              </w:rPr>
              <m:t>ijt</m:t>
            </m:r>
          </m:sub>
        </m:sSub>
      </m:oMath>
      <w:r w:rsidR="00446086" w:rsidRPr="00D13039">
        <w:t xml:space="preserve"> </w:t>
      </w:r>
      <w:r w:rsidR="00375454" w:rsidRPr="00D13039">
        <w:t xml:space="preserve">para o estoque de capital real </w:t>
      </w:r>
      <m:oMath>
        <m:sSubSup>
          <m:sSubSupPr>
            <m:ctrlPr>
              <w:rPr>
                <w:rFonts w:ascii="Cambria Math" w:hAnsi="Cambria Math"/>
                <w:i/>
              </w:rPr>
            </m:ctrlPr>
          </m:sSubSupPr>
          <m:e>
            <m:r>
              <w:rPr>
                <w:rFonts w:ascii="Cambria Math" w:hAnsi="Cambria Math"/>
              </w:rPr>
              <m:t>K</m:t>
            </m:r>
          </m:e>
          <m:sub>
            <m:r>
              <w:rPr>
                <w:rFonts w:ascii="Cambria Math" w:hAnsi="Cambria Math"/>
              </w:rPr>
              <m:t>ij</m:t>
            </m:r>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m:t>
            </m:r>
          </m:sup>
        </m:sSubSup>
      </m:oMath>
      <w:r w:rsidR="00446086" w:rsidRPr="00D13039">
        <w:t xml:space="preserve"> </w:t>
      </w:r>
      <w:r w:rsidR="00B840EC" w:rsidRPr="00D13039">
        <w:t xml:space="preserve">só ocorre </w:t>
      </w:r>
      <w:r w:rsidR="00446086" w:rsidRPr="00D13039">
        <w:t xml:space="preserve">acumulando-se conforme a formula (1) </w:t>
      </w:r>
      <w:r w:rsidR="00B840EC" w:rsidRPr="00D13039">
        <w:t>após vários períodos de tempo</w:t>
      </w:r>
      <w:r w:rsidR="00375454" w:rsidRPr="00D13039">
        <w:t xml:space="preserve">, </w:t>
      </w:r>
      <w:r w:rsidR="00B840EC" w:rsidRPr="00D13039">
        <w:t>conforme</w:t>
      </w:r>
      <w:r w:rsidR="00375454" w:rsidRPr="00D13039">
        <w:t>:</w:t>
      </w:r>
    </w:p>
    <w:p w14:paraId="1C501DEB" w14:textId="77777777" w:rsidR="00B840EC" w:rsidRDefault="00C164E5" w:rsidP="00102EE8">
      <w:r>
        <w:rPr>
          <w:rFonts w:cstheme="minorHAnsi"/>
        </w:rPr>
        <w:tab/>
      </w:r>
      <w:r>
        <w:rPr>
          <w:rFonts w:cstheme="minorHAnsi"/>
        </w:rPr>
        <w:tab/>
      </w:r>
      <w:r>
        <w:rPr>
          <w:rFonts w:cstheme="minorHAnsi"/>
        </w:rPr>
        <w:tab/>
      </w:r>
      <w:r>
        <w:rPr>
          <w:rFonts w:cstheme="minorHAnsi"/>
        </w:rPr>
        <w:tab/>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lim>
            </m:limLow>
          </m:fName>
          <m:e>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m:t>
                </m:r>
              </m:sub>
              <m:sup>
                <m:sSub>
                  <m:sSubPr>
                    <m:ctrlPr>
                      <w:rPr>
                        <w:rFonts w:ascii="Cambria Math" w:hAnsi="Cambria Math"/>
                      </w:rPr>
                    </m:ctrlPr>
                  </m:sSubPr>
                  <m:e>
                    <m:r>
                      <w:rPr>
                        <w:rFonts w:ascii="Cambria Math" w:hAnsi="Cambria Math"/>
                      </w:rPr>
                      <m:t>T</m:t>
                    </m:r>
                  </m:e>
                  <m:sub>
                    <m:r>
                      <m:rPr>
                        <m:sty m:val="p"/>
                      </m:rPr>
                      <w:rPr>
                        <w:rFonts w:ascii="Cambria Math" w:hAnsi="Cambria Math"/>
                      </w:rPr>
                      <m:t>0</m:t>
                    </m:r>
                  </m:sub>
                </m:sSub>
              </m:sup>
              <m:e>
                <m:d>
                  <m:dPr>
                    <m:ctrlPr>
                      <w:rPr>
                        <w:rFonts w:ascii="Cambria Math" w:hAnsi="Cambria Math"/>
                      </w:rPr>
                    </m:ctrlPr>
                  </m:dPr>
                  <m:e>
                    <m:r>
                      <m:rPr>
                        <m:sty m:val="p"/>
                      </m:rPr>
                      <w:rPr>
                        <w:rFonts w:ascii="Cambria Math" w:hAnsi="Cambria Math"/>
                      </w:rPr>
                      <m:t>1-</m:t>
                    </m:r>
                    <m:r>
                      <w:rPr>
                        <w:rFonts w:ascii="Cambria Math" w:hAnsi="Cambria Math" w:cstheme="minorHAnsi"/>
                      </w:rPr>
                      <m:t>δ</m:t>
                    </m:r>
                  </m:e>
                </m:d>
                <m:r>
                  <m:rPr>
                    <m:sty m:val="p"/>
                  </m:rPr>
                  <w:rPr>
                    <w:rFonts w:ascii="Cambria Math" w:hAnsi="Cambria Math"/>
                  </w:rPr>
                  <m:t xml:space="preserve"> </m:t>
                </m:r>
                <m:sSub>
                  <m:sSubPr>
                    <m:ctrlPr>
                      <w:rPr>
                        <w:rFonts w:ascii="Cambria Math" w:hAnsi="Cambria Math"/>
                      </w:rPr>
                    </m:ctrlPr>
                  </m:sSubPr>
                  <m:e>
                    <m:r>
                      <w:rPr>
                        <w:rFonts w:ascii="Cambria Math" w:hAnsi="Cambria Math"/>
                      </w:rPr>
                      <m:t>I</m:t>
                    </m:r>
                  </m:e>
                  <m:sub>
                    <m:r>
                      <w:rPr>
                        <w:rFonts w:ascii="Cambria Math" w:hAnsi="Cambria Math"/>
                      </w:rPr>
                      <m:t>ijt</m:t>
                    </m:r>
                    <m:r>
                      <m:rPr>
                        <m:sty m:val="p"/>
                      </m:rPr>
                      <w:rPr>
                        <w:rFonts w:ascii="Cambria Math" w:hAnsi="Cambria Math"/>
                      </w:rPr>
                      <m:t>-1</m:t>
                    </m:r>
                  </m:sub>
                </m:sSub>
              </m:e>
            </m:nary>
          </m:e>
        </m:func>
        <m:r>
          <m:rPr>
            <m:sty m:val="p"/>
          </m:rPr>
          <w:rPr>
            <w:rFonts w:ascii="Cambria Math" w:hAnsi="Cambria Math"/>
          </w:rPr>
          <m:t>=</m:t>
        </m:r>
        <m:sSubSup>
          <m:sSubSupPr>
            <m:ctrlPr>
              <w:rPr>
                <w:rFonts w:ascii="Cambria Math" w:hAnsi="Cambria Math"/>
              </w:rPr>
            </m:ctrlPr>
          </m:sSubSupPr>
          <m:e>
            <m:r>
              <w:rPr>
                <w:rFonts w:ascii="Cambria Math" w:hAnsi="Cambria Math"/>
              </w:rPr>
              <m:t>K</m:t>
            </m:r>
          </m:e>
          <m:sub>
            <m:r>
              <w:rPr>
                <w:rFonts w:ascii="Cambria Math" w:hAnsi="Cambria Math"/>
              </w:rPr>
              <m:t>ij</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sub>
          <m:sup>
            <m:r>
              <m:rPr>
                <m:sty m:val="p"/>
              </m:rPr>
              <w:rPr>
                <w:rFonts w:ascii="Cambria Math" w:hAnsi="Cambria Math"/>
              </w:rPr>
              <m:t>*</m:t>
            </m:r>
          </m:sup>
        </m:sSubSup>
      </m:oMath>
      <w:r>
        <w:rPr>
          <w:rFonts w:eastAsiaTheme="minorEastAsia"/>
        </w:rPr>
        <w:tab/>
      </w:r>
      <w:r>
        <w:rPr>
          <w:rFonts w:eastAsiaTheme="minorEastAsia"/>
        </w:rPr>
        <w:tab/>
      </w:r>
      <w:r>
        <w:rPr>
          <w:rFonts w:eastAsiaTheme="minorEastAsia"/>
        </w:rPr>
        <w:tab/>
      </w:r>
      <w:r>
        <w:t>(</w:t>
      </w:r>
      <w:r w:rsidR="005B7DA8">
        <w:fldChar w:fldCharType="begin"/>
      </w:r>
      <w:r w:rsidR="005B7DA8">
        <w:instrText xml:space="preserve"> SEQ Equação \* ARABIC </w:instrText>
      </w:r>
      <w:r w:rsidR="005B7DA8">
        <w:fldChar w:fldCharType="separate"/>
      </w:r>
      <w:r>
        <w:rPr>
          <w:noProof/>
        </w:rPr>
        <w:t>2</w:t>
      </w:r>
      <w:r w:rsidR="005B7DA8">
        <w:rPr>
          <w:noProof/>
        </w:rPr>
        <w:fldChar w:fldCharType="end"/>
      </w:r>
      <w:r>
        <w:t>)</w:t>
      </w:r>
    </w:p>
    <w:p w14:paraId="48988FF2" w14:textId="77777777" w:rsidR="005136B3" w:rsidRDefault="005136B3" w:rsidP="00102EE8">
      <w:r>
        <w:t>Na PIA e na PAS não possuímos um horizonte de tempo longo</w:t>
      </w:r>
      <w:r w:rsidR="00682167">
        <w:t xml:space="preserve"> onde podemos garantir a conferência (2)</w:t>
      </w:r>
      <w:r>
        <w:t xml:space="preserve">. </w:t>
      </w:r>
      <w:r w:rsidR="00791E38">
        <w:t xml:space="preserve">Esta </w:t>
      </w:r>
      <w:r>
        <w:t xml:space="preserve">dificuldade </w:t>
      </w:r>
      <w:r w:rsidR="00791E38">
        <w:t xml:space="preserve">pode ser contornada </w:t>
      </w:r>
      <w:r>
        <w:t>utilizando uma medida do estoque de capital inicial</w:t>
      </w:r>
      <w:r w:rsidR="00791E38">
        <w:t xml:space="preserve"> tal como </w:t>
      </w:r>
      <w:r>
        <w:t xml:space="preserve">realizado originalmente em </w:t>
      </w:r>
      <w:r w:rsidR="00D13039" w:rsidRPr="00EF2DDF">
        <w:t>Alves e Messa (2007)</w:t>
      </w:r>
      <w:r w:rsidR="00791E38">
        <w:t xml:space="preserve">. Os autores </w:t>
      </w:r>
      <w:r>
        <w:t xml:space="preserve">utilizaram dados setoriais da formação bruta de capital fixo desde a década de </w:t>
      </w:r>
      <w:r w:rsidR="00791E38">
        <w:t>1980</w:t>
      </w:r>
      <w:r>
        <w:t xml:space="preserve">, acumulando tais valores </w:t>
      </w:r>
      <w:r w:rsidR="00791E38">
        <w:t xml:space="preserve">pelo </w:t>
      </w:r>
      <w:r>
        <w:t xml:space="preserve">inventário perpetuo </w:t>
      </w:r>
      <w:r w:rsidR="00791E38">
        <w:t xml:space="preserve">para obter um estoque de capital setorial no </w:t>
      </w:r>
      <w:r>
        <w:t xml:space="preserve">ano de 1995.  Posteriormente este estoque de capital setorial foi alocado para cada uma das firmas proporcionalmente ao pessoal ocupado das firmas. </w:t>
      </w:r>
    </w:p>
    <w:p w14:paraId="1FD70D02" w14:textId="77777777" w:rsidR="00375454" w:rsidRPr="00EF2DDF" w:rsidRDefault="005136B3" w:rsidP="00102EE8">
      <w:r>
        <w:t xml:space="preserve">Neste trabalho </w:t>
      </w:r>
      <w:r w:rsidR="00D13039" w:rsidRPr="00EF2DDF">
        <w:t xml:space="preserve">utilizaremos </w:t>
      </w:r>
      <w:r w:rsidR="00791E38">
        <w:t xml:space="preserve">a </w:t>
      </w:r>
      <w:r w:rsidR="00D13039" w:rsidRPr="00EF2DDF">
        <w:t xml:space="preserve">aproximação do estoque de capital inicial </w:t>
      </w:r>
      <w:r w:rsidR="00791E38">
        <w:t xml:space="preserve">de </w:t>
      </w:r>
      <w:r>
        <w:t>Alves e Messa (2007)</w:t>
      </w:r>
      <w:r w:rsidR="00791E38">
        <w:t xml:space="preserve"> também </w:t>
      </w:r>
      <w:r w:rsidR="00D13039" w:rsidRPr="00EF2DDF">
        <w:t xml:space="preserve">utilizando </w:t>
      </w:r>
      <w:r w:rsidR="00375454" w:rsidRPr="00EF2DDF">
        <w:t xml:space="preserve">dados setoriais de formação bruta de capital fixo </w:t>
      </w:r>
      <w:r w:rsidR="00D13039" w:rsidRPr="00EF2DDF">
        <w:t xml:space="preserve">acumulados conforme o método do inventário perpétuo para o </w:t>
      </w:r>
      <w:r w:rsidR="00375454" w:rsidRPr="00EF2DDF">
        <w:t xml:space="preserve">período entre 1986 e 1995. </w:t>
      </w:r>
      <w:r w:rsidR="00D13039" w:rsidRPr="00EF2DDF">
        <w:t xml:space="preserve">Tendo à disposição um estoque de capital agregado no nível setorial </w:t>
      </w:r>
      <w:r w:rsidR="00375454" w:rsidRPr="00EF2DDF">
        <w:t xml:space="preserve">para o ano </w:t>
      </w:r>
      <w:r w:rsidR="00375454" w:rsidRPr="00EF2DDF">
        <w:lastRenderedPageBreak/>
        <w:t xml:space="preserve">de 1996, </w:t>
      </w:r>
      <w:r w:rsidR="00D13039" w:rsidRPr="00EF2DDF">
        <w:t xml:space="preserve">seu </w:t>
      </w:r>
      <w:r w:rsidR="00375454" w:rsidRPr="00EF2DDF">
        <w:t xml:space="preserve">valor </w:t>
      </w:r>
      <w:r w:rsidR="00D13039" w:rsidRPr="00EF2DDF">
        <w:t xml:space="preserve">será </w:t>
      </w:r>
      <w:r w:rsidR="00375454" w:rsidRPr="00EF2DDF">
        <w:t>alocado entre as firmas segundo suas respectivas participações setoriais em termos de pessoal ocupado, assumindo, portanto, a hipótese de uma razão capital-trabalho constante dentro de cada setor.</w:t>
      </w:r>
    </w:p>
    <w:p w14:paraId="181AD441" w14:textId="77777777" w:rsidR="00375454" w:rsidRDefault="00791E38" w:rsidP="00102EE8">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m:oMath>
        <m:sSub>
          <m:sSubPr>
            <m:ctrlPr>
              <w:rPr>
                <w:rFonts w:ascii="Cambria Math" w:hAnsi="Cambria Math"/>
              </w:rPr>
            </m:ctrlPr>
          </m:sSubPr>
          <m:e>
            <m:r>
              <w:rPr>
                <w:rFonts w:ascii="Cambria Math" w:hAnsi="Cambria Math"/>
              </w:rPr>
              <m:t>K</m:t>
            </m:r>
          </m:e>
          <m:sub>
            <m:r>
              <w:rPr>
                <w:rFonts w:ascii="Cambria Math" w:hAnsi="Cambria Math"/>
              </w:rPr>
              <m:t>ij</m:t>
            </m:r>
            <m:r>
              <m:rPr>
                <m:sty m:val="p"/>
              </m:rPr>
              <w:rPr>
                <w:rFonts w:ascii="Cambria Math" w:hAnsi="Cambria Math"/>
              </w:rPr>
              <m:t>0</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L</m:t>
                </m:r>
              </m:e>
              <m:sub>
                <m:r>
                  <w:rPr>
                    <w:rFonts w:ascii="Cambria Math" w:hAnsi="Cambria Math"/>
                  </w:rPr>
                  <m:t>ijt</m:t>
                </m:r>
              </m:sub>
            </m:sSub>
          </m:num>
          <m:den>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j</m:t>
                    </m:r>
                  </m:sub>
                </m:sSub>
              </m:sup>
              <m:e>
                <m:sSub>
                  <m:sSubPr>
                    <m:ctrlPr>
                      <w:rPr>
                        <w:rFonts w:ascii="Cambria Math" w:hAnsi="Cambria Math"/>
                      </w:rPr>
                    </m:ctrlPr>
                  </m:sSubPr>
                  <m:e>
                    <m:r>
                      <w:rPr>
                        <w:rFonts w:ascii="Cambria Math" w:hAnsi="Cambria Math"/>
                      </w:rPr>
                      <m:t>L</m:t>
                    </m:r>
                  </m:e>
                  <m:sub>
                    <m:r>
                      <w:rPr>
                        <w:rFonts w:ascii="Cambria Math" w:hAnsi="Cambria Math"/>
                      </w:rPr>
                      <m:t>ijt</m:t>
                    </m:r>
                  </m:sub>
                </m:sSub>
              </m:e>
            </m:nary>
          </m:den>
        </m:f>
        <m:sSub>
          <m:sSubPr>
            <m:ctrlPr>
              <w:rPr>
                <w:rFonts w:ascii="Cambria Math" w:hAnsi="Cambria Math"/>
              </w:rPr>
            </m:ctrlPr>
          </m:sSubPr>
          <m:e>
            <m:r>
              <w:rPr>
                <w:rFonts w:ascii="Cambria Math" w:hAnsi="Cambria Math"/>
              </w:rPr>
              <m:t>K</m:t>
            </m:r>
          </m:e>
          <m:sub>
            <m:r>
              <w:rPr>
                <w:rFonts w:ascii="Cambria Math" w:hAnsi="Cambria Math"/>
              </w:rPr>
              <m:t>jt</m:t>
            </m:r>
            <m:r>
              <m:rPr>
                <m:sty m:val="p"/>
              </m:rPr>
              <w:rPr>
                <w:rFonts w:ascii="Cambria Math" w:hAnsi="Cambria Math"/>
              </w:rPr>
              <m:t>-1</m:t>
            </m:r>
          </m:sub>
        </m:sSub>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t>(</w:t>
      </w:r>
      <w:r w:rsidR="005B7DA8">
        <w:fldChar w:fldCharType="begin"/>
      </w:r>
      <w:r w:rsidR="005B7DA8">
        <w:instrText xml:space="preserve"> SEQ Equação \* ARABIC </w:instrText>
      </w:r>
      <w:r w:rsidR="005B7DA8">
        <w:fldChar w:fldCharType="separate"/>
      </w:r>
      <w:r>
        <w:rPr>
          <w:noProof/>
        </w:rPr>
        <w:t>3</w:t>
      </w:r>
      <w:r w:rsidR="005B7DA8">
        <w:rPr>
          <w:noProof/>
        </w:rPr>
        <w:fldChar w:fldCharType="end"/>
      </w:r>
      <w:r>
        <w:t>)</w:t>
      </w:r>
    </w:p>
    <w:p w14:paraId="584D82E0" w14:textId="77777777" w:rsidR="00791E38" w:rsidRDefault="00791E38" w:rsidP="00102EE8">
      <w:r w:rsidRPr="00D13039">
        <w:t>onde</w:t>
      </w:r>
      <w:r>
        <w:t>,</w:t>
      </w:r>
      <w:r w:rsidRPr="00D13039">
        <w:t xml:space="preserve"> </w:t>
      </w:r>
      <m:oMath>
        <m:sSub>
          <m:sSubPr>
            <m:ctrlPr>
              <w:rPr>
                <w:rFonts w:ascii="Cambria Math" w:hAnsi="Cambria Math"/>
                <w:i/>
              </w:rPr>
            </m:ctrlPr>
          </m:sSubPr>
          <m:e>
            <m:r>
              <w:rPr>
                <w:rFonts w:ascii="Cambria Math" w:hAnsi="Cambria Math"/>
              </w:rPr>
              <m:t>L</m:t>
            </m:r>
          </m:e>
          <m:sub>
            <m:r>
              <w:rPr>
                <w:rFonts w:ascii="Cambria Math" w:hAnsi="Cambria Math"/>
              </w:rPr>
              <m:t>it</m:t>
            </m:r>
          </m:sub>
        </m:sSub>
      </m:oMath>
      <w:r w:rsidRPr="00D13039">
        <w:t xml:space="preserve"> </w:t>
      </w:r>
      <w:r>
        <w:t xml:space="preserve">é o pessoal ocupado da </w:t>
      </w:r>
      <w:r w:rsidRPr="00D13039">
        <w:t xml:space="preserve">firma </w:t>
      </w:r>
      <w:r w:rsidRPr="00D13039">
        <w:rPr>
          <w:i/>
        </w:rPr>
        <w:t>i</w:t>
      </w:r>
      <w:r>
        <w:rPr>
          <w:i/>
        </w:rPr>
        <w:t>,</w:t>
      </w:r>
      <w:r w:rsidRPr="00D13039">
        <w:rPr>
          <w:i/>
        </w:rPr>
        <w:t xml:space="preserve"> </w:t>
      </w:r>
      <w:r>
        <w:t xml:space="preserve">no setor </w:t>
      </w:r>
      <w:r w:rsidRPr="00682167">
        <w:rPr>
          <w:i/>
        </w:rPr>
        <w:t>j</w:t>
      </w:r>
      <w:r>
        <w:t xml:space="preserve">, </w:t>
      </w:r>
      <w:r w:rsidRPr="00D13039">
        <w:t xml:space="preserve">no ano </w:t>
      </w:r>
      <w:r w:rsidRPr="00D13039">
        <w:rPr>
          <w:i/>
        </w:rPr>
        <w:t>t</w:t>
      </w:r>
      <w:r>
        <w:t xml:space="preserve">; </w:t>
      </w:r>
      <m:oMath>
        <m:sSub>
          <m:sSubPr>
            <m:ctrlPr>
              <w:rPr>
                <w:rFonts w:ascii="Cambria Math" w:hAnsi="Cambria Math"/>
                <w:i/>
              </w:rPr>
            </m:ctrlPr>
          </m:sSubPr>
          <m:e>
            <m:r>
              <w:rPr>
                <w:rFonts w:ascii="Cambria Math" w:hAnsi="Cambria Math"/>
              </w:rPr>
              <m:t>K</m:t>
            </m:r>
          </m:e>
          <m:sub>
            <m:r>
              <w:rPr>
                <w:rFonts w:ascii="Cambria Math" w:hAnsi="Cambria Math"/>
              </w:rPr>
              <m:t>jt-1</m:t>
            </m:r>
          </m:sub>
        </m:sSub>
      </m:oMath>
      <w:r w:rsidRPr="00D13039">
        <w:t xml:space="preserve"> </w:t>
      </w:r>
      <w:r>
        <w:t xml:space="preserve">é o estoque de capital no setor </w:t>
      </w:r>
      <w:r w:rsidRPr="00682167">
        <w:rPr>
          <w:i/>
        </w:rPr>
        <w:t>j</w:t>
      </w:r>
      <w:r>
        <w:t xml:space="preserve">, </w:t>
      </w:r>
      <w:r w:rsidRPr="00D13039">
        <w:t xml:space="preserve">no ano </w:t>
      </w:r>
      <w:proofErr w:type="gramStart"/>
      <w:r w:rsidRPr="00D13039">
        <w:rPr>
          <w:i/>
        </w:rPr>
        <w:t>t</w:t>
      </w:r>
      <w:r>
        <w:t>;  e</w:t>
      </w:r>
      <w:proofErr w:type="gramEnd"/>
      <w:r>
        <w:t xml:space="preserve"> </w:t>
      </w:r>
      <m:oMath>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j</m:t>
                </m:r>
              </m:sub>
            </m:sSub>
          </m:sup>
          <m:e>
            <m:sSub>
              <m:sSubPr>
                <m:ctrlPr>
                  <w:rPr>
                    <w:rFonts w:ascii="Cambria Math" w:hAnsi="Cambria Math"/>
                    <w:i/>
                  </w:rPr>
                </m:ctrlPr>
              </m:sSubPr>
              <m:e>
                <m:r>
                  <w:rPr>
                    <w:rFonts w:ascii="Cambria Math" w:hAnsi="Cambria Math"/>
                  </w:rPr>
                  <m:t>L</m:t>
                </m:r>
              </m:e>
              <m:sub>
                <m:r>
                  <w:rPr>
                    <w:rFonts w:ascii="Cambria Math" w:hAnsi="Cambria Math"/>
                  </w:rPr>
                  <m:t>ijt</m:t>
                </m:r>
              </m:sub>
            </m:sSub>
          </m:e>
        </m:nary>
      </m:oMath>
      <w:r>
        <w:rPr>
          <w:rFonts w:eastAsiaTheme="minorEastAsia"/>
        </w:rPr>
        <w:t xml:space="preserve"> </w:t>
      </w:r>
      <w:r w:rsidRPr="00791E38">
        <w:rPr>
          <w:rFonts w:eastAsiaTheme="minorEastAsia"/>
        </w:rPr>
        <w:t xml:space="preserve">é o somatório do pessoal ocupado no setor </w:t>
      </w:r>
      <w:r w:rsidRPr="00791E38">
        <w:rPr>
          <w:rFonts w:eastAsiaTheme="minorEastAsia"/>
          <w:i/>
        </w:rPr>
        <w:t>j</w:t>
      </w:r>
      <w:r w:rsidRPr="00791E38">
        <w:t xml:space="preserve"> no ano </w:t>
      </w:r>
      <w:r w:rsidRPr="00791E38">
        <w:rPr>
          <w:i/>
        </w:rPr>
        <w:t>t</w:t>
      </w:r>
      <w:r w:rsidRPr="00D13039">
        <w:t xml:space="preserve">. </w:t>
      </w:r>
    </w:p>
    <w:p w14:paraId="30A2AD3C" w14:textId="77777777" w:rsidR="00791E38" w:rsidRDefault="00791E38" w:rsidP="00102EE8"/>
    <w:p w14:paraId="6BDC92D0" w14:textId="77777777" w:rsidR="00D13039" w:rsidRPr="00896CC2" w:rsidRDefault="00211991" w:rsidP="00896CC2">
      <w:pPr>
        <w:pStyle w:val="PargrafodaLista"/>
        <w:numPr>
          <w:ilvl w:val="0"/>
          <w:numId w:val="19"/>
        </w:numPr>
        <w:ind w:left="0" w:firstLine="0"/>
        <w:outlineLvl w:val="0"/>
        <w:rPr>
          <w:b/>
        </w:rPr>
      </w:pPr>
      <w:r w:rsidRPr="00896CC2">
        <w:rPr>
          <w:b/>
        </w:rPr>
        <w:t>C</w:t>
      </w:r>
      <w:r w:rsidR="00D13039" w:rsidRPr="00896CC2">
        <w:rPr>
          <w:b/>
        </w:rPr>
        <w:t>ontabili</w:t>
      </w:r>
      <w:r w:rsidRPr="00896CC2">
        <w:rPr>
          <w:b/>
        </w:rPr>
        <w:t>zação do A</w:t>
      </w:r>
      <w:r w:rsidR="00D13039" w:rsidRPr="00896CC2">
        <w:rPr>
          <w:b/>
        </w:rPr>
        <w:t xml:space="preserve">tivo </w:t>
      </w:r>
      <w:r w:rsidRPr="00896CC2">
        <w:rPr>
          <w:b/>
        </w:rPr>
        <w:t>I</w:t>
      </w:r>
      <w:r w:rsidR="00D13039" w:rsidRPr="00896CC2">
        <w:rPr>
          <w:b/>
        </w:rPr>
        <w:t>mobilizado</w:t>
      </w:r>
    </w:p>
    <w:p w14:paraId="07F9225D" w14:textId="77777777" w:rsidR="00D13039" w:rsidRPr="00EF2DDF" w:rsidRDefault="00211991" w:rsidP="00896CC2">
      <w:pPr>
        <w:ind w:firstLine="708"/>
      </w:pPr>
      <w:r w:rsidRPr="00EF2DDF">
        <w:t xml:space="preserve">Esta </w:t>
      </w:r>
      <w:r w:rsidR="00D13039" w:rsidRPr="00EF2DDF">
        <w:t xml:space="preserve">seção </w:t>
      </w:r>
      <w:r w:rsidRPr="00EF2DDF">
        <w:t xml:space="preserve">procura compreender aspectos relevantes do estoque de capital a partir de </w:t>
      </w:r>
      <w:r w:rsidR="00D13039" w:rsidRPr="00EF2DDF">
        <w:t xml:space="preserve">noções de contabilidade de ativo imobilizado, de modo a contribuir para o entendimento de aspectos relevantes do estoque de capital, tais como: depreciação e </w:t>
      </w:r>
      <w:r w:rsidR="00D13039" w:rsidRPr="00EF2DDF">
        <w:rPr>
          <w:i/>
        </w:rPr>
        <w:t>leasing</w:t>
      </w:r>
      <w:r w:rsidR="00D13039" w:rsidRPr="00EF2DDF">
        <w:t>.</w:t>
      </w:r>
    </w:p>
    <w:p w14:paraId="7BA7F35E" w14:textId="77777777" w:rsidR="00D13039" w:rsidRPr="00EF2DDF" w:rsidRDefault="00D13039" w:rsidP="00896CC2">
      <w:pPr>
        <w:ind w:firstLine="708"/>
      </w:pPr>
      <w:r w:rsidRPr="00EF2DDF">
        <w:t xml:space="preserve">O ativo fixo é composto pelos bens tangíveis destinados à manutenção das atividades da firma, inclusive os decorrentes de operações que transfiram à companhia os benefícios riscos e controles destes bens. </w:t>
      </w:r>
    </w:p>
    <w:p w14:paraId="75305614" w14:textId="77777777" w:rsidR="00D13039" w:rsidRPr="00EF2DDF" w:rsidRDefault="00211991" w:rsidP="00896CC2">
      <w:pPr>
        <w:ind w:firstLine="708"/>
      </w:pPr>
      <w:r w:rsidRPr="00EF2DDF">
        <w:t xml:space="preserve">Os princípios contáveis dizem que os </w:t>
      </w:r>
      <w:r w:rsidR="00D13039" w:rsidRPr="00EF2DDF">
        <w:t xml:space="preserve">bens do ativo fixo devem ser avaliados pelo custo de aquisição, deduzido dos saldos das respectivas contas de depreciação, amortização e exaustão. </w:t>
      </w:r>
      <w:r w:rsidRPr="00EF2DDF">
        <w:t xml:space="preserve">Também devem se considerados os </w:t>
      </w:r>
      <w:r w:rsidR="00D13039" w:rsidRPr="00EF2DDF">
        <w:t>impostos não recuperáveis sobre a compra</w:t>
      </w:r>
      <w:r w:rsidRPr="00EF2DDF">
        <w:t xml:space="preserve"> e </w:t>
      </w:r>
      <w:r w:rsidR="00D13039" w:rsidRPr="00EF2DDF">
        <w:t xml:space="preserve">custos </w:t>
      </w:r>
      <w:r w:rsidRPr="00EF2DDF">
        <w:t xml:space="preserve">de instalação </w:t>
      </w:r>
      <w:r w:rsidR="00D13039" w:rsidRPr="00EF2DDF">
        <w:t>(</w:t>
      </w:r>
      <w:proofErr w:type="spellStart"/>
      <w:r w:rsidRPr="00EF2DDF">
        <w:t>L</w:t>
      </w:r>
      <w:r w:rsidR="00D13039" w:rsidRPr="00EF2DDF">
        <w:t>udícibus</w:t>
      </w:r>
      <w:proofErr w:type="spellEnd"/>
      <w:r w:rsidR="00D13039" w:rsidRPr="00EF2DDF">
        <w:t xml:space="preserve"> </w:t>
      </w:r>
      <w:r w:rsidR="00D13039" w:rsidRPr="00EF2DDF">
        <w:rPr>
          <w:i/>
        </w:rPr>
        <w:t>et al.</w:t>
      </w:r>
      <w:r w:rsidR="00D13039" w:rsidRPr="00EF2DDF">
        <w:t>, 2010).</w:t>
      </w:r>
    </w:p>
    <w:p w14:paraId="5A63440F" w14:textId="77777777" w:rsidR="00D13039" w:rsidRPr="00EF2DDF" w:rsidRDefault="00D13039" w:rsidP="00896CC2">
      <w:pPr>
        <w:ind w:firstLine="708"/>
      </w:pPr>
      <w:r w:rsidRPr="00EF2DDF">
        <w:t xml:space="preserve">A depreciação corresponde à parte do caixa investido na aquisição ou construção do ativo que não será recuperado pelas entradas de recursos resultantes da sua eventual venda ao final de seu uso. </w:t>
      </w:r>
      <w:r w:rsidR="00EF2DDF" w:rsidRPr="00EF2DDF">
        <w:t xml:space="preserve">A tabela 1 apresenta os </w:t>
      </w:r>
      <w:r w:rsidRPr="00EF2DDF">
        <w:t>critérios de depreciação pela legislação fiscal</w:t>
      </w:r>
      <w:r w:rsidR="00EF2DDF" w:rsidRPr="00EF2DDF">
        <w:t xml:space="preserve"> considerando um turno de trabalho de </w:t>
      </w:r>
      <w:r w:rsidRPr="00EF2DDF">
        <w:t>8 horas</w:t>
      </w:r>
      <w:r w:rsidR="00EF2DDF" w:rsidRPr="00EF2DDF">
        <w:t xml:space="preserve"> </w:t>
      </w:r>
      <w:r w:rsidRPr="00EF2DDF">
        <w:t>(</w:t>
      </w:r>
      <w:proofErr w:type="spellStart"/>
      <w:r w:rsidR="00EF2DDF">
        <w:t>L</w:t>
      </w:r>
      <w:r w:rsidRPr="00EF2DDF">
        <w:t>udícibus</w:t>
      </w:r>
      <w:proofErr w:type="spellEnd"/>
      <w:r w:rsidRPr="00EF2DDF">
        <w:t xml:space="preserve"> </w:t>
      </w:r>
      <w:r w:rsidRPr="00EF2DDF">
        <w:rPr>
          <w:i/>
        </w:rPr>
        <w:t>et al.</w:t>
      </w:r>
      <w:r w:rsidRPr="00EF2DDF">
        <w:t>, 2010).</w:t>
      </w:r>
    </w:p>
    <w:p w14:paraId="2D36EAF6" w14:textId="77777777" w:rsidR="00D06AAA" w:rsidRDefault="00D06AAA" w:rsidP="00102EE8"/>
    <w:p w14:paraId="2EE0AE58" w14:textId="77777777" w:rsidR="00D13039" w:rsidRPr="00D06AAA" w:rsidRDefault="00D06AAA" w:rsidP="00102EE8">
      <w:pPr>
        <w:pStyle w:val="Legenda"/>
      </w:pPr>
      <w:r w:rsidRPr="00D06AAA">
        <w:t xml:space="preserve">Tabela </w:t>
      </w:r>
      <w:r w:rsidR="005B7DA8">
        <w:fldChar w:fldCharType="begin"/>
      </w:r>
      <w:r w:rsidR="005B7DA8">
        <w:instrText xml:space="preserve"> SEQ Tabela \* ARABIC </w:instrText>
      </w:r>
      <w:r w:rsidR="005B7DA8">
        <w:fldChar w:fldCharType="separate"/>
      </w:r>
      <w:r w:rsidR="00C3623B">
        <w:rPr>
          <w:noProof/>
        </w:rPr>
        <w:t>1</w:t>
      </w:r>
      <w:r w:rsidR="005B7DA8">
        <w:rPr>
          <w:noProof/>
        </w:rPr>
        <w:fldChar w:fldCharType="end"/>
      </w:r>
      <w:r w:rsidRPr="00D06AAA">
        <w:t xml:space="preserve">: </w:t>
      </w:r>
      <w:r w:rsidR="00D13039" w:rsidRPr="00D06AAA">
        <w:t xml:space="preserve">Critérios de </w:t>
      </w:r>
      <w:r w:rsidRPr="00D06AAA">
        <w:t>D</w:t>
      </w:r>
      <w:r w:rsidR="00D13039" w:rsidRPr="00D06AAA">
        <w:t xml:space="preserve">epreciação </w:t>
      </w:r>
      <w:r w:rsidRPr="00D06AAA">
        <w:t>do ativo Imo</w:t>
      </w:r>
      <w:r>
        <w:t>biliza</w:t>
      </w:r>
      <w:r w:rsidRPr="00D06AAA">
        <w:t>do segundo a L</w:t>
      </w:r>
      <w:r w:rsidR="00D13039" w:rsidRPr="00D06AAA">
        <w:t xml:space="preserve">egislação </w:t>
      </w:r>
      <w:r>
        <w:t>F</w:t>
      </w:r>
      <w:r w:rsidR="00D13039" w:rsidRPr="00D06AAA">
        <w:t>iscal</w:t>
      </w:r>
      <w:r>
        <w:t>.</w:t>
      </w:r>
    </w:p>
    <w:tbl>
      <w:tblPr>
        <w:tblStyle w:val="Tabelacomgrade"/>
        <w:tblW w:w="8319" w:type="dxa"/>
        <w:tblBorders>
          <w:left w:val="none" w:sz="0" w:space="0" w:color="auto"/>
          <w:right w:val="none" w:sz="0" w:space="0" w:color="auto"/>
          <w:insideH w:val="dotted" w:sz="4" w:space="0" w:color="auto"/>
          <w:insideV w:val="none" w:sz="0" w:space="0" w:color="auto"/>
        </w:tblBorders>
        <w:tblLook w:val="04A0" w:firstRow="1" w:lastRow="0" w:firstColumn="1" w:lastColumn="0" w:noHBand="0" w:noVBand="1"/>
      </w:tblPr>
      <w:tblGrid>
        <w:gridCol w:w="3589"/>
        <w:gridCol w:w="2365"/>
        <w:gridCol w:w="2365"/>
      </w:tblGrid>
      <w:tr w:rsidR="00D13039" w14:paraId="4855D976" w14:textId="77777777" w:rsidTr="007B0576">
        <w:tc>
          <w:tcPr>
            <w:tcW w:w="3589" w:type="dxa"/>
            <w:tcBorders>
              <w:top w:val="single" w:sz="4" w:space="0" w:color="auto"/>
              <w:bottom w:val="single" w:sz="4" w:space="0" w:color="auto"/>
            </w:tcBorders>
          </w:tcPr>
          <w:p w14:paraId="7C8D2AAD" w14:textId="77777777" w:rsidR="00D13039" w:rsidRDefault="00D13039" w:rsidP="00102EE8"/>
        </w:tc>
        <w:tc>
          <w:tcPr>
            <w:tcW w:w="2365" w:type="dxa"/>
            <w:tcBorders>
              <w:top w:val="single" w:sz="4" w:space="0" w:color="auto"/>
              <w:bottom w:val="single" w:sz="4" w:space="0" w:color="auto"/>
            </w:tcBorders>
          </w:tcPr>
          <w:p w14:paraId="4EAB1E57" w14:textId="77777777" w:rsidR="00D13039" w:rsidRPr="00B45532" w:rsidRDefault="00D13039" w:rsidP="00102EE8">
            <w:r w:rsidRPr="00B45532">
              <w:t>Taxa anual</w:t>
            </w:r>
          </w:p>
        </w:tc>
        <w:tc>
          <w:tcPr>
            <w:tcW w:w="2365" w:type="dxa"/>
            <w:tcBorders>
              <w:top w:val="single" w:sz="4" w:space="0" w:color="auto"/>
              <w:bottom w:val="single" w:sz="4" w:space="0" w:color="auto"/>
            </w:tcBorders>
          </w:tcPr>
          <w:p w14:paraId="15B7D43D" w14:textId="77777777" w:rsidR="00D13039" w:rsidRPr="00B45532" w:rsidRDefault="00D13039" w:rsidP="00102EE8">
            <w:r w:rsidRPr="00B45532">
              <w:t>Anos de vida útil</w:t>
            </w:r>
          </w:p>
        </w:tc>
      </w:tr>
      <w:tr w:rsidR="00D13039" w14:paraId="0772CE13" w14:textId="77777777" w:rsidTr="007B0576">
        <w:tc>
          <w:tcPr>
            <w:tcW w:w="3589" w:type="dxa"/>
            <w:tcBorders>
              <w:top w:val="single" w:sz="4" w:space="0" w:color="auto"/>
            </w:tcBorders>
          </w:tcPr>
          <w:p w14:paraId="208471A4" w14:textId="77777777" w:rsidR="00D13039" w:rsidRDefault="00D13039" w:rsidP="00102EE8">
            <w:r>
              <w:t>Edifícios</w:t>
            </w:r>
          </w:p>
        </w:tc>
        <w:tc>
          <w:tcPr>
            <w:tcW w:w="2365" w:type="dxa"/>
            <w:tcBorders>
              <w:top w:val="single" w:sz="4" w:space="0" w:color="auto"/>
            </w:tcBorders>
          </w:tcPr>
          <w:p w14:paraId="14085807" w14:textId="77777777" w:rsidR="00D13039" w:rsidRDefault="00D13039" w:rsidP="00102EE8">
            <w:r>
              <w:t>4%</w:t>
            </w:r>
          </w:p>
        </w:tc>
        <w:tc>
          <w:tcPr>
            <w:tcW w:w="2365" w:type="dxa"/>
            <w:tcBorders>
              <w:top w:val="single" w:sz="4" w:space="0" w:color="auto"/>
            </w:tcBorders>
          </w:tcPr>
          <w:p w14:paraId="1F25C7E8" w14:textId="77777777" w:rsidR="00D13039" w:rsidRDefault="00D13039" w:rsidP="00102EE8">
            <w:r>
              <w:t>25</w:t>
            </w:r>
          </w:p>
        </w:tc>
      </w:tr>
      <w:tr w:rsidR="00D13039" w14:paraId="338065CD" w14:textId="77777777" w:rsidTr="007B0576">
        <w:tc>
          <w:tcPr>
            <w:tcW w:w="3589" w:type="dxa"/>
          </w:tcPr>
          <w:p w14:paraId="5A586A9E" w14:textId="77777777" w:rsidR="00D13039" w:rsidRDefault="00D13039" w:rsidP="00102EE8">
            <w:r>
              <w:t>Máquinas e equipamentos</w:t>
            </w:r>
          </w:p>
        </w:tc>
        <w:tc>
          <w:tcPr>
            <w:tcW w:w="2365" w:type="dxa"/>
          </w:tcPr>
          <w:p w14:paraId="0CFF26B0" w14:textId="77777777" w:rsidR="00D13039" w:rsidRDefault="00D13039" w:rsidP="00102EE8">
            <w:r>
              <w:t>10%</w:t>
            </w:r>
          </w:p>
        </w:tc>
        <w:tc>
          <w:tcPr>
            <w:tcW w:w="2365" w:type="dxa"/>
          </w:tcPr>
          <w:p w14:paraId="337BE802" w14:textId="77777777" w:rsidR="00D13039" w:rsidRDefault="00D13039" w:rsidP="00102EE8">
            <w:r>
              <w:t>10</w:t>
            </w:r>
          </w:p>
        </w:tc>
      </w:tr>
      <w:tr w:rsidR="00D13039" w14:paraId="03C87BE9" w14:textId="77777777" w:rsidTr="007B0576">
        <w:tc>
          <w:tcPr>
            <w:tcW w:w="3589" w:type="dxa"/>
          </w:tcPr>
          <w:p w14:paraId="5FCE317A" w14:textId="77777777" w:rsidR="00D13039" w:rsidRDefault="00D13039" w:rsidP="00102EE8">
            <w:r>
              <w:t>Instalações</w:t>
            </w:r>
          </w:p>
        </w:tc>
        <w:tc>
          <w:tcPr>
            <w:tcW w:w="2365" w:type="dxa"/>
          </w:tcPr>
          <w:p w14:paraId="044D0485" w14:textId="77777777" w:rsidR="00D13039" w:rsidRDefault="00D13039" w:rsidP="00102EE8">
            <w:r>
              <w:t>10%</w:t>
            </w:r>
          </w:p>
        </w:tc>
        <w:tc>
          <w:tcPr>
            <w:tcW w:w="2365" w:type="dxa"/>
          </w:tcPr>
          <w:p w14:paraId="19B304B6" w14:textId="77777777" w:rsidR="00D13039" w:rsidRDefault="00D13039" w:rsidP="00102EE8">
            <w:r>
              <w:t>10</w:t>
            </w:r>
          </w:p>
        </w:tc>
      </w:tr>
      <w:tr w:rsidR="00D13039" w14:paraId="0C0E9F46" w14:textId="77777777" w:rsidTr="007B0576">
        <w:tc>
          <w:tcPr>
            <w:tcW w:w="3589" w:type="dxa"/>
          </w:tcPr>
          <w:p w14:paraId="3D463931" w14:textId="77777777" w:rsidR="00D13039" w:rsidRDefault="00D13039" w:rsidP="00102EE8">
            <w:r>
              <w:t>Móveis e utensílios</w:t>
            </w:r>
          </w:p>
        </w:tc>
        <w:tc>
          <w:tcPr>
            <w:tcW w:w="2365" w:type="dxa"/>
          </w:tcPr>
          <w:p w14:paraId="4A0CD255" w14:textId="77777777" w:rsidR="00D13039" w:rsidRDefault="00D13039" w:rsidP="00102EE8">
            <w:r>
              <w:t>10%</w:t>
            </w:r>
          </w:p>
        </w:tc>
        <w:tc>
          <w:tcPr>
            <w:tcW w:w="2365" w:type="dxa"/>
          </w:tcPr>
          <w:p w14:paraId="68EDF64C" w14:textId="77777777" w:rsidR="00D13039" w:rsidRDefault="00D13039" w:rsidP="00102EE8">
            <w:r>
              <w:t>10</w:t>
            </w:r>
          </w:p>
        </w:tc>
      </w:tr>
      <w:tr w:rsidR="00D13039" w14:paraId="1AB76468" w14:textId="77777777" w:rsidTr="007B0576">
        <w:tc>
          <w:tcPr>
            <w:tcW w:w="3589" w:type="dxa"/>
          </w:tcPr>
          <w:p w14:paraId="2800F5DB" w14:textId="77777777" w:rsidR="00D13039" w:rsidRDefault="00D13039" w:rsidP="00102EE8">
            <w:r>
              <w:t>Veículos</w:t>
            </w:r>
          </w:p>
        </w:tc>
        <w:tc>
          <w:tcPr>
            <w:tcW w:w="2365" w:type="dxa"/>
          </w:tcPr>
          <w:p w14:paraId="47E49997" w14:textId="77777777" w:rsidR="00D13039" w:rsidRDefault="00D13039" w:rsidP="00102EE8">
            <w:r>
              <w:t>20%</w:t>
            </w:r>
          </w:p>
        </w:tc>
        <w:tc>
          <w:tcPr>
            <w:tcW w:w="2365" w:type="dxa"/>
          </w:tcPr>
          <w:p w14:paraId="27E51730" w14:textId="77777777" w:rsidR="00D13039" w:rsidRDefault="00D13039" w:rsidP="00102EE8">
            <w:r>
              <w:t>5</w:t>
            </w:r>
          </w:p>
        </w:tc>
      </w:tr>
      <w:tr w:rsidR="00D13039" w14:paraId="28E05771" w14:textId="77777777" w:rsidTr="007B0576">
        <w:tc>
          <w:tcPr>
            <w:tcW w:w="3589" w:type="dxa"/>
          </w:tcPr>
          <w:p w14:paraId="0893A6B4" w14:textId="77777777" w:rsidR="00D13039" w:rsidRDefault="00D13039" w:rsidP="00102EE8">
            <w:r>
              <w:t>Sist</w:t>
            </w:r>
            <w:r w:rsidR="007B0576">
              <w:t xml:space="preserve">emas de processamento de </w:t>
            </w:r>
            <w:r>
              <w:t>dados</w:t>
            </w:r>
          </w:p>
        </w:tc>
        <w:tc>
          <w:tcPr>
            <w:tcW w:w="2365" w:type="dxa"/>
          </w:tcPr>
          <w:p w14:paraId="236EEE5B" w14:textId="77777777" w:rsidR="00D13039" w:rsidRDefault="00D13039" w:rsidP="00102EE8">
            <w:r>
              <w:t>20%</w:t>
            </w:r>
          </w:p>
        </w:tc>
        <w:tc>
          <w:tcPr>
            <w:tcW w:w="2365" w:type="dxa"/>
          </w:tcPr>
          <w:p w14:paraId="71BADDEA" w14:textId="77777777" w:rsidR="00D13039" w:rsidRDefault="00D13039" w:rsidP="00102EE8">
            <w:r>
              <w:t>5</w:t>
            </w:r>
          </w:p>
        </w:tc>
      </w:tr>
    </w:tbl>
    <w:p w14:paraId="41874039" w14:textId="77777777" w:rsidR="00D13039" w:rsidRPr="00FF693F" w:rsidRDefault="00D13039" w:rsidP="00102EE8">
      <w:r>
        <w:t xml:space="preserve">Fonte: </w:t>
      </w:r>
      <w:proofErr w:type="spellStart"/>
      <w:r w:rsidR="00D06AAA">
        <w:t>L</w:t>
      </w:r>
      <w:r>
        <w:t>ubícibus</w:t>
      </w:r>
      <w:proofErr w:type="spellEnd"/>
      <w:r>
        <w:t xml:space="preserve"> </w:t>
      </w:r>
      <w:r w:rsidRPr="00D06AAA">
        <w:rPr>
          <w:i/>
        </w:rPr>
        <w:t>et. al</w:t>
      </w:r>
      <w:r>
        <w:t xml:space="preserve"> (2010, p. 249).</w:t>
      </w:r>
    </w:p>
    <w:p w14:paraId="7CB7B10E" w14:textId="77777777" w:rsidR="00EF2DDF" w:rsidRDefault="007B0576" w:rsidP="00102EE8">
      <w:r>
        <w:lastRenderedPageBreak/>
        <w:t xml:space="preserve">A partir do ano de 2007 a </w:t>
      </w:r>
      <w:r w:rsidR="00EF2DDF">
        <w:t xml:space="preserve">PIA passou a incluir o ativo imobilizado em seu questionário, enquanto a PAS passou a incluir esta variável a partir de 2009. </w:t>
      </w:r>
      <w:r>
        <w:t xml:space="preserve">Mesmo assim, ainda </w:t>
      </w:r>
      <w:r w:rsidR="00EF2DDF">
        <w:t>observamos que tais variáveis apresentam uma quantidade elevada de valores iguais a zero, conforme a tabela a seguir:</w:t>
      </w:r>
    </w:p>
    <w:p w14:paraId="2E106AEF" w14:textId="77777777" w:rsidR="00EF2DDF" w:rsidRPr="007A4056" w:rsidRDefault="00C164E5" w:rsidP="00102EE8">
      <w:r w:rsidRPr="007A4056">
        <w:t xml:space="preserve">Tabela </w:t>
      </w:r>
      <w:r w:rsidR="005B7DA8">
        <w:fldChar w:fldCharType="begin"/>
      </w:r>
      <w:r w:rsidR="005B7DA8">
        <w:instrText xml:space="preserve"> SEQ Tabela \* ARABIC </w:instrText>
      </w:r>
      <w:r w:rsidR="005B7DA8">
        <w:fldChar w:fldCharType="separate"/>
      </w:r>
      <w:r w:rsidR="00C3623B">
        <w:rPr>
          <w:noProof/>
        </w:rPr>
        <w:t>2</w:t>
      </w:r>
      <w:r w:rsidR="005B7DA8">
        <w:rPr>
          <w:noProof/>
        </w:rPr>
        <w:fldChar w:fldCharType="end"/>
      </w:r>
      <w:r w:rsidRPr="007A4056">
        <w:t xml:space="preserve">: </w:t>
      </w:r>
      <w:r w:rsidR="00EF2DDF" w:rsidRPr="007A4056">
        <w:t>Evolução do Ativo Imobilizado na Pesquisa Industrial Anual e Pesquisa Anual de Serviços.</w:t>
      </w:r>
    </w:p>
    <w:tbl>
      <w:tblPr>
        <w:tblStyle w:val="Tabelacomgrade"/>
        <w:tblW w:w="8613"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1316"/>
        <w:gridCol w:w="1316"/>
        <w:gridCol w:w="1317"/>
        <w:gridCol w:w="1316"/>
        <w:gridCol w:w="1316"/>
        <w:gridCol w:w="1317"/>
      </w:tblGrid>
      <w:tr w:rsidR="00EF2DDF" w:rsidRPr="007A4056" w14:paraId="73F2DD59" w14:textId="77777777" w:rsidTr="00B45532">
        <w:tc>
          <w:tcPr>
            <w:tcW w:w="715" w:type="dxa"/>
            <w:tcBorders>
              <w:bottom w:val="single" w:sz="4" w:space="0" w:color="auto"/>
            </w:tcBorders>
          </w:tcPr>
          <w:p w14:paraId="46E32E9C" w14:textId="77777777" w:rsidR="00EF2DDF" w:rsidRPr="007A4056" w:rsidRDefault="00EF2DDF" w:rsidP="00102EE8"/>
        </w:tc>
        <w:tc>
          <w:tcPr>
            <w:tcW w:w="1316" w:type="dxa"/>
            <w:tcBorders>
              <w:bottom w:val="single" w:sz="4" w:space="0" w:color="auto"/>
            </w:tcBorders>
            <w:vAlign w:val="center"/>
          </w:tcPr>
          <w:p w14:paraId="14800412" w14:textId="77777777" w:rsidR="00EF2DDF" w:rsidRPr="007A4056" w:rsidRDefault="00EF2DDF" w:rsidP="00102EE8"/>
        </w:tc>
        <w:tc>
          <w:tcPr>
            <w:tcW w:w="1316" w:type="dxa"/>
            <w:tcBorders>
              <w:bottom w:val="single" w:sz="4" w:space="0" w:color="auto"/>
            </w:tcBorders>
            <w:vAlign w:val="center"/>
          </w:tcPr>
          <w:p w14:paraId="0E28E183" w14:textId="77777777" w:rsidR="00EF2DDF" w:rsidRPr="007A4056" w:rsidRDefault="00EF2DDF" w:rsidP="00102EE8">
            <w:r w:rsidRPr="007A4056">
              <w:t>PIA</w:t>
            </w:r>
          </w:p>
        </w:tc>
        <w:tc>
          <w:tcPr>
            <w:tcW w:w="1317" w:type="dxa"/>
            <w:tcBorders>
              <w:bottom w:val="single" w:sz="4" w:space="0" w:color="auto"/>
              <w:right w:val="dotted" w:sz="4" w:space="0" w:color="auto"/>
            </w:tcBorders>
            <w:vAlign w:val="center"/>
          </w:tcPr>
          <w:p w14:paraId="51601031" w14:textId="77777777" w:rsidR="00EF2DDF" w:rsidRPr="007A4056" w:rsidRDefault="00EF2DDF" w:rsidP="00102EE8"/>
        </w:tc>
        <w:tc>
          <w:tcPr>
            <w:tcW w:w="1316" w:type="dxa"/>
            <w:tcBorders>
              <w:top w:val="single" w:sz="4" w:space="0" w:color="auto"/>
              <w:left w:val="dotted" w:sz="4" w:space="0" w:color="auto"/>
              <w:bottom w:val="single" w:sz="4" w:space="0" w:color="auto"/>
            </w:tcBorders>
            <w:vAlign w:val="center"/>
          </w:tcPr>
          <w:p w14:paraId="6D5A0B14" w14:textId="77777777" w:rsidR="00EF2DDF" w:rsidRPr="007A4056" w:rsidRDefault="00EF2DDF" w:rsidP="00102EE8"/>
        </w:tc>
        <w:tc>
          <w:tcPr>
            <w:tcW w:w="1316" w:type="dxa"/>
            <w:tcBorders>
              <w:top w:val="single" w:sz="4" w:space="0" w:color="auto"/>
              <w:bottom w:val="single" w:sz="4" w:space="0" w:color="auto"/>
            </w:tcBorders>
            <w:vAlign w:val="center"/>
          </w:tcPr>
          <w:p w14:paraId="3267F1F5" w14:textId="77777777" w:rsidR="00EF2DDF" w:rsidRPr="007A4056" w:rsidRDefault="00EF2DDF" w:rsidP="00102EE8">
            <w:r w:rsidRPr="007A4056">
              <w:t>PAS</w:t>
            </w:r>
          </w:p>
        </w:tc>
        <w:tc>
          <w:tcPr>
            <w:tcW w:w="1317" w:type="dxa"/>
            <w:tcBorders>
              <w:top w:val="single" w:sz="4" w:space="0" w:color="auto"/>
              <w:bottom w:val="single" w:sz="4" w:space="0" w:color="auto"/>
            </w:tcBorders>
            <w:vAlign w:val="center"/>
          </w:tcPr>
          <w:p w14:paraId="58BA08DD" w14:textId="77777777" w:rsidR="00EF2DDF" w:rsidRPr="007A4056" w:rsidRDefault="00EF2DDF" w:rsidP="00102EE8"/>
        </w:tc>
      </w:tr>
      <w:tr w:rsidR="00EF2DDF" w:rsidRPr="007A4056" w14:paraId="4A54B844" w14:textId="77777777" w:rsidTr="00B45532">
        <w:tc>
          <w:tcPr>
            <w:tcW w:w="715" w:type="dxa"/>
            <w:tcBorders>
              <w:top w:val="single" w:sz="4" w:space="0" w:color="auto"/>
              <w:bottom w:val="single" w:sz="4" w:space="0" w:color="auto"/>
            </w:tcBorders>
          </w:tcPr>
          <w:p w14:paraId="4722A215" w14:textId="77777777" w:rsidR="00EF2DDF" w:rsidRPr="007A4056" w:rsidRDefault="00EF2DDF" w:rsidP="00102EE8"/>
        </w:tc>
        <w:tc>
          <w:tcPr>
            <w:tcW w:w="1316" w:type="dxa"/>
            <w:tcBorders>
              <w:top w:val="single" w:sz="4" w:space="0" w:color="auto"/>
              <w:bottom w:val="single" w:sz="4" w:space="0" w:color="auto"/>
            </w:tcBorders>
            <w:vAlign w:val="center"/>
          </w:tcPr>
          <w:p w14:paraId="16B0D81F" w14:textId="77777777" w:rsidR="00EF2DDF" w:rsidRPr="007A4056" w:rsidRDefault="00EF2DDF" w:rsidP="00102EE8">
            <w:r w:rsidRPr="007A4056">
              <w:t xml:space="preserve">Total de Empresas </w:t>
            </w:r>
            <w:r w:rsidR="00B45532" w:rsidRPr="007A4056">
              <w:t>(</w:t>
            </w:r>
            <w:r w:rsidRPr="007A4056">
              <w:t>Estra</w:t>
            </w:r>
            <w:r w:rsidR="00B45532" w:rsidRPr="007A4056">
              <w:t>t</w:t>
            </w:r>
            <w:r w:rsidRPr="007A4056">
              <w:t>o Certo</w:t>
            </w:r>
            <w:r w:rsidR="00B45532" w:rsidRPr="007A4056">
              <w:t>)</w:t>
            </w:r>
          </w:p>
        </w:tc>
        <w:tc>
          <w:tcPr>
            <w:tcW w:w="1316" w:type="dxa"/>
            <w:tcBorders>
              <w:top w:val="single" w:sz="4" w:space="0" w:color="auto"/>
              <w:bottom w:val="single" w:sz="4" w:space="0" w:color="auto"/>
            </w:tcBorders>
            <w:vAlign w:val="center"/>
          </w:tcPr>
          <w:p w14:paraId="195FE499" w14:textId="77777777" w:rsidR="007B0576" w:rsidRPr="007A4056" w:rsidRDefault="007B0576" w:rsidP="00102EE8">
            <w:r w:rsidRPr="007A4056">
              <w:t xml:space="preserve">% Ativo </w:t>
            </w:r>
          </w:p>
          <w:p w14:paraId="0ED17210" w14:textId="77777777" w:rsidR="007B0576" w:rsidRPr="007A4056" w:rsidRDefault="007B0576" w:rsidP="00102EE8">
            <w:r w:rsidRPr="007A4056">
              <w:t>Fixo</w:t>
            </w:r>
          </w:p>
          <w:p w14:paraId="1411974C" w14:textId="77777777" w:rsidR="00EF2DDF" w:rsidRPr="007A4056" w:rsidRDefault="00EF2DDF" w:rsidP="00102EE8">
            <w:r w:rsidRPr="007A4056">
              <w:t>Zero</w:t>
            </w:r>
          </w:p>
        </w:tc>
        <w:tc>
          <w:tcPr>
            <w:tcW w:w="1317" w:type="dxa"/>
            <w:tcBorders>
              <w:top w:val="single" w:sz="4" w:space="0" w:color="auto"/>
              <w:bottom w:val="single" w:sz="4" w:space="0" w:color="auto"/>
              <w:right w:val="dotted" w:sz="4" w:space="0" w:color="auto"/>
            </w:tcBorders>
            <w:vAlign w:val="center"/>
          </w:tcPr>
          <w:p w14:paraId="01E5FD07" w14:textId="77777777" w:rsidR="00EF2DDF" w:rsidRPr="007A4056" w:rsidRDefault="007B0576" w:rsidP="00102EE8">
            <w:r w:rsidRPr="007A4056">
              <w:t xml:space="preserve">Ativo Fixo </w:t>
            </w:r>
            <w:r w:rsidR="00EF2DDF" w:rsidRPr="007A4056">
              <w:t xml:space="preserve">em </w:t>
            </w:r>
            <w:r w:rsidR="002244EC" w:rsidRPr="007A4056">
              <w:t>Bil</w:t>
            </w:r>
            <w:r w:rsidR="00EF2DDF" w:rsidRPr="007A4056">
              <w:t>hões</w:t>
            </w:r>
          </w:p>
        </w:tc>
        <w:tc>
          <w:tcPr>
            <w:tcW w:w="1316" w:type="dxa"/>
            <w:tcBorders>
              <w:top w:val="single" w:sz="4" w:space="0" w:color="auto"/>
              <w:left w:val="dotted" w:sz="4" w:space="0" w:color="auto"/>
              <w:bottom w:val="single" w:sz="4" w:space="0" w:color="auto"/>
            </w:tcBorders>
            <w:vAlign w:val="center"/>
          </w:tcPr>
          <w:p w14:paraId="6F28B4C8" w14:textId="77777777" w:rsidR="00EF2DDF" w:rsidRPr="007A4056" w:rsidRDefault="00EF2DDF" w:rsidP="00102EE8">
            <w:r w:rsidRPr="007A4056">
              <w:t>Total de Empresas</w:t>
            </w:r>
          </w:p>
          <w:p w14:paraId="07AC4231" w14:textId="77777777" w:rsidR="00B45532" w:rsidRPr="007A4056" w:rsidRDefault="00B45532" w:rsidP="00102EE8">
            <w:r w:rsidRPr="007A4056">
              <w:t>(Estrato Certo)</w:t>
            </w:r>
          </w:p>
        </w:tc>
        <w:tc>
          <w:tcPr>
            <w:tcW w:w="1316" w:type="dxa"/>
            <w:tcBorders>
              <w:top w:val="single" w:sz="4" w:space="0" w:color="auto"/>
              <w:bottom w:val="single" w:sz="4" w:space="0" w:color="auto"/>
            </w:tcBorders>
            <w:vAlign w:val="center"/>
          </w:tcPr>
          <w:p w14:paraId="7673FAA2" w14:textId="77777777" w:rsidR="007B0576" w:rsidRPr="007A4056" w:rsidRDefault="007B0576" w:rsidP="00102EE8">
            <w:r w:rsidRPr="007A4056">
              <w:t xml:space="preserve">% Ativo </w:t>
            </w:r>
          </w:p>
          <w:p w14:paraId="5A6318D4" w14:textId="77777777" w:rsidR="007B0576" w:rsidRPr="007A4056" w:rsidRDefault="007B0576" w:rsidP="00102EE8">
            <w:r w:rsidRPr="007A4056">
              <w:t>Fixo</w:t>
            </w:r>
          </w:p>
          <w:p w14:paraId="26BC6026" w14:textId="77777777" w:rsidR="00EF2DDF" w:rsidRPr="007A4056" w:rsidRDefault="007B0576" w:rsidP="00102EE8">
            <w:r w:rsidRPr="007A4056">
              <w:t>Zero</w:t>
            </w:r>
          </w:p>
        </w:tc>
        <w:tc>
          <w:tcPr>
            <w:tcW w:w="1317" w:type="dxa"/>
            <w:tcBorders>
              <w:top w:val="single" w:sz="4" w:space="0" w:color="auto"/>
              <w:bottom w:val="single" w:sz="4" w:space="0" w:color="auto"/>
            </w:tcBorders>
            <w:vAlign w:val="center"/>
          </w:tcPr>
          <w:p w14:paraId="23C15132" w14:textId="77777777" w:rsidR="00EF2DDF" w:rsidRPr="007A4056" w:rsidRDefault="007B0576" w:rsidP="00102EE8">
            <w:r w:rsidRPr="007A4056">
              <w:t>Ativo Fixo em Bilhões</w:t>
            </w:r>
          </w:p>
        </w:tc>
      </w:tr>
      <w:tr w:rsidR="00EF2DDF" w:rsidRPr="007A4056" w14:paraId="223BFF6D" w14:textId="77777777" w:rsidTr="00B45532">
        <w:tc>
          <w:tcPr>
            <w:tcW w:w="715" w:type="dxa"/>
            <w:tcBorders>
              <w:top w:val="single" w:sz="4" w:space="0" w:color="auto"/>
              <w:bottom w:val="dotted" w:sz="4" w:space="0" w:color="auto"/>
            </w:tcBorders>
          </w:tcPr>
          <w:p w14:paraId="2F2DDF06" w14:textId="77777777" w:rsidR="00EF2DDF" w:rsidRPr="007A4056" w:rsidRDefault="00EF2DDF" w:rsidP="00102EE8">
            <w:r w:rsidRPr="007A4056">
              <w:t>2001</w:t>
            </w:r>
          </w:p>
        </w:tc>
        <w:tc>
          <w:tcPr>
            <w:tcW w:w="1316" w:type="dxa"/>
            <w:tcBorders>
              <w:top w:val="single" w:sz="4" w:space="0" w:color="auto"/>
              <w:bottom w:val="dotted" w:sz="4" w:space="0" w:color="auto"/>
            </w:tcBorders>
            <w:vAlign w:val="center"/>
          </w:tcPr>
          <w:p w14:paraId="0DD1A640" w14:textId="77777777" w:rsidR="00EF2DDF" w:rsidRPr="007A4056" w:rsidRDefault="00EF2DDF" w:rsidP="00102EE8"/>
        </w:tc>
        <w:tc>
          <w:tcPr>
            <w:tcW w:w="1316" w:type="dxa"/>
            <w:tcBorders>
              <w:top w:val="single" w:sz="4" w:space="0" w:color="auto"/>
              <w:bottom w:val="dotted" w:sz="4" w:space="0" w:color="auto"/>
            </w:tcBorders>
            <w:vAlign w:val="center"/>
          </w:tcPr>
          <w:p w14:paraId="3EE39A26" w14:textId="77777777" w:rsidR="00EF2DDF" w:rsidRPr="007A4056" w:rsidRDefault="00EF2DDF" w:rsidP="00102EE8"/>
        </w:tc>
        <w:tc>
          <w:tcPr>
            <w:tcW w:w="1317" w:type="dxa"/>
            <w:tcBorders>
              <w:top w:val="single" w:sz="4" w:space="0" w:color="auto"/>
              <w:bottom w:val="dotted" w:sz="4" w:space="0" w:color="auto"/>
              <w:right w:val="dotted" w:sz="4" w:space="0" w:color="auto"/>
            </w:tcBorders>
            <w:vAlign w:val="center"/>
          </w:tcPr>
          <w:p w14:paraId="3C9D86C9" w14:textId="77777777" w:rsidR="00EF2DDF" w:rsidRPr="007A4056" w:rsidRDefault="00EF2DDF" w:rsidP="00102EE8"/>
        </w:tc>
        <w:tc>
          <w:tcPr>
            <w:tcW w:w="1316" w:type="dxa"/>
            <w:tcBorders>
              <w:top w:val="single" w:sz="4" w:space="0" w:color="auto"/>
              <w:left w:val="dotted" w:sz="4" w:space="0" w:color="auto"/>
              <w:bottom w:val="dotted" w:sz="4" w:space="0" w:color="auto"/>
            </w:tcBorders>
            <w:vAlign w:val="center"/>
          </w:tcPr>
          <w:p w14:paraId="0248A4D7" w14:textId="77777777" w:rsidR="00EF2DDF" w:rsidRPr="007A4056" w:rsidRDefault="00EF2DDF" w:rsidP="00102EE8"/>
        </w:tc>
        <w:tc>
          <w:tcPr>
            <w:tcW w:w="1316" w:type="dxa"/>
            <w:tcBorders>
              <w:top w:val="single" w:sz="4" w:space="0" w:color="auto"/>
              <w:bottom w:val="dotted" w:sz="4" w:space="0" w:color="auto"/>
            </w:tcBorders>
            <w:vAlign w:val="center"/>
          </w:tcPr>
          <w:p w14:paraId="37E87B16" w14:textId="77777777" w:rsidR="00EF2DDF" w:rsidRPr="007A4056" w:rsidRDefault="00EF2DDF" w:rsidP="00102EE8"/>
        </w:tc>
        <w:tc>
          <w:tcPr>
            <w:tcW w:w="1317" w:type="dxa"/>
            <w:tcBorders>
              <w:top w:val="single" w:sz="4" w:space="0" w:color="auto"/>
              <w:bottom w:val="dotted" w:sz="4" w:space="0" w:color="auto"/>
            </w:tcBorders>
            <w:vAlign w:val="center"/>
          </w:tcPr>
          <w:p w14:paraId="6CC6D08F" w14:textId="77777777" w:rsidR="00EF2DDF" w:rsidRPr="007A4056" w:rsidRDefault="00EF2DDF" w:rsidP="00102EE8"/>
        </w:tc>
      </w:tr>
      <w:tr w:rsidR="00EF2DDF" w:rsidRPr="007A4056" w14:paraId="57BD4B54" w14:textId="77777777" w:rsidTr="00B45532">
        <w:tc>
          <w:tcPr>
            <w:tcW w:w="715" w:type="dxa"/>
            <w:tcBorders>
              <w:top w:val="dotted" w:sz="4" w:space="0" w:color="auto"/>
              <w:bottom w:val="dotted" w:sz="4" w:space="0" w:color="auto"/>
            </w:tcBorders>
          </w:tcPr>
          <w:p w14:paraId="72C2CDA3" w14:textId="77777777" w:rsidR="00EF2DDF" w:rsidRPr="007A4056" w:rsidRDefault="00EF2DDF" w:rsidP="00102EE8">
            <w:r w:rsidRPr="007A4056">
              <w:t>2002</w:t>
            </w:r>
          </w:p>
        </w:tc>
        <w:tc>
          <w:tcPr>
            <w:tcW w:w="1316" w:type="dxa"/>
            <w:tcBorders>
              <w:top w:val="dotted" w:sz="4" w:space="0" w:color="auto"/>
              <w:bottom w:val="dotted" w:sz="4" w:space="0" w:color="auto"/>
            </w:tcBorders>
            <w:vAlign w:val="center"/>
          </w:tcPr>
          <w:p w14:paraId="3657ECA3" w14:textId="77777777" w:rsidR="00EF2DDF" w:rsidRPr="007A4056" w:rsidRDefault="00EF2DDF" w:rsidP="00102EE8"/>
        </w:tc>
        <w:tc>
          <w:tcPr>
            <w:tcW w:w="1316" w:type="dxa"/>
            <w:tcBorders>
              <w:top w:val="dotted" w:sz="4" w:space="0" w:color="auto"/>
              <w:bottom w:val="dotted" w:sz="4" w:space="0" w:color="auto"/>
            </w:tcBorders>
            <w:vAlign w:val="center"/>
          </w:tcPr>
          <w:p w14:paraId="661DFDF5" w14:textId="77777777" w:rsidR="00EF2DDF" w:rsidRPr="007A4056" w:rsidRDefault="00EF2DDF" w:rsidP="00102EE8"/>
        </w:tc>
        <w:tc>
          <w:tcPr>
            <w:tcW w:w="1317" w:type="dxa"/>
            <w:tcBorders>
              <w:top w:val="dotted" w:sz="4" w:space="0" w:color="auto"/>
              <w:bottom w:val="dotted" w:sz="4" w:space="0" w:color="auto"/>
              <w:right w:val="dotted" w:sz="4" w:space="0" w:color="auto"/>
            </w:tcBorders>
            <w:vAlign w:val="center"/>
          </w:tcPr>
          <w:p w14:paraId="27A48A8E" w14:textId="77777777" w:rsidR="00EF2DDF" w:rsidRPr="007A4056" w:rsidRDefault="00EF2DDF" w:rsidP="00102EE8"/>
        </w:tc>
        <w:tc>
          <w:tcPr>
            <w:tcW w:w="1316" w:type="dxa"/>
            <w:tcBorders>
              <w:top w:val="dotted" w:sz="4" w:space="0" w:color="auto"/>
              <w:left w:val="dotted" w:sz="4" w:space="0" w:color="auto"/>
              <w:bottom w:val="dotted" w:sz="4" w:space="0" w:color="auto"/>
            </w:tcBorders>
            <w:vAlign w:val="center"/>
          </w:tcPr>
          <w:p w14:paraId="6E64284C" w14:textId="77777777" w:rsidR="00EF2DDF" w:rsidRPr="007A4056" w:rsidRDefault="00EF2DDF" w:rsidP="00102EE8"/>
        </w:tc>
        <w:tc>
          <w:tcPr>
            <w:tcW w:w="1316" w:type="dxa"/>
            <w:tcBorders>
              <w:top w:val="dotted" w:sz="4" w:space="0" w:color="auto"/>
              <w:bottom w:val="dotted" w:sz="4" w:space="0" w:color="auto"/>
            </w:tcBorders>
            <w:vAlign w:val="center"/>
          </w:tcPr>
          <w:p w14:paraId="136AED17" w14:textId="77777777" w:rsidR="00EF2DDF" w:rsidRPr="007A4056" w:rsidRDefault="00EF2DDF" w:rsidP="00102EE8"/>
        </w:tc>
        <w:tc>
          <w:tcPr>
            <w:tcW w:w="1317" w:type="dxa"/>
            <w:tcBorders>
              <w:top w:val="dotted" w:sz="4" w:space="0" w:color="auto"/>
              <w:bottom w:val="dotted" w:sz="4" w:space="0" w:color="auto"/>
            </w:tcBorders>
            <w:vAlign w:val="center"/>
          </w:tcPr>
          <w:p w14:paraId="08163A0A" w14:textId="77777777" w:rsidR="00EF2DDF" w:rsidRPr="007A4056" w:rsidRDefault="00EF2DDF" w:rsidP="00102EE8"/>
        </w:tc>
      </w:tr>
      <w:tr w:rsidR="00EF2DDF" w:rsidRPr="007A4056" w14:paraId="1F3D5C41" w14:textId="77777777" w:rsidTr="00B45532">
        <w:tc>
          <w:tcPr>
            <w:tcW w:w="715" w:type="dxa"/>
            <w:tcBorders>
              <w:top w:val="dotted" w:sz="4" w:space="0" w:color="auto"/>
              <w:bottom w:val="dotted" w:sz="4" w:space="0" w:color="auto"/>
            </w:tcBorders>
          </w:tcPr>
          <w:p w14:paraId="13FFAA1D" w14:textId="77777777" w:rsidR="00EF2DDF" w:rsidRPr="007A4056" w:rsidRDefault="00EF2DDF" w:rsidP="00102EE8">
            <w:r w:rsidRPr="007A4056">
              <w:t>2003</w:t>
            </w:r>
          </w:p>
        </w:tc>
        <w:tc>
          <w:tcPr>
            <w:tcW w:w="1316" w:type="dxa"/>
            <w:tcBorders>
              <w:top w:val="dotted" w:sz="4" w:space="0" w:color="auto"/>
              <w:bottom w:val="dotted" w:sz="4" w:space="0" w:color="auto"/>
            </w:tcBorders>
            <w:vAlign w:val="center"/>
          </w:tcPr>
          <w:p w14:paraId="522DD0C8" w14:textId="77777777" w:rsidR="00EF2DDF" w:rsidRPr="007A4056" w:rsidRDefault="00EF2DDF" w:rsidP="00102EE8"/>
        </w:tc>
        <w:tc>
          <w:tcPr>
            <w:tcW w:w="1316" w:type="dxa"/>
            <w:tcBorders>
              <w:top w:val="dotted" w:sz="4" w:space="0" w:color="auto"/>
              <w:bottom w:val="dotted" w:sz="4" w:space="0" w:color="auto"/>
            </w:tcBorders>
            <w:vAlign w:val="center"/>
          </w:tcPr>
          <w:p w14:paraId="42AF75FA" w14:textId="77777777" w:rsidR="00EF2DDF" w:rsidRPr="007A4056" w:rsidRDefault="00EF2DDF" w:rsidP="00102EE8"/>
        </w:tc>
        <w:tc>
          <w:tcPr>
            <w:tcW w:w="1317" w:type="dxa"/>
            <w:tcBorders>
              <w:top w:val="dotted" w:sz="4" w:space="0" w:color="auto"/>
              <w:bottom w:val="dotted" w:sz="4" w:space="0" w:color="auto"/>
              <w:right w:val="dotted" w:sz="4" w:space="0" w:color="auto"/>
            </w:tcBorders>
            <w:vAlign w:val="center"/>
          </w:tcPr>
          <w:p w14:paraId="604DD22F" w14:textId="77777777" w:rsidR="00EF2DDF" w:rsidRPr="007A4056" w:rsidRDefault="00EF2DDF" w:rsidP="00102EE8"/>
        </w:tc>
        <w:tc>
          <w:tcPr>
            <w:tcW w:w="1316" w:type="dxa"/>
            <w:tcBorders>
              <w:top w:val="dotted" w:sz="4" w:space="0" w:color="auto"/>
              <w:left w:val="dotted" w:sz="4" w:space="0" w:color="auto"/>
              <w:bottom w:val="dotted" w:sz="4" w:space="0" w:color="auto"/>
            </w:tcBorders>
            <w:vAlign w:val="center"/>
          </w:tcPr>
          <w:p w14:paraId="2485312A" w14:textId="77777777" w:rsidR="00EF2DDF" w:rsidRPr="007A4056" w:rsidRDefault="00EF2DDF" w:rsidP="00102EE8"/>
        </w:tc>
        <w:tc>
          <w:tcPr>
            <w:tcW w:w="1316" w:type="dxa"/>
            <w:tcBorders>
              <w:top w:val="dotted" w:sz="4" w:space="0" w:color="auto"/>
              <w:bottom w:val="dotted" w:sz="4" w:space="0" w:color="auto"/>
            </w:tcBorders>
            <w:vAlign w:val="center"/>
          </w:tcPr>
          <w:p w14:paraId="24BBD4CD" w14:textId="77777777" w:rsidR="00EF2DDF" w:rsidRPr="007A4056" w:rsidRDefault="00EF2DDF" w:rsidP="00102EE8"/>
        </w:tc>
        <w:tc>
          <w:tcPr>
            <w:tcW w:w="1317" w:type="dxa"/>
            <w:tcBorders>
              <w:top w:val="dotted" w:sz="4" w:space="0" w:color="auto"/>
              <w:bottom w:val="dotted" w:sz="4" w:space="0" w:color="auto"/>
            </w:tcBorders>
            <w:vAlign w:val="center"/>
          </w:tcPr>
          <w:p w14:paraId="54DF8D52" w14:textId="77777777" w:rsidR="00EF2DDF" w:rsidRPr="007A4056" w:rsidRDefault="00EF2DDF" w:rsidP="00102EE8"/>
        </w:tc>
      </w:tr>
      <w:tr w:rsidR="00EF2DDF" w:rsidRPr="007A4056" w14:paraId="12F260B1" w14:textId="77777777" w:rsidTr="00B45532">
        <w:tc>
          <w:tcPr>
            <w:tcW w:w="715" w:type="dxa"/>
            <w:tcBorders>
              <w:top w:val="dotted" w:sz="4" w:space="0" w:color="auto"/>
              <w:bottom w:val="dotted" w:sz="4" w:space="0" w:color="auto"/>
            </w:tcBorders>
          </w:tcPr>
          <w:p w14:paraId="1008FECF" w14:textId="77777777" w:rsidR="00EF2DDF" w:rsidRPr="007A4056" w:rsidRDefault="00EF2DDF" w:rsidP="00102EE8">
            <w:r w:rsidRPr="007A4056">
              <w:t>2004</w:t>
            </w:r>
          </w:p>
        </w:tc>
        <w:tc>
          <w:tcPr>
            <w:tcW w:w="1316" w:type="dxa"/>
            <w:tcBorders>
              <w:top w:val="dotted" w:sz="4" w:space="0" w:color="auto"/>
              <w:bottom w:val="dotted" w:sz="4" w:space="0" w:color="auto"/>
            </w:tcBorders>
            <w:vAlign w:val="center"/>
          </w:tcPr>
          <w:p w14:paraId="442412D5" w14:textId="77777777" w:rsidR="00EF2DDF" w:rsidRPr="007A4056" w:rsidRDefault="00EF2DDF" w:rsidP="00102EE8"/>
        </w:tc>
        <w:tc>
          <w:tcPr>
            <w:tcW w:w="1316" w:type="dxa"/>
            <w:tcBorders>
              <w:top w:val="dotted" w:sz="4" w:space="0" w:color="auto"/>
              <w:bottom w:val="dotted" w:sz="4" w:space="0" w:color="auto"/>
            </w:tcBorders>
            <w:vAlign w:val="center"/>
          </w:tcPr>
          <w:p w14:paraId="36F341BB" w14:textId="77777777" w:rsidR="00EF2DDF" w:rsidRPr="007A4056" w:rsidRDefault="00EF2DDF" w:rsidP="00102EE8"/>
        </w:tc>
        <w:tc>
          <w:tcPr>
            <w:tcW w:w="1317" w:type="dxa"/>
            <w:tcBorders>
              <w:top w:val="dotted" w:sz="4" w:space="0" w:color="auto"/>
              <w:bottom w:val="dotted" w:sz="4" w:space="0" w:color="auto"/>
              <w:right w:val="dotted" w:sz="4" w:space="0" w:color="auto"/>
            </w:tcBorders>
            <w:vAlign w:val="center"/>
          </w:tcPr>
          <w:p w14:paraId="2D2D804C" w14:textId="77777777" w:rsidR="00EF2DDF" w:rsidRPr="007A4056" w:rsidRDefault="00EF2DDF" w:rsidP="00102EE8"/>
        </w:tc>
        <w:tc>
          <w:tcPr>
            <w:tcW w:w="1316" w:type="dxa"/>
            <w:tcBorders>
              <w:top w:val="dotted" w:sz="4" w:space="0" w:color="auto"/>
              <w:left w:val="dotted" w:sz="4" w:space="0" w:color="auto"/>
              <w:bottom w:val="dotted" w:sz="4" w:space="0" w:color="auto"/>
            </w:tcBorders>
            <w:vAlign w:val="center"/>
          </w:tcPr>
          <w:p w14:paraId="459FA386" w14:textId="77777777" w:rsidR="00EF2DDF" w:rsidRPr="007A4056" w:rsidRDefault="00EF2DDF" w:rsidP="00102EE8"/>
        </w:tc>
        <w:tc>
          <w:tcPr>
            <w:tcW w:w="1316" w:type="dxa"/>
            <w:tcBorders>
              <w:top w:val="dotted" w:sz="4" w:space="0" w:color="auto"/>
              <w:bottom w:val="dotted" w:sz="4" w:space="0" w:color="auto"/>
            </w:tcBorders>
            <w:vAlign w:val="center"/>
          </w:tcPr>
          <w:p w14:paraId="18512333" w14:textId="77777777" w:rsidR="00EF2DDF" w:rsidRPr="007A4056" w:rsidRDefault="00EF2DDF" w:rsidP="00102EE8"/>
        </w:tc>
        <w:tc>
          <w:tcPr>
            <w:tcW w:w="1317" w:type="dxa"/>
            <w:tcBorders>
              <w:top w:val="dotted" w:sz="4" w:space="0" w:color="auto"/>
              <w:bottom w:val="dotted" w:sz="4" w:space="0" w:color="auto"/>
            </w:tcBorders>
            <w:vAlign w:val="center"/>
          </w:tcPr>
          <w:p w14:paraId="7BC014FE" w14:textId="77777777" w:rsidR="00EF2DDF" w:rsidRPr="007A4056" w:rsidRDefault="00EF2DDF" w:rsidP="00102EE8"/>
        </w:tc>
      </w:tr>
      <w:tr w:rsidR="00EF2DDF" w:rsidRPr="007A4056" w14:paraId="1E3505EF" w14:textId="77777777" w:rsidTr="00B45532">
        <w:tc>
          <w:tcPr>
            <w:tcW w:w="715" w:type="dxa"/>
            <w:tcBorders>
              <w:top w:val="dotted" w:sz="4" w:space="0" w:color="auto"/>
              <w:bottom w:val="dotted" w:sz="4" w:space="0" w:color="auto"/>
            </w:tcBorders>
          </w:tcPr>
          <w:p w14:paraId="7774290F" w14:textId="77777777" w:rsidR="00EF2DDF" w:rsidRPr="007A4056" w:rsidRDefault="00EF2DDF" w:rsidP="00102EE8">
            <w:r w:rsidRPr="007A4056">
              <w:t>2005</w:t>
            </w:r>
          </w:p>
        </w:tc>
        <w:tc>
          <w:tcPr>
            <w:tcW w:w="1316" w:type="dxa"/>
            <w:tcBorders>
              <w:top w:val="dotted" w:sz="4" w:space="0" w:color="auto"/>
              <w:bottom w:val="dotted" w:sz="4" w:space="0" w:color="auto"/>
            </w:tcBorders>
            <w:vAlign w:val="center"/>
          </w:tcPr>
          <w:p w14:paraId="3E581E95" w14:textId="77777777" w:rsidR="00EF2DDF" w:rsidRPr="007A4056" w:rsidRDefault="00EF2DDF" w:rsidP="00102EE8"/>
        </w:tc>
        <w:tc>
          <w:tcPr>
            <w:tcW w:w="1316" w:type="dxa"/>
            <w:tcBorders>
              <w:top w:val="dotted" w:sz="4" w:space="0" w:color="auto"/>
              <w:bottom w:val="dotted" w:sz="4" w:space="0" w:color="auto"/>
            </w:tcBorders>
            <w:vAlign w:val="center"/>
          </w:tcPr>
          <w:p w14:paraId="559A16F7" w14:textId="77777777" w:rsidR="00EF2DDF" w:rsidRPr="007A4056" w:rsidRDefault="00EF2DDF" w:rsidP="00102EE8"/>
        </w:tc>
        <w:tc>
          <w:tcPr>
            <w:tcW w:w="1317" w:type="dxa"/>
            <w:tcBorders>
              <w:top w:val="dotted" w:sz="4" w:space="0" w:color="auto"/>
              <w:bottom w:val="dotted" w:sz="4" w:space="0" w:color="auto"/>
              <w:right w:val="dotted" w:sz="4" w:space="0" w:color="auto"/>
            </w:tcBorders>
            <w:vAlign w:val="center"/>
          </w:tcPr>
          <w:p w14:paraId="136FDD98" w14:textId="77777777" w:rsidR="00EF2DDF" w:rsidRPr="007A4056" w:rsidRDefault="00EF2DDF" w:rsidP="00102EE8"/>
        </w:tc>
        <w:tc>
          <w:tcPr>
            <w:tcW w:w="1316" w:type="dxa"/>
            <w:tcBorders>
              <w:top w:val="dotted" w:sz="4" w:space="0" w:color="auto"/>
              <w:left w:val="dotted" w:sz="4" w:space="0" w:color="auto"/>
              <w:bottom w:val="dotted" w:sz="4" w:space="0" w:color="auto"/>
            </w:tcBorders>
            <w:vAlign w:val="center"/>
          </w:tcPr>
          <w:p w14:paraId="4594DE38" w14:textId="77777777" w:rsidR="00EF2DDF" w:rsidRPr="007A4056" w:rsidRDefault="00EF2DDF" w:rsidP="00102EE8"/>
        </w:tc>
        <w:tc>
          <w:tcPr>
            <w:tcW w:w="1316" w:type="dxa"/>
            <w:tcBorders>
              <w:top w:val="dotted" w:sz="4" w:space="0" w:color="auto"/>
              <w:bottom w:val="dotted" w:sz="4" w:space="0" w:color="auto"/>
            </w:tcBorders>
            <w:vAlign w:val="center"/>
          </w:tcPr>
          <w:p w14:paraId="7B1DE78D" w14:textId="77777777" w:rsidR="00EF2DDF" w:rsidRPr="007A4056" w:rsidRDefault="00EF2DDF" w:rsidP="00102EE8"/>
        </w:tc>
        <w:tc>
          <w:tcPr>
            <w:tcW w:w="1317" w:type="dxa"/>
            <w:tcBorders>
              <w:top w:val="dotted" w:sz="4" w:space="0" w:color="auto"/>
              <w:bottom w:val="dotted" w:sz="4" w:space="0" w:color="auto"/>
            </w:tcBorders>
            <w:vAlign w:val="center"/>
          </w:tcPr>
          <w:p w14:paraId="45490AED" w14:textId="77777777" w:rsidR="00EF2DDF" w:rsidRPr="007A4056" w:rsidRDefault="00EF2DDF" w:rsidP="00102EE8"/>
        </w:tc>
      </w:tr>
      <w:tr w:rsidR="00EF2DDF" w:rsidRPr="007A4056" w14:paraId="15304D19" w14:textId="77777777" w:rsidTr="00B45532">
        <w:tc>
          <w:tcPr>
            <w:tcW w:w="715" w:type="dxa"/>
            <w:tcBorders>
              <w:top w:val="dotted" w:sz="4" w:space="0" w:color="auto"/>
              <w:bottom w:val="dotted" w:sz="4" w:space="0" w:color="auto"/>
            </w:tcBorders>
          </w:tcPr>
          <w:p w14:paraId="73316183" w14:textId="77777777" w:rsidR="00EF2DDF" w:rsidRPr="007A4056" w:rsidRDefault="00EF2DDF" w:rsidP="00102EE8">
            <w:r w:rsidRPr="007A4056">
              <w:t>2006</w:t>
            </w:r>
          </w:p>
        </w:tc>
        <w:tc>
          <w:tcPr>
            <w:tcW w:w="1316" w:type="dxa"/>
            <w:tcBorders>
              <w:top w:val="dotted" w:sz="4" w:space="0" w:color="auto"/>
              <w:bottom w:val="dotted" w:sz="4" w:space="0" w:color="auto"/>
            </w:tcBorders>
            <w:vAlign w:val="center"/>
          </w:tcPr>
          <w:p w14:paraId="4876C790" w14:textId="77777777" w:rsidR="00EF2DDF" w:rsidRPr="007A4056" w:rsidRDefault="00EF2DDF" w:rsidP="00102EE8"/>
        </w:tc>
        <w:tc>
          <w:tcPr>
            <w:tcW w:w="1316" w:type="dxa"/>
            <w:tcBorders>
              <w:top w:val="dotted" w:sz="4" w:space="0" w:color="auto"/>
              <w:bottom w:val="dotted" w:sz="4" w:space="0" w:color="auto"/>
            </w:tcBorders>
            <w:vAlign w:val="center"/>
          </w:tcPr>
          <w:p w14:paraId="0FD2CB96" w14:textId="77777777" w:rsidR="00EF2DDF" w:rsidRPr="007A4056" w:rsidRDefault="00EF2DDF" w:rsidP="00102EE8"/>
        </w:tc>
        <w:tc>
          <w:tcPr>
            <w:tcW w:w="1317" w:type="dxa"/>
            <w:tcBorders>
              <w:top w:val="dotted" w:sz="4" w:space="0" w:color="auto"/>
              <w:bottom w:val="dotted" w:sz="4" w:space="0" w:color="auto"/>
              <w:right w:val="dotted" w:sz="4" w:space="0" w:color="auto"/>
            </w:tcBorders>
            <w:vAlign w:val="center"/>
          </w:tcPr>
          <w:p w14:paraId="24D8FF07" w14:textId="77777777" w:rsidR="00EF2DDF" w:rsidRPr="007A4056" w:rsidRDefault="00EF2DDF" w:rsidP="00102EE8"/>
        </w:tc>
        <w:tc>
          <w:tcPr>
            <w:tcW w:w="1316" w:type="dxa"/>
            <w:tcBorders>
              <w:top w:val="dotted" w:sz="4" w:space="0" w:color="auto"/>
              <w:left w:val="dotted" w:sz="4" w:space="0" w:color="auto"/>
              <w:bottom w:val="dotted" w:sz="4" w:space="0" w:color="auto"/>
            </w:tcBorders>
            <w:vAlign w:val="center"/>
          </w:tcPr>
          <w:p w14:paraId="33BC7899" w14:textId="77777777" w:rsidR="00EF2DDF" w:rsidRPr="007A4056" w:rsidRDefault="00EF2DDF" w:rsidP="00102EE8"/>
        </w:tc>
        <w:tc>
          <w:tcPr>
            <w:tcW w:w="1316" w:type="dxa"/>
            <w:tcBorders>
              <w:top w:val="dotted" w:sz="4" w:space="0" w:color="auto"/>
              <w:bottom w:val="dotted" w:sz="4" w:space="0" w:color="auto"/>
            </w:tcBorders>
            <w:vAlign w:val="center"/>
          </w:tcPr>
          <w:p w14:paraId="606B633E" w14:textId="77777777" w:rsidR="00EF2DDF" w:rsidRPr="007A4056" w:rsidRDefault="00EF2DDF" w:rsidP="00102EE8"/>
        </w:tc>
        <w:tc>
          <w:tcPr>
            <w:tcW w:w="1317" w:type="dxa"/>
            <w:tcBorders>
              <w:top w:val="dotted" w:sz="4" w:space="0" w:color="auto"/>
              <w:bottom w:val="dotted" w:sz="4" w:space="0" w:color="auto"/>
            </w:tcBorders>
            <w:vAlign w:val="center"/>
          </w:tcPr>
          <w:p w14:paraId="12CB1D50" w14:textId="77777777" w:rsidR="00EF2DDF" w:rsidRPr="007A4056" w:rsidRDefault="00EF2DDF" w:rsidP="00102EE8"/>
        </w:tc>
      </w:tr>
      <w:tr w:rsidR="00EF2DDF" w:rsidRPr="007A4056" w14:paraId="7EAE9D26" w14:textId="77777777" w:rsidTr="00B45532">
        <w:tc>
          <w:tcPr>
            <w:tcW w:w="715" w:type="dxa"/>
            <w:tcBorders>
              <w:top w:val="dotted" w:sz="4" w:space="0" w:color="auto"/>
              <w:bottom w:val="dotted" w:sz="4" w:space="0" w:color="auto"/>
            </w:tcBorders>
          </w:tcPr>
          <w:p w14:paraId="790A730C" w14:textId="77777777" w:rsidR="00EF2DDF" w:rsidRPr="007A4056" w:rsidRDefault="00EF2DDF" w:rsidP="00102EE8">
            <w:r w:rsidRPr="007A4056">
              <w:t>2007</w:t>
            </w:r>
          </w:p>
        </w:tc>
        <w:tc>
          <w:tcPr>
            <w:tcW w:w="1316" w:type="dxa"/>
            <w:tcBorders>
              <w:top w:val="dotted" w:sz="4" w:space="0" w:color="auto"/>
              <w:bottom w:val="dotted" w:sz="4" w:space="0" w:color="auto"/>
            </w:tcBorders>
            <w:vAlign w:val="center"/>
          </w:tcPr>
          <w:p w14:paraId="20EC91B1" w14:textId="77777777" w:rsidR="00EF2DDF" w:rsidRPr="007A4056" w:rsidRDefault="00EF2DDF" w:rsidP="00102EE8"/>
        </w:tc>
        <w:tc>
          <w:tcPr>
            <w:tcW w:w="1316" w:type="dxa"/>
            <w:tcBorders>
              <w:top w:val="dotted" w:sz="4" w:space="0" w:color="auto"/>
              <w:bottom w:val="dotted" w:sz="4" w:space="0" w:color="auto"/>
            </w:tcBorders>
            <w:vAlign w:val="center"/>
          </w:tcPr>
          <w:p w14:paraId="2E9DF05E" w14:textId="77777777" w:rsidR="00EF2DDF" w:rsidRPr="007A4056" w:rsidRDefault="00EF2DDF" w:rsidP="00102EE8"/>
        </w:tc>
        <w:tc>
          <w:tcPr>
            <w:tcW w:w="1317" w:type="dxa"/>
            <w:tcBorders>
              <w:top w:val="dotted" w:sz="4" w:space="0" w:color="auto"/>
              <w:bottom w:val="dotted" w:sz="4" w:space="0" w:color="auto"/>
              <w:right w:val="dotted" w:sz="4" w:space="0" w:color="auto"/>
            </w:tcBorders>
            <w:vAlign w:val="center"/>
          </w:tcPr>
          <w:p w14:paraId="7C1B2168" w14:textId="77777777" w:rsidR="00EF2DDF" w:rsidRPr="007A4056" w:rsidRDefault="00EF2DDF" w:rsidP="00102EE8"/>
        </w:tc>
        <w:tc>
          <w:tcPr>
            <w:tcW w:w="1316" w:type="dxa"/>
            <w:tcBorders>
              <w:top w:val="dotted" w:sz="4" w:space="0" w:color="auto"/>
              <w:left w:val="dotted" w:sz="4" w:space="0" w:color="auto"/>
              <w:bottom w:val="dotted" w:sz="4" w:space="0" w:color="auto"/>
            </w:tcBorders>
            <w:vAlign w:val="center"/>
          </w:tcPr>
          <w:p w14:paraId="37DD9C20" w14:textId="77777777" w:rsidR="00EF2DDF" w:rsidRPr="007A4056" w:rsidRDefault="00EF2DDF" w:rsidP="00102EE8"/>
        </w:tc>
        <w:tc>
          <w:tcPr>
            <w:tcW w:w="1316" w:type="dxa"/>
            <w:tcBorders>
              <w:top w:val="dotted" w:sz="4" w:space="0" w:color="auto"/>
              <w:bottom w:val="dotted" w:sz="4" w:space="0" w:color="auto"/>
            </w:tcBorders>
            <w:vAlign w:val="center"/>
          </w:tcPr>
          <w:p w14:paraId="4BBB4F84" w14:textId="77777777" w:rsidR="00EF2DDF" w:rsidRPr="007A4056" w:rsidRDefault="00EF2DDF" w:rsidP="00102EE8"/>
        </w:tc>
        <w:tc>
          <w:tcPr>
            <w:tcW w:w="1317" w:type="dxa"/>
            <w:tcBorders>
              <w:top w:val="dotted" w:sz="4" w:space="0" w:color="auto"/>
              <w:bottom w:val="dotted" w:sz="4" w:space="0" w:color="auto"/>
            </w:tcBorders>
            <w:vAlign w:val="center"/>
          </w:tcPr>
          <w:p w14:paraId="6BE65743" w14:textId="77777777" w:rsidR="00EF2DDF" w:rsidRPr="007A4056" w:rsidRDefault="00EF2DDF" w:rsidP="00102EE8"/>
        </w:tc>
      </w:tr>
      <w:tr w:rsidR="00EF2DDF" w:rsidRPr="007A4056" w14:paraId="75610C8F" w14:textId="77777777" w:rsidTr="00B45532">
        <w:tc>
          <w:tcPr>
            <w:tcW w:w="715" w:type="dxa"/>
            <w:tcBorders>
              <w:top w:val="dotted" w:sz="4" w:space="0" w:color="auto"/>
              <w:bottom w:val="dotted" w:sz="4" w:space="0" w:color="auto"/>
            </w:tcBorders>
          </w:tcPr>
          <w:p w14:paraId="0BCFA5BB" w14:textId="77777777" w:rsidR="00EF2DDF" w:rsidRPr="007A4056" w:rsidRDefault="00EF2DDF" w:rsidP="00102EE8">
            <w:r w:rsidRPr="007A4056">
              <w:t>2008</w:t>
            </w:r>
          </w:p>
        </w:tc>
        <w:tc>
          <w:tcPr>
            <w:tcW w:w="1316" w:type="dxa"/>
            <w:tcBorders>
              <w:top w:val="dotted" w:sz="4" w:space="0" w:color="auto"/>
              <w:bottom w:val="dotted" w:sz="4" w:space="0" w:color="auto"/>
            </w:tcBorders>
            <w:vAlign w:val="center"/>
          </w:tcPr>
          <w:p w14:paraId="3815B234" w14:textId="77777777" w:rsidR="00EF2DDF" w:rsidRPr="007A4056" w:rsidRDefault="00EF2DDF" w:rsidP="00102EE8"/>
        </w:tc>
        <w:tc>
          <w:tcPr>
            <w:tcW w:w="1316" w:type="dxa"/>
            <w:tcBorders>
              <w:top w:val="dotted" w:sz="4" w:space="0" w:color="auto"/>
              <w:bottom w:val="dotted" w:sz="4" w:space="0" w:color="auto"/>
            </w:tcBorders>
            <w:vAlign w:val="center"/>
          </w:tcPr>
          <w:p w14:paraId="3362425E" w14:textId="77777777" w:rsidR="00EF2DDF" w:rsidRPr="007A4056" w:rsidRDefault="00EF2DDF" w:rsidP="00102EE8"/>
        </w:tc>
        <w:tc>
          <w:tcPr>
            <w:tcW w:w="1317" w:type="dxa"/>
            <w:tcBorders>
              <w:top w:val="dotted" w:sz="4" w:space="0" w:color="auto"/>
              <w:bottom w:val="dotted" w:sz="4" w:space="0" w:color="auto"/>
              <w:right w:val="dotted" w:sz="4" w:space="0" w:color="auto"/>
            </w:tcBorders>
            <w:vAlign w:val="center"/>
          </w:tcPr>
          <w:p w14:paraId="5B98E2F1" w14:textId="77777777" w:rsidR="00EF2DDF" w:rsidRPr="007A4056" w:rsidRDefault="00EF2DDF" w:rsidP="00102EE8"/>
        </w:tc>
        <w:tc>
          <w:tcPr>
            <w:tcW w:w="1316" w:type="dxa"/>
            <w:tcBorders>
              <w:top w:val="dotted" w:sz="4" w:space="0" w:color="auto"/>
              <w:left w:val="dotted" w:sz="4" w:space="0" w:color="auto"/>
              <w:bottom w:val="dotted" w:sz="4" w:space="0" w:color="auto"/>
            </w:tcBorders>
            <w:vAlign w:val="center"/>
          </w:tcPr>
          <w:p w14:paraId="13472CBE" w14:textId="77777777" w:rsidR="00EF2DDF" w:rsidRPr="007A4056" w:rsidRDefault="00EF2DDF" w:rsidP="00102EE8"/>
        </w:tc>
        <w:tc>
          <w:tcPr>
            <w:tcW w:w="1316" w:type="dxa"/>
            <w:tcBorders>
              <w:top w:val="dotted" w:sz="4" w:space="0" w:color="auto"/>
              <w:bottom w:val="dotted" w:sz="4" w:space="0" w:color="auto"/>
            </w:tcBorders>
            <w:vAlign w:val="center"/>
          </w:tcPr>
          <w:p w14:paraId="2C8C2BCC" w14:textId="77777777" w:rsidR="00EF2DDF" w:rsidRPr="007A4056" w:rsidRDefault="00EF2DDF" w:rsidP="00102EE8"/>
        </w:tc>
        <w:tc>
          <w:tcPr>
            <w:tcW w:w="1317" w:type="dxa"/>
            <w:tcBorders>
              <w:top w:val="dotted" w:sz="4" w:space="0" w:color="auto"/>
              <w:bottom w:val="dotted" w:sz="4" w:space="0" w:color="auto"/>
            </w:tcBorders>
            <w:vAlign w:val="center"/>
          </w:tcPr>
          <w:p w14:paraId="1879027C" w14:textId="77777777" w:rsidR="00EF2DDF" w:rsidRPr="007A4056" w:rsidRDefault="00EF2DDF" w:rsidP="00102EE8"/>
        </w:tc>
      </w:tr>
      <w:tr w:rsidR="00EF2DDF" w:rsidRPr="007A4056" w14:paraId="149EA1E9" w14:textId="77777777" w:rsidTr="00B45532">
        <w:tc>
          <w:tcPr>
            <w:tcW w:w="715" w:type="dxa"/>
            <w:tcBorders>
              <w:top w:val="dotted" w:sz="4" w:space="0" w:color="auto"/>
              <w:bottom w:val="dotted" w:sz="4" w:space="0" w:color="auto"/>
            </w:tcBorders>
          </w:tcPr>
          <w:p w14:paraId="272BCF06" w14:textId="77777777" w:rsidR="00EF2DDF" w:rsidRPr="007A4056" w:rsidRDefault="00EF2DDF" w:rsidP="00102EE8">
            <w:r w:rsidRPr="007A4056">
              <w:t>2009</w:t>
            </w:r>
          </w:p>
        </w:tc>
        <w:tc>
          <w:tcPr>
            <w:tcW w:w="1316" w:type="dxa"/>
            <w:tcBorders>
              <w:top w:val="dotted" w:sz="4" w:space="0" w:color="auto"/>
              <w:bottom w:val="dotted" w:sz="4" w:space="0" w:color="auto"/>
            </w:tcBorders>
            <w:vAlign w:val="center"/>
          </w:tcPr>
          <w:p w14:paraId="56B1E36F" w14:textId="77777777" w:rsidR="00EF2DDF" w:rsidRPr="007A4056" w:rsidRDefault="00EF2DDF" w:rsidP="00102EE8"/>
        </w:tc>
        <w:tc>
          <w:tcPr>
            <w:tcW w:w="1316" w:type="dxa"/>
            <w:tcBorders>
              <w:top w:val="dotted" w:sz="4" w:space="0" w:color="auto"/>
              <w:bottom w:val="dotted" w:sz="4" w:space="0" w:color="auto"/>
            </w:tcBorders>
            <w:vAlign w:val="center"/>
          </w:tcPr>
          <w:p w14:paraId="016EF364" w14:textId="77777777" w:rsidR="00EF2DDF" w:rsidRPr="007A4056" w:rsidRDefault="00EF2DDF" w:rsidP="00102EE8"/>
        </w:tc>
        <w:tc>
          <w:tcPr>
            <w:tcW w:w="1317" w:type="dxa"/>
            <w:tcBorders>
              <w:top w:val="dotted" w:sz="4" w:space="0" w:color="auto"/>
              <w:bottom w:val="dotted" w:sz="4" w:space="0" w:color="auto"/>
              <w:right w:val="dotted" w:sz="4" w:space="0" w:color="auto"/>
            </w:tcBorders>
            <w:vAlign w:val="center"/>
          </w:tcPr>
          <w:p w14:paraId="187C038B" w14:textId="77777777" w:rsidR="00EF2DDF" w:rsidRPr="007A4056" w:rsidRDefault="00EF2DDF" w:rsidP="00102EE8"/>
        </w:tc>
        <w:tc>
          <w:tcPr>
            <w:tcW w:w="1316" w:type="dxa"/>
            <w:tcBorders>
              <w:top w:val="dotted" w:sz="4" w:space="0" w:color="auto"/>
              <w:left w:val="dotted" w:sz="4" w:space="0" w:color="auto"/>
              <w:bottom w:val="dotted" w:sz="4" w:space="0" w:color="auto"/>
            </w:tcBorders>
            <w:vAlign w:val="center"/>
          </w:tcPr>
          <w:p w14:paraId="68A0B885" w14:textId="77777777" w:rsidR="00EF2DDF" w:rsidRPr="007A4056" w:rsidRDefault="00EF2DDF" w:rsidP="00102EE8"/>
        </w:tc>
        <w:tc>
          <w:tcPr>
            <w:tcW w:w="1316" w:type="dxa"/>
            <w:tcBorders>
              <w:top w:val="dotted" w:sz="4" w:space="0" w:color="auto"/>
              <w:bottom w:val="dotted" w:sz="4" w:space="0" w:color="auto"/>
            </w:tcBorders>
            <w:vAlign w:val="center"/>
          </w:tcPr>
          <w:p w14:paraId="78D3C787" w14:textId="77777777" w:rsidR="00EF2DDF" w:rsidRPr="007A4056" w:rsidRDefault="00EF2DDF" w:rsidP="00102EE8"/>
        </w:tc>
        <w:tc>
          <w:tcPr>
            <w:tcW w:w="1317" w:type="dxa"/>
            <w:tcBorders>
              <w:top w:val="dotted" w:sz="4" w:space="0" w:color="auto"/>
              <w:bottom w:val="dotted" w:sz="4" w:space="0" w:color="auto"/>
            </w:tcBorders>
            <w:vAlign w:val="center"/>
          </w:tcPr>
          <w:p w14:paraId="6F9A7C47" w14:textId="77777777" w:rsidR="00EF2DDF" w:rsidRPr="007A4056" w:rsidRDefault="00EF2DDF" w:rsidP="00102EE8"/>
        </w:tc>
      </w:tr>
      <w:tr w:rsidR="00EF2DDF" w:rsidRPr="007A4056" w14:paraId="48755E18" w14:textId="77777777" w:rsidTr="00B45532">
        <w:tc>
          <w:tcPr>
            <w:tcW w:w="715" w:type="dxa"/>
            <w:tcBorders>
              <w:top w:val="dotted" w:sz="4" w:space="0" w:color="auto"/>
              <w:bottom w:val="dotted" w:sz="4" w:space="0" w:color="auto"/>
            </w:tcBorders>
          </w:tcPr>
          <w:p w14:paraId="24B633B3" w14:textId="77777777" w:rsidR="00EF2DDF" w:rsidRPr="007A4056" w:rsidRDefault="00EF2DDF" w:rsidP="00102EE8">
            <w:r w:rsidRPr="007A4056">
              <w:t>2010</w:t>
            </w:r>
          </w:p>
        </w:tc>
        <w:tc>
          <w:tcPr>
            <w:tcW w:w="1316" w:type="dxa"/>
            <w:tcBorders>
              <w:top w:val="dotted" w:sz="4" w:space="0" w:color="auto"/>
              <w:bottom w:val="dotted" w:sz="4" w:space="0" w:color="auto"/>
            </w:tcBorders>
            <w:vAlign w:val="center"/>
          </w:tcPr>
          <w:p w14:paraId="7CEA1B83" w14:textId="77777777" w:rsidR="00EF2DDF" w:rsidRPr="007A4056" w:rsidRDefault="00EF2DDF" w:rsidP="00102EE8"/>
        </w:tc>
        <w:tc>
          <w:tcPr>
            <w:tcW w:w="1316" w:type="dxa"/>
            <w:tcBorders>
              <w:top w:val="dotted" w:sz="4" w:space="0" w:color="auto"/>
              <w:bottom w:val="dotted" w:sz="4" w:space="0" w:color="auto"/>
            </w:tcBorders>
            <w:vAlign w:val="center"/>
          </w:tcPr>
          <w:p w14:paraId="3C2E675A" w14:textId="77777777" w:rsidR="00EF2DDF" w:rsidRPr="007A4056" w:rsidRDefault="00EF2DDF" w:rsidP="00102EE8"/>
        </w:tc>
        <w:tc>
          <w:tcPr>
            <w:tcW w:w="1317" w:type="dxa"/>
            <w:tcBorders>
              <w:top w:val="dotted" w:sz="4" w:space="0" w:color="auto"/>
              <w:bottom w:val="dotted" w:sz="4" w:space="0" w:color="auto"/>
              <w:right w:val="dotted" w:sz="4" w:space="0" w:color="auto"/>
            </w:tcBorders>
            <w:vAlign w:val="center"/>
          </w:tcPr>
          <w:p w14:paraId="5B3FBDC9" w14:textId="77777777" w:rsidR="00EF2DDF" w:rsidRPr="007A4056" w:rsidRDefault="00EF2DDF" w:rsidP="00102EE8"/>
        </w:tc>
        <w:tc>
          <w:tcPr>
            <w:tcW w:w="1316" w:type="dxa"/>
            <w:tcBorders>
              <w:top w:val="dotted" w:sz="4" w:space="0" w:color="auto"/>
              <w:left w:val="dotted" w:sz="4" w:space="0" w:color="auto"/>
              <w:bottom w:val="dotted" w:sz="4" w:space="0" w:color="auto"/>
            </w:tcBorders>
            <w:vAlign w:val="center"/>
          </w:tcPr>
          <w:p w14:paraId="3760BCE9" w14:textId="77777777" w:rsidR="00EF2DDF" w:rsidRPr="007A4056" w:rsidRDefault="00EF2DDF" w:rsidP="00102EE8"/>
        </w:tc>
        <w:tc>
          <w:tcPr>
            <w:tcW w:w="1316" w:type="dxa"/>
            <w:tcBorders>
              <w:top w:val="dotted" w:sz="4" w:space="0" w:color="auto"/>
              <w:bottom w:val="dotted" w:sz="4" w:space="0" w:color="auto"/>
            </w:tcBorders>
            <w:vAlign w:val="center"/>
          </w:tcPr>
          <w:p w14:paraId="153BF7E9" w14:textId="77777777" w:rsidR="00EF2DDF" w:rsidRPr="007A4056" w:rsidRDefault="00EF2DDF" w:rsidP="00102EE8"/>
        </w:tc>
        <w:tc>
          <w:tcPr>
            <w:tcW w:w="1317" w:type="dxa"/>
            <w:tcBorders>
              <w:top w:val="dotted" w:sz="4" w:space="0" w:color="auto"/>
              <w:bottom w:val="dotted" w:sz="4" w:space="0" w:color="auto"/>
            </w:tcBorders>
            <w:vAlign w:val="center"/>
          </w:tcPr>
          <w:p w14:paraId="38A26123" w14:textId="77777777" w:rsidR="00EF2DDF" w:rsidRPr="007A4056" w:rsidRDefault="00EF2DDF" w:rsidP="00102EE8"/>
        </w:tc>
      </w:tr>
      <w:tr w:rsidR="00EF2DDF" w:rsidRPr="007A4056" w14:paraId="49C1B7D5" w14:textId="77777777" w:rsidTr="00B45532">
        <w:tc>
          <w:tcPr>
            <w:tcW w:w="715" w:type="dxa"/>
            <w:tcBorders>
              <w:top w:val="dotted" w:sz="4" w:space="0" w:color="auto"/>
              <w:bottom w:val="dotted" w:sz="4" w:space="0" w:color="auto"/>
            </w:tcBorders>
          </w:tcPr>
          <w:p w14:paraId="59A7AB83" w14:textId="77777777" w:rsidR="00EF2DDF" w:rsidRPr="007A4056" w:rsidRDefault="00EF2DDF" w:rsidP="00102EE8">
            <w:r w:rsidRPr="007A4056">
              <w:t>2011</w:t>
            </w:r>
          </w:p>
        </w:tc>
        <w:tc>
          <w:tcPr>
            <w:tcW w:w="1316" w:type="dxa"/>
            <w:tcBorders>
              <w:top w:val="dotted" w:sz="4" w:space="0" w:color="auto"/>
              <w:bottom w:val="dotted" w:sz="4" w:space="0" w:color="auto"/>
            </w:tcBorders>
            <w:vAlign w:val="center"/>
          </w:tcPr>
          <w:p w14:paraId="106BB6E8" w14:textId="77777777" w:rsidR="00EF2DDF" w:rsidRPr="007A4056" w:rsidRDefault="00EF2DDF" w:rsidP="00102EE8"/>
        </w:tc>
        <w:tc>
          <w:tcPr>
            <w:tcW w:w="1316" w:type="dxa"/>
            <w:tcBorders>
              <w:top w:val="dotted" w:sz="4" w:space="0" w:color="auto"/>
              <w:bottom w:val="dotted" w:sz="4" w:space="0" w:color="auto"/>
            </w:tcBorders>
            <w:vAlign w:val="center"/>
          </w:tcPr>
          <w:p w14:paraId="0F548E7E" w14:textId="77777777" w:rsidR="00EF2DDF" w:rsidRPr="007A4056" w:rsidRDefault="00EF2DDF" w:rsidP="00102EE8"/>
        </w:tc>
        <w:tc>
          <w:tcPr>
            <w:tcW w:w="1317" w:type="dxa"/>
            <w:tcBorders>
              <w:top w:val="dotted" w:sz="4" w:space="0" w:color="auto"/>
              <w:bottom w:val="dotted" w:sz="4" w:space="0" w:color="auto"/>
              <w:right w:val="dotted" w:sz="4" w:space="0" w:color="auto"/>
            </w:tcBorders>
            <w:vAlign w:val="center"/>
          </w:tcPr>
          <w:p w14:paraId="39EB31B2" w14:textId="77777777" w:rsidR="00EF2DDF" w:rsidRPr="007A4056" w:rsidRDefault="00EF2DDF" w:rsidP="00102EE8"/>
        </w:tc>
        <w:tc>
          <w:tcPr>
            <w:tcW w:w="1316" w:type="dxa"/>
            <w:tcBorders>
              <w:top w:val="dotted" w:sz="4" w:space="0" w:color="auto"/>
              <w:left w:val="dotted" w:sz="4" w:space="0" w:color="auto"/>
              <w:bottom w:val="dotted" w:sz="4" w:space="0" w:color="auto"/>
            </w:tcBorders>
            <w:vAlign w:val="center"/>
          </w:tcPr>
          <w:p w14:paraId="0EDE3CCE" w14:textId="77777777" w:rsidR="00EF2DDF" w:rsidRPr="007A4056" w:rsidRDefault="00EF2DDF" w:rsidP="00102EE8"/>
        </w:tc>
        <w:tc>
          <w:tcPr>
            <w:tcW w:w="1316" w:type="dxa"/>
            <w:tcBorders>
              <w:top w:val="dotted" w:sz="4" w:space="0" w:color="auto"/>
              <w:bottom w:val="dotted" w:sz="4" w:space="0" w:color="auto"/>
            </w:tcBorders>
            <w:vAlign w:val="center"/>
          </w:tcPr>
          <w:p w14:paraId="7ECF54B8" w14:textId="77777777" w:rsidR="00EF2DDF" w:rsidRPr="007A4056" w:rsidRDefault="00EF2DDF" w:rsidP="00102EE8"/>
        </w:tc>
        <w:tc>
          <w:tcPr>
            <w:tcW w:w="1317" w:type="dxa"/>
            <w:tcBorders>
              <w:top w:val="dotted" w:sz="4" w:space="0" w:color="auto"/>
              <w:bottom w:val="dotted" w:sz="4" w:space="0" w:color="auto"/>
            </w:tcBorders>
            <w:vAlign w:val="center"/>
          </w:tcPr>
          <w:p w14:paraId="72F20549" w14:textId="77777777" w:rsidR="00EF2DDF" w:rsidRPr="007A4056" w:rsidRDefault="00EF2DDF" w:rsidP="00102EE8"/>
        </w:tc>
      </w:tr>
      <w:tr w:rsidR="00EF2DDF" w:rsidRPr="007A4056" w14:paraId="47D3E162" w14:textId="77777777" w:rsidTr="00B45532">
        <w:tc>
          <w:tcPr>
            <w:tcW w:w="715" w:type="dxa"/>
            <w:tcBorders>
              <w:top w:val="dotted" w:sz="4" w:space="0" w:color="auto"/>
              <w:bottom w:val="dotted" w:sz="4" w:space="0" w:color="auto"/>
            </w:tcBorders>
          </w:tcPr>
          <w:p w14:paraId="27B63907" w14:textId="77777777" w:rsidR="00EF2DDF" w:rsidRPr="007A4056" w:rsidRDefault="00EF2DDF" w:rsidP="00102EE8">
            <w:r w:rsidRPr="007A4056">
              <w:t>2012</w:t>
            </w:r>
          </w:p>
        </w:tc>
        <w:tc>
          <w:tcPr>
            <w:tcW w:w="1316" w:type="dxa"/>
            <w:tcBorders>
              <w:top w:val="dotted" w:sz="4" w:space="0" w:color="auto"/>
              <w:bottom w:val="dotted" w:sz="4" w:space="0" w:color="auto"/>
            </w:tcBorders>
            <w:vAlign w:val="center"/>
          </w:tcPr>
          <w:p w14:paraId="14B6826F" w14:textId="77777777" w:rsidR="00EF2DDF" w:rsidRPr="007A4056" w:rsidRDefault="00EF2DDF" w:rsidP="00102EE8"/>
        </w:tc>
        <w:tc>
          <w:tcPr>
            <w:tcW w:w="1316" w:type="dxa"/>
            <w:tcBorders>
              <w:top w:val="dotted" w:sz="4" w:space="0" w:color="auto"/>
              <w:bottom w:val="dotted" w:sz="4" w:space="0" w:color="auto"/>
            </w:tcBorders>
            <w:vAlign w:val="center"/>
          </w:tcPr>
          <w:p w14:paraId="38B69B57" w14:textId="77777777" w:rsidR="00EF2DDF" w:rsidRPr="007A4056" w:rsidRDefault="00EF2DDF" w:rsidP="00102EE8"/>
        </w:tc>
        <w:tc>
          <w:tcPr>
            <w:tcW w:w="1317" w:type="dxa"/>
            <w:tcBorders>
              <w:top w:val="dotted" w:sz="4" w:space="0" w:color="auto"/>
              <w:bottom w:val="dotted" w:sz="4" w:space="0" w:color="auto"/>
              <w:right w:val="dotted" w:sz="4" w:space="0" w:color="auto"/>
            </w:tcBorders>
            <w:vAlign w:val="center"/>
          </w:tcPr>
          <w:p w14:paraId="5072293A" w14:textId="77777777" w:rsidR="00EF2DDF" w:rsidRPr="007A4056" w:rsidRDefault="00EF2DDF" w:rsidP="00102EE8"/>
        </w:tc>
        <w:tc>
          <w:tcPr>
            <w:tcW w:w="1316" w:type="dxa"/>
            <w:tcBorders>
              <w:top w:val="dotted" w:sz="4" w:space="0" w:color="auto"/>
              <w:left w:val="dotted" w:sz="4" w:space="0" w:color="auto"/>
              <w:bottom w:val="dotted" w:sz="4" w:space="0" w:color="auto"/>
            </w:tcBorders>
            <w:vAlign w:val="center"/>
          </w:tcPr>
          <w:p w14:paraId="46A480FE" w14:textId="77777777" w:rsidR="00EF2DDF" w:rsidRPr="007A4056" w:rsidRDefault="00EF2DDF" w:rsidP="00102EE8"/>
        </w:tc>
        <w:tc>
          <w:tcPr>
            <w:tcW w:w="1316" w:type="dxa"/>
            <w:tcBorders>
              <w:top w:val="dotted" w:sz="4" w:space="0" w:color="auto"/>
              <w:bottom w:val="dotted" w:sz="4" w:space="0" w:color="auto"/>
            </w:tcBorders>
            <w:vAlign w:val="center"/>
          </w:tcPr>
          <w:p w14:paraId="2FF571D5" w14:textId="77777777" w:rsidR="00EF2DDF" w:rsidRPr="007A4056" w:rsidRDefault="00EF2DDF" w:rsidP="00102EE8"/>
        </w:tc>
        <w:tc>
          <w:tcPr>
            <w:tcW w:w="1317" w:type="dxa"/>
            <w:tcBorders>
              <w:top w:val="dotted" w:sz="4" w:space="0" w:color="auto"/>
              <w:bottom w:val="dotted" w:sz="4" w:space="0" w:color="auto"/>
            </w:tcBorders>
            <w:vAlign w:val="center"/>
          </w:tcPr>
          <w:p w14:paraId="761CBEE2" w14:textId="77777777" w:rsidR="00EF2DDF" w:rsidRPr="007A4056" w:rsidRDefault="00EF2DDF" w:rsidP="00102EE8"/>
        </w:tc>
      </w:tr>
      <w:tr w:rsidR="00EF2DDF" w:rsidRPr="007A4056" w14:paraId="7DEBE71A" w14:textId="77777777" w:rsidTr="00B45532">
        <w:tc>
          <w:tcPr>
            <w:tcW w:w="715" w:type="dxa"/>
            <w:tcBorders>
              <w:top w:val="dotted" w:sz="4" w:space="0" w:color="auto"/>
              <w:bottom w:val="dotted" w:sz="4" w:space="0" w:color="auto"/>
            </w:tcBorders>
          </w:tcPr>
          <w:p w14:paraId="267A3B0E" w14:textId="77777777" w:rsidR="00EF2DDF" w:rsidRPr="007A4056" w:rsidRDefault="00EF2DDF" w:rsidP="00102EE8">
            <w:r w:rsidRPr="007A4056">
              <w:t>2013</w:t>
            </w:r>
          </w:p>
        </w:tc>
        <w:tc>
          <w:tcPr>
            <w:tcW w:w="1316" w:type="dxa"/>
            <w:tcBorders>
              <w:top w:val="dotted" w:sz="4" w:space="0" w:color="auto"/>
              <w:bottom w:val="dotted" w:sz="4" w:space="0" w:color="auto"/>
            </w:tcBorders>
            <w:vAlign w:val="center"/>
          </w:tcPr>
          <w:p w14:paraId="3A384261" w14:textId="77777777" w:rsidR="00EF2DDF" w:rsidRPr="007A4056" w:rsidRDefault="00EF2DDF" w:rsidP="00102EE8"/>
        </w:tc>
        <w:tc>
          <w:tcPr>
            <w:tcW w:w="1316" w:type="dxa"/>
            <w:tcBorders>
              <w:top w:val="dotted" w:sz="4" w:space="0" w:color="auto"/>
              <w:bottom w:val="dotted" w:sz="4" w:space="0" w:color="auto"/>
            </w:tcBorders>
            <w:vAlign w:val="center"/>
          </w:tcPr>
          <w:p w14:paraId="1B576938" w14:textId="77777777" w:rsidR="00EF2DDF" w:rsidRPr="007A4056" w:rsidRDefault="00EF2DDF" w:rsidP="00102EE8"/>
        </w:tc>
        <w:tc>
          <w:tcPr>
            <w:tcW w:w="1317" w:type="dxa"/>
            <w:tcBorders>
              <w:top w:val="dotted" w:sz="4" w:space="0" w:color="auto"/>
              <w:bottom w:val="dotted" w:sz="4" w:space="0" w:color="auto"/>
              <w:right w:val="dotted" w:sz="4" w:space="0" w:color="auto"/>
            </w:tcBorders>
            <w:vAlign w:val="center"/>
          </w:tcPr>
          <w:p w14:paraId="036C44FE" w14:textId="77777777" w:rsidR="00EF2DDF" w:rsidRPr="007A4056" w:rsidRDefault="00EF2DDF" w:rsidP="00102EE8"/>
        </w:tc>
        <w:tc>
          <w:tcPr>
            <w:tcW w:w="1316" w:type="dxa"/>
            <w:tcBorders>
              <w:top w:val="dotted" w:sz="4" w:space="0" w:color="auto"/>
              <w:left w:val="dotted" w:sz="4" w:space="0" w:color="auto"/>
              <w:bottom w:val="dotted" w:sz="4" w:space="0" w:color="auto"/>
            </w:tcBorders>
            <w:vAlign w:val="center"/>
          </w:tcPr>
          <w:p w14:paraId="6B9F67DD" w14:textId="77777777" w:rsidR="00EF2DDF" w:rsidRPr="007A4056" w:rsidRDefault="00EF2DDF" w:rsidP="00102EE8"/>
        </w:tc>
        <w:tc>
          <w:tcPr>
            <w:tcW w:w="1316" w:type="dxa"/>
            <w:tcBorders>
              <w:top w:val="dotted" w:sz="4" w:space="0" w:color="auto"/>
              <w:bottom w:val="dotted" w:sz="4" w:space="0" w:color="auto"/>
            </w:tcBorders>
            <w:vAlign w:val="center"/>
          </w:tcPr>
          <w:p w14:paraId="5D606DD6" w14:textId="77777777" w:rsidR="00EF2DDF" w:rsidRPr="007A4056" w:rsidRDefault="00EF2DDF" w:rsidP="00102EE8"/>
        </w:tc>
        <w:tc>
          <w:tcPr>
            <w:tcW w:w="1317" w:type="dxa"/>
            <w:tcBorders>
              <w:top w:val="dotted" w:sz="4" w:space="0" w:color="auto"/>
              <w:bottom w:val="dotted" w:sz="4" w:space="0" w:color="auto"/>
            </w:tcBorders>
            <w:vAlign w:val="center"/>
          </w:tcPr>
          <w:p w14:paraId="5762A1F4" w14:textId="77777777" w:rsidR="00EF2DDF" w:rsidRPr="007A4056" w:rsidRDefault="00EF2DDF" w:rsidP="00102EE8"/>
        </w:tc>
      </w:tr>
      <w:tr w:rsidR="00EF2DDF" w:rsidRPr="007A4056" w14:paraId="0ABE63F3" w14:textId="77777777" w:rsidTr="00B45532">
        <w:tc>
          <w:tcPr>
            <w:tcW w:w="715" w:type="dxa"/>
            <w:tcBorders>
              <w:top w:val="dotted" w:sz="4" w:space="0" w:color="auto"/>
              <w:bottom w:val="dotted" w:sz="4" w:space="0" w:color="auto"/>
            </w:tcBorders>
          </w:tcPr>
          <w:p w14:paraId="5E0DCC00" w14:textId="77777777" w:rsidR="00EF2DDF" w:rsidRPr="007A4056" w:rsidRDefault="00EF2DDF" w:rsidP="00102EE8">
            <w:r w:rsidRPr="007A4056">
              <w:t>2014</w:t>
            </w:r>
          </w:p>
        </w:tc>
        <w:tc>
          <w:tcPr>
            <w:tcW w:w="1316" w:type="dxa"/>
            <w:tcBorders>
              <w:top w:val="dotted" w:sz="4" w:space="0" w:color="auto"/>
              <w:bottom w:val="dotted" w:sz="4" w:space="0" w:color="auto"/>
            </w:tcBorders>
            <w:vAlign w:val="center"/>
          </w:tcPr>
          <w:p w14:paraId="52580A12" w14:textId="77777777" w:rsidR="00EF2DDF" w:rsidRPr="007A4056" w:rsidRDefault="00EF2DDF" w:rsidP="00102EE8"/>
        </w:tc>
        <w:tc>
          <w:tcPr>
            <w:tcW w:w="1316" w:type="dxa"/>
            <w:tcBorders>
              <w:top w:val="dotted" w:sz="4" w:space="0" w:color="auto"/>
              <w:bottom w:val="dotted" w:sz="4" w:space="0" w:color="auto"/>
            </w:tcBorders>
            <w:vAlign w:val="center"/>
          </w:tcPr>
          <w:p w14:paraId="168727DD" w14:textId="77777777" w:rsidR="00EF2DDF" w:rsidRPr="007A4056" w:rsidRDefault="00EF2DDF" w:rsidP="00102EE8"/>
        </w:tc>
        <w:tc>
          <w:tcPr>
            <w:tcW w:w="1317" w:type="dxa"/>
            <w:tcBorders>
              <w:top w:val="dotted" w:sz="4" w:space="0" w:color="auto"/>
              <w:bottom w:val="dotted" w:sz="4" w:space="0" w:color="auto"/>
              <w:right w:val="dotted" w:sz="4" w:space="0" w:color="auto"/>
            </w:tcBorders>
            <w:vAlign w:val="center"/>
          </w:tcPr>
          <w:p w14:paraId="5A10FC29" w14:textId="77777777" w:rsidR="00EF2DDF" w:rsidRPr="007A4056" w:rsidRDefault="00EF2DDF" w:rsidP="00102EE8"/>
        </w:tc>
        <w:tc>
          <w:tcPr>
            <w:tcW w:w="1316" w:type="dxa"/>
            <w:tcBorders>
              <w:top w:val="dotted" w:sz="4" w:space="0" w:color="auto"/>
              <w:left w:val="dotted" w:sz="4" w:space="0" w:color="auto"/>
              <w:bottom w:val="dotted" w:sz="4" w:space="0" w:color="auto"/>
            </w:tcBorders>
            <w:vAlign w:val="center"/>
          </w:tcPr>
          <w:p w14:paraId="58A6978C" w14:textId="77777777" w:rsidR="00EF2DDF" w:rsidRPr="007A4056" w:rsidRDefault="00EF2DDF" w:rsidP="00102EE8"/>
        </w:tc>
        <w:tc>
          <w:tcPr>
            <w:tcW w:w="1316" w:type="dxa"/>
            <w:tcBorders>
              <w:top w:val="dotted" w:sz="4" w:space="0" w:color="auto"/>
              <w:bottom w:val="dotted" w:sz="4" w:space="0" w:color="auto"/>
            </w:tcBorders>
            <w:vAlign w:val="center"/>
          </w:tcPr>
          <w:p w14:paraId="0A10A9DC" w14:textId="77777777" w:rsidR="00EF2DDF" w:rsidRPr="007A4056" w:rsidRDefault="00EF2DDF" w:rsidP="00102EE8"/>
        </w:tc>
        <w:tc>
          <w:tcPr>
            <w:tcW w:w="1317" w:type="dxa"/>
            <w:tcBorders>
              <w:top w:val="dotted" w:sz="4" w:space="0" w:color="auto"/>
              <w:bottom w:val="dotted" w:sz="4" w:space="0" w:color="auto"/>
            </w:tcBorders>
            <w:vAlign w:val="center"/>
          </w:tcPr>
          <w:p w14:paraId="3C5101CA" w14:textId="77777777" w:rsidR="00EF2DDF" w:rsidRPr="007A4056" w:rsidRDefault="00EF2DDF" w:rsidP="00102EE8"/>
        </w:tc>
      </w:tr>
      <w:tr w:rsidR="00EF2DDF" w:rsidRPr="007A4056" w14:paraId="29E805A6" w14:textId="77777777" w:rsidTr="00B45532">
        <w:tc>
          <w:tcPr>
            <w:tcW w:w="715" w:type="dxa"/>
            <w:tcBorders>
              <w:top w:val="dotted" w:sz="4" w:space="0" w:color="auto"/>
              <w:bottom w:val="single" w:sz="4" w:space="0" w:color="auto"/>
            </w:tcBorders>
          </w:tcPr>
          <w:p w14:paraId="450D1248" w14:textId="77777777" w:rsidR="00EF2DDF" w:rsidRPr="007A4056" w:rsidRDefault="00EF2DDF" w:rsidP="00102EE8">
            <w:r w:rsidRPr="007A4056">
              <w:t>2015</w:t>
            </w:r>
          </w:p>
        </w:tc>
        <w:tc>
          <w:tcPr>
            <w:tcW w:w="1316" w:type="dxa"/>
            <w:tcBorders>
              <w:top w:val="dotted" w:sz="4" w:space="0" w:color="auto"/>
              <w:bottom w:val="single" w:sz="4" w:space="0" w:color="auto"/>
            </w:tcBorders>
            <w:vAlign w:val="center"/>
          </w:tcPr>
          <w:p w14:paraId="2183260E" w14:textId="77777777" w:rsidR="00EF2DDF" w:rsidRPr="007A4056" w:rsidRDefault="00EF2DDF" w:rsidP="00102EE8"/>
        </w:tc>
        <w:tc>
          <w:tcPr>
            <w:tcW w:w="1316" w:type="dxa"/>
            <w:tcBorders>
              <w:top w:val="dotted" w:sz="4" w:space="0" w:color="auto"/>
              <w:bottom w:val="single" w:sz="4" w:space="0" w:color="auto"/>
            </w:tcBorders>
            <w:vAlign w:val="center"/>
          </w:tcPr>
          <w:p w14:paraId="3F57AF04" w14:textId="77777777" w:rsidR="00EF2DDF" w:rsidRPr="007A4056" w:rsidRDefault="00EF2DDF" w:rsidP="00102EE8"/>
        </w:tc>
        <w:tc>
          <w:tcPr>
            <w:tcW w:w="1317" w:type="dxa"/>
            <w:tcBorders>
              <w:top w:val="dotted" w:sz="4" w:space="0" w:color="auto"/>
              <w:bottom w:val="single" w:sz="4" w:space="0" w:color="auto"/>
              <w:right w:val="dotted" w:sz="4" w:space="0" w:color="auto"/>
            </w:tcBorders>
            <w:vAlign w:val="center"/>
          </w:tcPr>
          <w:p w14:paraId="21E214AE" w14:textId="77777777" w:rsidR="00EF2DDF" w:rsidRPr="007A4056" w:rsidRDefault="00EF2DDF" w:rsidP="00102EE8"/>
        </w:tc>
        <w:tc>
          <w:tcPr>
            <w:tcW w:w="1316" w:type="dxa"/>
            <w:tcBorders>
              <w:top w:val="dotted" w:sz="4" w:space="0" w:color="auto"/>
              <w:left w:val="dotted" w:sz="4" w:space="0" w:color="auto"/>
              <w:bottom w:val="single" w:sz="4" w:space="0" w:color="auto"/>
            </w:tcBorders>
            <w:vAlign w:val="center"/>
          </w:tcPr>
          <w:p w14:paraId="79402416" w14:textId="77777777" w:rsidR="00EF2DDF" w:rsidRPr="007A4056" w:rsidRDefault="00EF2DDF" w:rsidP="00102EE8"/>
        </w:tc>
        <w:tc>
          <w:tcPr>
            <w:tcW w:w="1316" w:type="dxa"/>
            <w:tcBorders>
              <w:top w:val="dotted" w:sz="4" w:space="0" w:color="auto"/>
              <w:bottom w:val="single" w:sz="4" w:space="0" w:color="auto"/>
            </w:tcBorders>
            <w:vAlign w:val="center"/>
          </w:tcPr>
          <w:p w14:paraId="2CB547C5" w14:textId="77777777" w:rsidR="00EF2DDF" w:rsidRPr="007A4056" w:rsidRDefault="00EF2DDF" w:rsidP="00102EE8"/>
        </w:tc>
        <w:tc>
          <w:tcPr>
            <w:tcW w:w="1317" w:type="dxa"/>
            <w:tcBorders>
              <w:top w:val="dotted" w:sz="4" w:space="0" w:color="auto"/>
              <w:bottom w:val="single" w:sz="4" w:space="0" w:color="auto"/>
            </w:tcBorders>
            <w:vAlign w:val="center"/>
          </w:tcPr>
          <w:p w14:paraId="418F1A12" w14:textId="77777777" w:rsidR="00EF2DDF" w:rsidRPr="007A4056" w:rsidRDefault="00EF2DDF" w:rsidP="00102EE8"/>
        </w:tc>
      </w:tr>
    </w:tbl>
    <w:p w14:paraId="452D745E" w14:textId="77777777" w:rsidR="00D13039" w:rsidRDefault="007A4056" w:rsidP="00102EE8">
      <w:r>
        <w:t>Fonte: Elaboração dos Autores</w:t>
      </w:r>
      <w:r w:rsidR="00EF2DDF">
        <w:t xml:space="preserve"> </w:t>
      </w:r>
    </w:p>
    <w:p w14:paraId="7BD6036D" w14:textId="77777777" w:rsidR="00D13039" w:rsidRDefault="00D13039" w:rsidP="00102EE8"/>
    <w:p w14:paraId="5C4E5F29" w14:textId="77777777" w:rsidR="00BE6F25" w:rsidRPr="00C3623B" w:rsidRDefault="002244EC" w:rsidP="00C3623B">
      <w:pPr>
        <w:pStyle w:val="PargrafodaLista"/>
        <w:numPr>
          <w:ilvl w:val="0"/>
          <w:numId w:val="19"/>
        </w:numPr>
        <w:ind w:left="0" w:firstLine="0"/>
        <w:outlineLvl w:val="0"/>
        <w:rPr>
          <w:b/>
        </w:rPr>
      </w:pPr>
      <w:r w:rsidRPr="00C3623B">
        <w:rPr>
          <w:b/>
        </w:rPr>
        <w:t>Aplicação do Inventário Perpétuo na PIA</w:t>
      </w:r>
      <w:r w:rsidR="00B11782" w:rsidRPr="00C3623B">
        <w:rPr>
          <w:b/>
        </w:rPr>
        <w:t xml:space="preserve"> e na PAS</w:t>
      </w:r>
    </w:p>
    <w:p w14:paraId="45A59DC2" w14:textId="77777777" w:rsidR="00791E38" w:rsidRDefault="007B0576" w:rsidP="00102EE8">
      <w:r>
        <w:t xml:space="preserve">Uma das críticas da aplicação do método do inventário perpétuo em dados de empresas é a utilização de uma taxa de depreciação fixa para todas as firmas ao longo do tempo. </w:t>
      </w:r>
      <w:r w:rsidR="00B45532">
        <w:t>Muitos trabalhos adotaram a taxa de depreciação</w:t>
      </w:r>
      <w:r w:rsidR="00791E38">
        <w:t xml:space="preserve"> constante </w:t>
      </w:r>
      <m:oMath>
        <m:sSub>
          <m:sSubPr>
            <m:ctrlPr>
              <w:rPr>
                <w:rFonts w:ascii="Cambria Math" w:hAnsi="Cambria Math"/>
                <w:i/>
              </w:rPr>
            </m:ctrlPr>
          </m:sSubPr>
          <m:e>
            <m:r>
              <w:rPr>
                <w:rFonts w:ascii="Cambria Math" w:hAnsi="Cambria Math"/>
              </w:rPr>
              <m:t>δ</m:t>
            </m:r>
          </m:e>
          <m:sub>
            <m:r>
              <w:rPr>
                <w:rFonts w:ascii="Cambria Math" w:hAnsi="Cambria Math"/>
              </w:rPr>
              <m:t>ijt</m:t>
            </m:r>
          </m:sub>
        </m:sSub>
        <m:r>
          <w:rPr>
            <w:rFonts w:ascii="Cambria Math" w:hAnsi="Cambria Math"/>
          </w:rPr>
          <m:t>=</m:t>
        </m:r>
        <m:r>
          <m:rPr>
            <m:sty m:val="p"/>
          </m:rPr>
          <w:rPr>
            <w:rFonts w:ascii="Cambria Math" w:hAnsi="Cambria Math"/>
          </w:rPr>
          <m:t>5%</m:t>
        </m:r>
      </m:oMath>
      <w:r w:rsidR="00B45532">
        <w:t xml:space="preserve"> para todas as firmas ao longo do tempo. Entretanto, segundo a </w:t>
      </w:r>
      <w:r>
        <w:t xml:space="preserve">tabela 1, empresa com diferentes composições de estoque de capital apresentariam diferentes taxas de depreciação. </w:t>
      </w:r>
      <w:r w:rsidR="00791E38">
        <w:t xml:space="preserve">Uma forma mais interessante, mas inaplicável por falta de parâmetros, seria utilizar taxas de depreciação setoriais </w:t>
      </w:r>
      <m:oMath>
        <m:sSub>
          <m:sSubPr>
            <m:ctrlPr>
              <w:rPr>
                <w:rFonts w:ascii="Cambria Math" w:hAnsi="Cambria Math"/>
                <w:i/>
              </w:rPr>
            </m:ctrlPr>
          </m:sSubPr>
          <m:e>
            <m:r>
              <w:rPr>
                <w:rFonts w:ascii="Cambria Math" w:hAnsi="Cambria Math"/>
              </w:rPr>
              <m:t>δ</m:t>
            </m:r>
          </m:e>
          <m:sub>
            <m:r>
              <w:rPr>
                <w:rFonts w:ascii="Cambria Math" w:hAnsi="Cambria Math"/>
              </w:rPr>
              <m:t>ijt</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j</m:t>
            </m:r>
          </m:sub>
        </m:sSub>
      </m:oMath>
      <w:r w:rsidR="00791E38">
        <w:rPr>
          <w:rFonts w:eastAsiaTheme="minorEastAsia"/>
        </w:rPr>
        <w:t>.</w:t>
      </w:r>
    </w:p>
    <w:p w14:paraId="7DA1EA99" w14:textId="77777777" w:rsidR="0027334E" w:rsidRPr="0027334E" w:rsidRDefault="0027334E" w:rsidP="00102EE8">
      <w:r w:rsidRPr="0027334E">
        <w:t xml:space="preserve">Evitamos evitar suposições heroicas a respeito da taxa de depreciação </w:t>
      </w:r>
      <m:oMath>
        <m:sSub>
          <m:sSubPr>
            <m:ctrlPr>
              <w:rPr>
                <w:rFonts w:ascii="Cambria Math" w:hAnsi="Cambria Math"/>
                <w:i/>
              </w:rPr>
            </m:ctrlPr>
          </m:sSubPr>
          <m:e>
            <m:r>
              <w:rPr>
                <w:rFonts w:ascii="Cambria Math" w:hAnsi="Cambria Math"/>
              </w:rPr>
              <m:t>δ</m:t>
            </m:r>
          </m:e>
          <m:sub>
            <m:r>
              <w:rPr>
                <w:rFonts w:ascii="Cambria Math" w:hAnsi="Cambria Math"/>
              </w:rPr>
              <m:t>ijt</m:t>
            </m:r>
          </m:sub>
        </m:sSub>
      </m:oMath>
      <w:r w:rsidRPr="0027334E">
        <w:rPr>
          <w:rFonts w:eastAsiaTheme="minorEastAsia"/>
        </w:rPr>
        <w:t xml:space="preserve"> utilizando as declarações de baixas das máquinas e equipamentos das firmas constantes na PIA e na PAS</w:t>
      </w:r>
      <w:r>
        <w:t>. Vamos decompor a fórmula do inventário perpétuo:</w:t>
      </w:r>
    </w:p>
    <w:p w14:paraId="47B1E897" w14:textId="77777777" w:rsidR="00B45532" w:rsidRDefault="0027334E" w:rsidP="00102EE8">
      <w:r>
        <w:rPr>
          <w:rFonts w:eastAsiaTheme="minorEastAsia"/>
        </w:rPr>
        <w:tab/>
      </w:r>
      <w:r>
        <w:rPr>
          <w:rFonts w:eastAsiaTheme="minorEastAsia"/>
        </w:rPr>
        <w:tab/>
      </w:r>
      <m:oMath>
        <m:sSub>
          <m:sSubPr>
            <m:ctrlPr>
              <w:rPr>
                <w:rFonts w:ascii="Cambria Math" w:hAnsi="Cambria Math"/>
              </w:rPr>
            </m:ctrlPr>
          </m:sSubPr>
          <m:e>
            <m:r>
              <w:rPr>
                <w:rFonts w:ascii="Cambria Math" w:hAnsi="Cambria Math"/>
              </w:rPr>
              <m:t>K</m:t>
            </m:r>
          </m:e>
          <m:sub>
            <m:r>
              <w:rPr>
                <w:rFonts w:ascii="Cambria Math" w:hAnsi="Cambria Math"/>
              </w:rPr>
              <m:t>ijt</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δ</m:t>
                </m:r>
              </m:e>
              <m:sub>
                <m:r>
                  <w:rPr>
                    <w:rFonts w:ascii="Cambria Math" w:hAnsi="Cambria Math"/>
                  </w:rPr>
                  <m:t>ijt</m:t>
                </m:r>
              </m:sub>
            </m:sSub>
          </m:e>
        </m:d>
        <m:sSub>
          <m:sSubPr>
            <m:ctrlPr>
              <w:rPr>
                <w:rFonts w:ascii="Cambria Math" w:hAnsi="Cambria Math"/>
              </w:rPr>
            </m:ctrlPr>
          </m:sSubPr>
          <m:e>
            <m:r>
              <w:rPr>
                <w:rFonts w:ascii="Cambria Math" w:hAnsi="Cambria Math"/>
              </w:rPr>
              <m:t>K</m:t>
            </m:r>
          </m:e>
          <m:sub>
            <m:r>
              <w:rPr>
                <w:rFonts w:ascii="Cambria Math" w:hAnsi="Cambria Math"/>
              </w:rPr>
              <m:t>ijt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ijt</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ijt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ijt</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sSub>
                  <m:sSubPr>
                    <m:ctrlPr>
                      <w:rPr>
                        <w:rFonts w:ascii="Cambria Math" w:hAnsi="Cambria Math"/>
                      </w:rPr>
                    </m:ctrlPr>
                  </m:sSubPr>
                  <m:e>
                    <m:r>
                      <w:rPr>
                        <w:rFonts w:ascii="Cambria Math" w:hAnsi="Cambria Math"/>
                      </w:rPr>
                      <m:t>K</m:t>
                    </m:r>
                  </m:e>
                  <m:sub>
                    <m:r>
                      <w:rPr>
                        <w:rFonts w:ascii="Cambria Math" w:hAnsi="Cambria Math"/>
                      </w:rPr>
                      <m:t>ijt</m:t>
                    </m:r>
                    <m:r>
                      <m:rPr>
                        <m:sty m:val="p"/>
                      </m:rPr>
                      <w:rPr>
                        <w:rFonts w:ascii="Cambria Math" w:hAnsi="Cambria Math"/>
                      </w:rPr>
                      <m:t>-1</m:t>
                    </m:r>
                  </m:sub>
                </m:sSub>
                <m:r>
                  <w:rPr>
                    <w:rFonts w:ascii="Cambria Math" w:hAnsi="Cambria Math"/>
                  </w:rPr>
                  <m:t>δ</m:t>
                </m:r>
              </m:e>
              <m:sub>
                <m:r>
                  <w:rPr>
                    <w:rFonts w:ascii="Cambria Math" w:hAnsi="Cambria Math"/>
                  </w:rPr>
                  <m:t>ijt</m:t>
                </m:r>
              </m:sub>
            </m:sSub>
          </m:e>
        </m:d>
      </m:oMath>
      <w:r>
        <w:rPr>
          <w:rFonts w:eastAsiaTheme="minorEastAsia" w:cstheme="minorHAnsi"/>
        </w:rPr>
        <w:tab/>
      </w:r>
      <w:r w:rsidR="00C164E5" w:rsidRPr="00C164E5">
        <w:rPr>
          <w:rFonts w:cstheme="minorHAnsi"/>
        </w:rPr>
        <w:t>(</w:t>
      </w:r>
      <w:r w:rsidR="000C3D81" w:rsidRPr="00C164E5">
        <w:rPr>
          <w:rFonts w:cstheme="minorHAnsi"/>
        </w:rPr>
        <w:fldChar w:fldCharType="begin"/>
      </w:r>
      <w:r w:rsidR="00C164E5" w:rsidRPr="00C164E5">
        <w:rPr>
          <w:rFonts w:cstheme="minorHAnsi"/>
        </w:rPr>
        <w:instrText xml:space="preserve"> SEQ Equação \* ARABIC </w:instrText>
      </w:r>
      <w:r w:rsidR="000C3D81" w:rsidRPr="00C164E5">
        <w:rPr>
          <w:rFonts w:cstheme="minorHAnsi"/>
        </w:rPr>
        <w:fldChar w:fldCharType="separate"/>
      </w:r>
      <w:r w:rsidR="00791E38">
        <w:rPr>
          <w:rFonts w:cstheme="minorHAnsi"/>
          <w:noProof/>
        </w:rPr>
        <w:t>4</w:t>
      </w:r>
      <w:r w:rsidR="000C3D81" w:rsidRPr="00C164E5">
        <w:rPr>
          <w:rFonts w:cstheme="minorHAnsi"/>
        </w:rPr>
        <w:fldChar w:fldCharType="end"/>
      </w:r>
      <w:r w:rsidR="00C164E5" w:rsidRPr="00C164E5">
        <w:rPr>
          <w:rFonts w:cstheme="minorHAnsi"/>
        </w:rPr>
        <w:t>)</w:t>
      </w:r>
    </w:p>
    <w:p w14:paraId="0F34D02F" w14:textId="77777777" w:rsidR="00B45532" w:rsidRPr="0027334E" w:rsidRDefault="0027334E" w:rsidP="00102EE8">
      <w:r>
        <w:lastRenderedPageBreak/>
        <w:t xml:space="preserve">Representando </w:t>
      </w:r>
      <w:r w:rsidR="00B45532" w:rsidRPr="0027334E">
        <w:t xml:space="preserve">as baixas de máquinas e equipamentos </w:t>
      </w:r>
      <w:r w:rsidRPr="0027334E">
        <w:t>segundo</w:t>
      </w:r>
      <w:r>
        <w:t>:</w:t>
      </w:r>
      <w:r w:rsidRPr="0027334E">
        <w:t xml:space="preserve"> </w:t>
      </w:r>
      <m:oMath>
        <m:sSub>
          <m:sSubPr>
            <m:ctrlPr>
              <w:rPr>
                <w:rFonts w:ascii="Cambria Math" w:hAnsi="Cambria Math"/>
                <w:i/>
              </w:rPr>
            </m:ctrlPr>
          </m:sSubPr>
          <m:e>
            <m:r>
              <w:rPr>
                <w:rFonts w:ascii="Cambria Math" w:hAnsi="Cambria Math"/>
              </w:rPr>
              <m:t>B</m:t>
            </m:r>
          </m:e>
          <m:sub>
            <m:r>
              <w:rPr>
                <w:rFonts w:ascii="Cambria Math" w:hAnsi="Cambria Math"/>
              </w:rPr>
              <m:t>ijt</m:t>
            </m:r>
          </m:sub>
        </m:sSub>
        <m:r>
          <w:rPr>
            <w:rFonts w:asci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K</m:t>
                </m:r>
              </m:e>
              <m:sub>
                <m:r>
                  <w:rPr>
                    <w:rFonts w:ascii="Cambria Math" w:hAnsi="Cambria Math"/>
                  </w:rPr>
                  <m:t>it-</m:t>
                </m:r>
                <m:r>
                  <w:rPr>
                    <w:rFonts w:ascii="Cambria Math"/>
                  </w:rPr>
                  <m:t>1</m:t>
                </m:r>
              </m:sub>
            </m:sSub>
            <m:r>
              <w:rPr>
                <w:rFonts w:ascii="Cambria Math" w:hAnsi="Cambria Math"/>
              </w:rPr>
              <m:t>δ</m:t>
            </m:r>
          </m:e>
          <m:sub>
            <m:r>
              <w:rPr>
                <w:rFonts w:ascii="Cambria Math" w:hAnsi="Cambria Math"/>
              </w:rPr>
              <m:t>ijt</m:t>
            </m:r>
          </m:sub>
        </m:sSub>
      </m:oMath>
      <w:r w:rsidR="005136B3" w:rsidRPr="0027334E">
        <w:t xml:space="preserve"> </w:t>
      </w:r>
      <w:r>
        <w:t>, a fórmula do</w:t>
      </w:r>
      <w:r w:rsidR="005136B3" w:rsidRPr="0027334E">
        <w:t xml:space="preserve"> inventário perpétuo pode ser </w:t>
      </w:r>
      <w:proofErr w:type="gramStart"/>
      <w:r w:rsidR="005136B3" w:rsidRPr="0027334E">
        <w:t>escrito</w:t>
      </w:r>
      <w:proofErr w:type="gramEnd"/>
      <w:r w:rsidR="005136B3" w:rsidRPr="0027334E">
        <w:t xml:space="preserve"> como:</w:t>
      </w:r>
    </w:p>
    <w:p w14:paraId="7823610E" w14:textId="77777777" w:rsidR="005136B3" w:rsidRDefault="00791E38" w:rsidP="00102EE8">
      <w:r>
        <w:rPr>
          <w:rFonts w:eastAsiaTheme="minorEastAsia"/>
        </w:rPr>
        <w:tab/>
      </w:r>
      <w:r>
        <w:rPr>
          <w:rFonts w:eastAsiaTheme="minorEastAsia"/>
        </w:rPr>
        <w:tab/>
      </w:r>
      <w:r>
        <w:rPr>
          <w:rFonts w:eastAsiaTheme="minorEastAsia"/>
        </w:rPr>
        <w:tab/>
      </w:r>
      <w:r>
        <w:rPr>
          <w:rFonts w:eastAsiaTheme="minorEastAsia"/>
        </w:rPr>
        <w:tab/>
      </w:r>
      <m:oMath>
        <m:sSub>
          <m:sSubPr>
            <m:ctrlPr>
              <w:rPr>
                <w:rFonts w:ascii="Cambria Math" w:hAnsi="Cambria Math"/>
              </w:rPr>
            </m:ctrlPr>
          </m:sSubPr>
          <m:e>
            <m:r>
              <w:rPr>
                <w:rFonts w:ascii="Cambria Math" w:hAnsi="Cambria Math"/>
              </w:rPr>
              <m:t>K</m:t>
            </m:r>
          </m:e>
          <m:sub>
            <m:r>
              <w:rPr>
                <w:rFonts w:ascii="Cambria Math" w:hAnsi="Cambria Math"/>
              </w:rPr>
              <m:t>ijt</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ijt</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ijt</m:t>
            </m:r>
          </m:sub>
        </m:sSub>
      </m:oMath>
      <w:r>
        <w:rPr>
          <w:rFonts w:eastAsiaTheme="minorEastAsia"/>
        </w:rPr>
        <w:tab/>
      </w:r>
      <w:r>
        <w:rPr>
          <w:rFonts w:eastAsiaTheme="minorEastAsia"/>
        </w:rPr>
        <w:tab/>
      </w:r>
      <w:r>
        <w:rPr>
          <w:rFonts w:eastAsiaTheme="minorEastAsia"/>
        </w:rPr>
        <w:tab/>
      </w:r>
      <w:r>
        <w:rPr>
          <w:rFonts w:eastAsiaTheme="minorEastAsia"/>
        </w:rPr>
        <w:tab/>
      </w:r>
      <w:r>
        <w:t>(</w:t>
      </w:r>
      <w:r w:rsidR="005B7DA8">
        <w:fldChar w:fldCharType="begin"/>
      </w:r>
      <w:r w:rsidR="005B7DA8">
        <w:instrText xml:space="preserve"> SEQ Equação \* ARABIC </w:instrText>
      </w:r>
      <w:r w:rsidR="005B7DA8">
        <w:fldChar w:fldCharType="separate"/>
      </w:r>
      <w:r>
        <w:rPr>
          <w:noProof/>
        </w:rPr>
        <w:t>5</w:t>
      </w:r>
      <w:r w:rsidR="005B7DA8">
        <w:rPr>
          <w:noProof/>
        </w:rPr>
        <w:fldChar w:fldCharType="end"/>
      </w:r>
      <w:r>
        <w:t>)</w:t>
      </w:r>
    </w:p>
    <w:p w14:paraId="004F48F5" w14:textId="77777777" w:rsidR="00B45532" w:rsidRDefault="005136B3" w:rsidP="00102EE8">
      <w:r w:rsidRPr="00D13039">
        <w:t>onde</w:t>
      </w:r>
      <w:r>
        <w:t>,</w:t>
      </w:r>
      <w:r w:rsidRPr="00D13039">
        <w:t xml:space="preserve"> </w:t>
      </w:r>
      <m:oMath>
        <m:sSub>
          <m:sSubPr>
            <m:ctrlPr>
              <w:rPr>
                <w:rFonts w:ascii="Cambria Math" w:hAnsi="Cambria Math"/>
                <w:i/>
              </w:rPr>
            </m:ctrlPr>
          </m:sSubPr>
          <m:e>
            <m:r>
              <w:rPr>
                <w:rFonts w:ascii="Cambria Math" w:hAnsi="Cambria Math"/>
              </w:rPr>
              <m:t>K</m:t>
            </m:r>
          </m:e>
          <m:sub>
            <m:r>
              <w:rPr>
                <w:rFonts w:ascii="Cambria Math" w:hAnsi="Cambria Math"/>
              </w:rPr>
              <m:t>ijt</m:t>
            </m:r>
          </m:sub>
        </m:sSub>
      </m:oMath>
      <w:r>
        <w:t>,</w:t>
      </w:r>
      <w:r w:rsidRPr="00D13039">
        <w:t xml:space="preserve"> </w:t>
      </w:r>
      <m:oMath>
        <m:sSub>
          <m:sSubPr>
            <m:ctrlPr>
              <w:rPr>
                <w:rFonts w:ascii="Cambria Math" w:hAnsi="Cambria Math"/>
                <w:i/>
              </w:rPr>
            </m:ctrlPr>
          </m:sSubPr>
          <m:e>
            <m:r>
              <w:rPr>
                <w:rFonts w:ascii="Cambria Math" w:hAnsi="Cambria Math"/>
              </w:rPr>
              <m:t>I</m:t>
            </m:r>
          </m:e>
          <m:sub>
            <m:r>
              <w:rPr>
                <w:rFonts w:ascii="Cambria Math" w:hAnsi="Cambria Math"/>
              </w:rPr>
              <m:t>ijt</m:t>
            </m:r>
          </m:sub>
        </m:sSub>
      </m:oMath>
      <w:r>
        <w:rPr>
          <w:rFonts w:eastAsiaTheme="minorEastAsia"/>
        </w:rPr>
        <w:t xml:space="preserve"> e </w:t>
      </w:r>
      <m:oMath>
        <m:sSub>
          <m:sSubPr>
            <m:ctrlPr>
              <w:rPr>
                <w:rFonts w:ascii="Cambria Math" w:hAnsi="Cambria Math"/>
                <w:i/>
              </w:rPr>
            </m:ctrlPr>
          </m:sSubPr>
          <m:e>
            <m:r>
              <w:rPr>
                <w:rFonts w:ascii="Cambria Math" w:hAnsi="Cambria Math"/>
              </w:rPr>
              <m:t>B</m:t>
            </m:r>
          </m:e>
          <m:sub>
            <m:r>
              <w:rPr>
                <w:rFonts w:ascii="Cambria Math" w:hAnsi="Cambria Math"/>
              </w:rPr>
              <m:t>ijt</m:t>
            </m:r>
          </m:sub>
        </m:sSub>
      </m:oMath>
      <w:r w:rsidRPr="00D13039">
        <w:t xml:space="preserve"> representam, respectivamente, o estoque de capital</w:t>
      </w:r>
      <w:r>
        <w:t xml:space="preserve">, </w:t>
      </w:r>
      <w:r w:rsidRPr="00D13039">
        <w:t xml:space="preserve">o investimento </w:t>
      </w:r>
      <w:r>
        <w:t xml:space="preserve">e as baixas de máquinas e equipamentos </w:t>
      </w:r>
      <w:r w:rsidRPr="00D13039">
        <w:t xml:space="preserve">da firma </w:t>
      </w:r>
      <w:r w:rsidRPr="00D13039">
        <w:rPr>
          <w:i/>
        </w:rPr>
        <w:t>i</w:t>
      </w:r>
      <w:r w:rsidR="00682167">
        <w:t>, no setor</w:t>
      </w:r>
      <w:r w:rsidRPr="00D13039">
        <w:rPr>
          <w:i/>
        </w:rPr>
        <w:t xml:space="preserve"> </w:t>
      </w:r>
      <w:r w:rsidR="00682167">
        <w:rPr>
          <w:i/>
        </w:rPr>
        <w:t xml:space="preserve">j, </w:t>
      </w:r>
      <w:r w:rsidRPr="00D13039">
        <w:t xml:space="preserve">no ano </w:t>
      </w:r>
      <w:r w:rsidRPr="00D13039">
        <w:rPr>
          <w:i/>
        </w:rPr>
        <w:t>t</w:t>
      </w:r>
      <w:r w:rsidRPr="00D13039">
        <w:t xml:space="preserve">. </w:t>
      </w:r>
    </w:p>
    <w:p w14:paraId="7CAE7DA5" w14:textId="77777777" w:rsidR="0027334E" w:rsidRDefault="0027334E" w:rsidP="00102EE8">
      <w:r>
        <w:t xml:space="preserve">O estoque de capital, </w:t>
      </w:r>
      <w:r w:rsidR="00681C41">
        <w:t>investimentos</w:t>
      </w:r>
      <w:r>
        <w:t xml:space="preserve"> e </w:t>
      </w:r>
      <w:r w:rsidR="00681C41">
        <w:t xml:space="preserve">baixas </w:t>
      </w:r>
      <w:r>
        <w:t xml:space="preserve">são </w:t>
      </w:r>
      <w:r w:rsidR="00681C41">
        <w:t>deflacionados antes da aplicação do método do inventário perpétuo</w:t>
      </w:r>
      <w:r>
        <w:t xml:space="preserve"> utilizando </w:t>
      </w:r>
      <w:r w:rsidR="00681C41">
        <w:t>o delator da formação bruta de capital fixo</w:t>
      </w:r>
      <w:r>
        <w:t xml:space="preserve"> (tabela 1)</w:t>
      </w:r>
      <w:r w:rsidR="00681C41">
        <w:t xml:space="preserve">. </w:t>
      </w:r>
    </w:p>
    <w:p w14:paraId="4D172E4F" w14:textId="77777777" w:rsidR="0027334E" w:rsidRDefault="0027334E" w:rsidP="00102EE8"/>
    <w:p w14:paraId="0D586F3C" w14:textId="77777777" w:rsidR="0027334E" w:rsidRPr="00C3623B" w:rsidRDefault="0027334E" w:rsidP="00C3623B">
      <w:pPr>
        <w:pStyle w:val="PargrafodaLista"/>
        <w:numPr>
          <w:ilvl w:val="0"/>
          <w:numId w:val="19"/>
        </w:numPr>
        <w:ind w:left="0" w:firstLine="0"/>
        <w:outlineLvl w:val="0"/>
        <w:rPr>
          <w:b/>
        </w:rPr>
      </w:pPr>
      <w:r w:rsidRPr="00C3623B">
        <w:rPr>
          <w:b/>
        </w:rPr>
        <w:t>Definição de Investimento e Baixas</w:t>
      </w:r>
      <w:r w:rsidR="00C3623B">
        <w:rPr>
          <w:b/>
        </w:rPr>
        <w:t xml:space="preserve"> na PIA</w:t>
      </w:r>
    </w:p>
    <w:p w14:paraId="14AFFECE" w14:textId="77777777" w:rsidR="00681C41" w:rsidRDefault="0027334E" w:rsidP="00102EE8">
      <w:r>
        <w:t>É importante mencionar que na PIA e PAS</w:t>
      </w:r>
      <w:r w:rsidR="00C92902">
        <w:t xml:space="preserve"> existe um conjunto de variável que </w:t>
      </w:r>
      <w:r w:rsidR="00681C41">
        <w:t>precisam ser somadas para definição do investimento e baixas</w:t>
      </w:r>
      <w:r>
        <w:t xml:space="preserve">. Consequentemente existe </w:t>
      </w:r>
      <w:r w:rsidR="00681C41">
        <w:t xml:space="preserve">margem metodológica para inclusão de um conjunto diferente de variáveis. A tabela 3 </w:t>
      </w:r>
      <w:r w:rsidR="00D06AAA">
        <w:t xml:space="preserve">descreve </w:t>
      </w:r>
      <w:r w:rsidR="00681C41">
        <w:t xml:space="preserve">a definição de investimentos e baixas </w:t>
      </w:r>
      <w:r w:rsidR="00D06AAA">
        <w:t xml:space="preserve">adotadas </w:t>
      </w:r>
      <w:r w:rsidR="00681C41">
        <w:t xml:space="preserve">neste trabalho: </w:t>
      </w:r>
    </w:p>
    <w:p w14:paraId="3ECEEC8B" w14:textId="77777777" w:rsidR="00C3623B" w:rsidRDefault="00C3623B" w:rsidP="00102EE8"/>
    <w:p w14:paraId="235563D2" w14:textId="77777777" w:rsidR="005568CA" w:rsidRPr="00C3623B" w:rsidRDefault="007A4056" w:rsidP="00102EE8">
      <w:pPr>
        <w:rPr>
          <w:b/>
          <w:sz w:val="22"/>
          <w:szCs w:val="22"/>
        </w:rPr>
      </w:pPr>
      <w:r w:rsidRPr="00C3623B">
        <w:rPr>
          <w:b/>
          <w:sz w:val="22"/>
          <w:szCs w:val="22"/>
        </w:rPr>
        <w:t xml:space="preserve">Tabela </w:t>
      </w:r>
      <w:r w:rsidR="000C3D81" w:rsidRPr="00C3623B">
        <w:rPr>
          <w:b/>
          <w:sz w:val="22"/>
          <w:szCs w:val="22"/>
        </w:rPr>
        <w:fldChar w:fldCharType="begin"/>
      </w:r>
      <w:r w:rsidR="000C3D81" w:rsidRPr="00C3623B">
        <w:rPr>
          <w:b/>
          <w:sz w:val="22"/>
          <w:szCs w:val="22"/>
        </w:rPr>
        <w:instrText xml:space="preserve"> SEQ Tabela \* ARABIC </w:instrText>
      </w:r>
      <w:r w:rsidR="000C3D81" w:rsidRPr="00C3623B">
        <w:rPr>
          <w:b/>
          <w:sz w:val="22"/>
          <w:szCs w:val="22"/>
        </w:rPr>
        <w:fldChar w:fldCharType="separate"/>
      </w:r>
      <w:r w:rsidR="00C3623B">
        <w:rPr>
          <w:b/>
          <w:noProof/>
          <w:sz w:val="22"/>
          <w:szCs w:val="22"/>
        </w:rPr>
        <w:t>3</w:t>
      </w:r>
      <w:r w:rsidR="000C3D81" w:rsidRPr="00C3623B">
        <w:rPr>
          <w:b/>
          <w:sz w:val="22"/>
          <w:szCs w:val="22"/>
        </w:rPr>
        <w:fldChar w:fldCharType="end"/>
      </w:r>
      <w:r w:rsidRPr="00C3623B">
        <w:rPr>
          <w:b/>
          <w:sz w:val="22"/>
          <w:szCs w:val="22"/>
        </w:rPr>
        <w:t xml:space="preserve">: </w:t>
      </w:r>
      <w:r w:rsidR="00C3623B" w:rsidRPr="00C3623B">
        <w:rPr>
          <w:b/>
          <w:sz w:val="22"/>
          <w:szCs w:val="22"/>
        </w:rPr>
        <w:t xml:space="preserve">Definição de Investimento e Baixas na </w:t>
      </w:r>
      <w:r w:rsidR="005568CA" w:rsidRPr="00C3623B">
        <w:rPr>
          <w:b/>
          <w:sz w:val="22"/>
          <w:szCs w:val="22"/>
        </w:rPr>
        <w:t xml:space="preserve">Seção </w:t>
      </w:r>
      <w:r w:rsidR="00D06AAA" w:rsidRPr="00C3623B">
        <w:rPr>
          <w:b/>
          <w:sz w:val="22"/>
          <w:szCs w:val="22"/>
        </w:rPr>
        <w:t>“</w:t>
      </w:r>
      <w:r w:rsidR="005568CA" w:rsidRPr="00C3623B">
        <w:rPr>
          <w:b/>
          <w:sz w:val="22"/>
          <w:szCs w:val="22"/>
        </w:rPr>
        <w:t>E</w:t>
      </w:r>
      <w:r w:rsidR="00D06AAA" w:rsidRPr="00C3623B">
        <w:rPr>
          <w:b/>
          <w:sz w:val="22"/>
          <w:szCs w:val="22"/>
        </w:rPr>
        <w:t>”</w:t>
      </w:r>
      <w:r w:rsidR="005568CA" w:rsidRPr="00C3623B">
        <w:rPr>
          <w:b/>
          <w:sz w:val="22"/>
          <w:szCs w:val="22"/>
        </w:rPr>
        <w:t xml:space="preserve"> do questionário da PIA</w:t>
      </w:r>
      <w:r w:rsidR="00D06AAA" w:rsidRPr="00C3623B">
        <w:rPr>
          <w:b/>
          <w:sz w:val="22"/>
          <w:szCs w:val="22"/>
        </w:rPr>
        <w:t>.</w:t>
      </w:r>
    </w:p>
    <w:tbl>
      <w:tblPr>
        <w:tblStyle w:val="Tabelacomgrade"/>
        <w:tblW w:w="8416" w:type="dxa"/>
        <w:tblBorders>
          <w:left w:val="none" w:sz="0" w:space="0" w:color="auto"/>
          <w:right w:val="none" w:sz="0" w:space="0" w:color="auto"/>
          <w:insideH w:val="none" w:sz="0" w:space="0" w:color="auto"/>
        </w:tblBorders>
        <w:tblLook w:val="04A0" w:firstRow="1" w:lastRow="0" w:firstColumn="1" w:lastColumn="0" w:noHBand="0" w:noVBand="1"/>
      </w:tblPr>
      <w:tblGrid>
        <w:gridCol w:w="4160"/>
        <w:gridCol w:w="2128"/>
        <w:gridCol w:w="2128"/>
      </w:tblGrid>
      <w:tr w:rsidR="00681C41" w:rsidRPr="007A4056" w14:paraId="1BEF87CF" w14:textId="77777777" w:rsidTr="007A4056">
        <w:tc>
          <w:tcPr>
            <w:tcW w:w="4160" w:type="dxa"/>
            <w:tcBorders>
              <w:top w:val="single" w:sz="4" w:space="0" w:color="auto"/>
              <w:bottom w:val="single" w:sz="4" w:space="0" w:color="auto"/>
              <w:right w:val="nil"/>
            </w:tcBorders>
          </w:tcPr>
          <w:p w14:paraId="1DE3222B" w14:textId="77777777" w:rsidR="00681C41" w:rsidRPr="007A4056" w:rsidRDefault="00681C41" w:rsidP="00102EE8"/>
        </w:tc>
        <w:tc>
          <w:tcPr>
            <w:tcW w:w="2128" w:type="dxa"/>
            <w:tcBorders>
              <w:top w:val="single" w:sz="4" w:space="0" w:color="auto"/>
              <w:left w:val="nil"/>
              <w:bottom w:val="single" w:sz="4" w:space="0" w:color="auto"/>
              <w:right w:val="nil"/>
            </w:tcBorders>
            <w:vAlign w:val="center"/>
          </w:tcPr>
          <w:p w14:paraId="2DA28BE9" w14:textId="77777777" w:rsidR="00681C41" w:rsidRPr="007A4056" w:rsidRDefault="00D06AAA" w:rsidP="00102EE8">
            <w:r w:rsidRPr="007A4056">
              <w:t>Investimento:</w:t>
            </w:r>
            <w:r w:rsidR="007A4056">
              <w:t xml:space="preserve"> </w:t>
            </w:r>
            <m:oMath>
              <m:sSub>
                <m:sSubPr>
                  <m:ctrlPr>
                    <w:rPr>
                      <w:rFonts w:ascii="Cambria Math" w:hAnsi="Cambria Math"/>
                      <w:i/>
                    </w:rPr>
                  </m:ctrlPr>
                </m:sSubPr>
                <m:e>
                  <m:r>
                    <w:rPr>
                      <w:rFonts w:ascii="Cambria Math" w:hAnsi="Cambria Math"/>
                    </w:rPr>
                    <m:t>I</m:t>
                  </m:r>
                </m:e>
                <m:sub>
                  <m:r>
                    <w:rPr>
                      <w:rFonts w:ascii="Cambria Math" w:hAnsi="Cambria Math"/>
                    </w:rPr>
                    <m:t>it</m:t>
                  </m:r>
                </m:sub>
              </m:sSub>
            </m:oMath>
          </w:p>
        </w:tc>
        <w:tc>
          <w:tcPr>
            <w:tcW w:w="2128" w:type="dxa"/>
            <w:tcBorders>
              <w:top w:val="single" w:sz="4" w:space="0" w:color="auto"/>
              <w:left w:val="nil"/>
              <w:bottom w:val="single" w:sz="4" w:space="0" w:color="auto"/>
            </w:tcBorders>
            <w:vAlign w:val="center"/>
          </w:tcPr>
          <w:p w14:paraId="4FDE3DA3" w14:textId="77777777" w:rsidR="00D06AAA" w:rsidRPr="007A4056" w:rsidRDefault="005568CA" w:rsidP="00102EE8">
            <w:r w:rsidRPr="007A4056">
              <w:t>Baixas</w:t>
            </w:r>
            <w:r w:rsidR="00D06AAA" w:rsidRPr="007A4056">
              <w:t xml:space="preserve">: </w:t>
            </w:r>
            <m:oMath>
              <m:sSub>
                <m:sSubPr>
                  <m:ctrlPr>
                    <w:rPr>
                      <w:rFonts w:ascii="Cambria Math" w:hAnsi="Cambria Math"/>
                    </w:rPr>
                  </m:ctrlPr>
                </m:sSubPr>
                <m:e>
                  <m:r>
                    <w:rPr>
                      <w:rFonts w:ascii="Cambria Math" w:hAnsi="Cambria Math"/>
                    </w:rPr>
                    <m:t>B</m:t>
                  </m:r>
                </m:e>
                <m:sub>
                  <m:r>
                    <w:rPr>
                      <w:rFonts w:ascii="Cambria Math" w:hAnsi="Cambria Math"/>
                    </w:rPr>
                    <m:t>it</m:t>
                  </m:r>
                </m:sub>
              </m:sSub>
            </m:oMath>
          </w:p>
        </w:tc>
      </w:tr>
      <w:tr w:rsidR="00681C41" w:rsidRPr="007A4056" w14:paraId="52CF1C2C" w14:textId="77777777" w:rsidTr="007A4056">
        <w:tc>
          <w:tcPr>
            <w:tcW w:w="4160" w:type="dxa"/>
            <w:tcBorders>
              <w:top w:val="single" w:sz="4" w:space="0" w:color="auto"/>
              <w:right w:val="nil"/>
            </w:tcBorders>
          </w:tcPr>
          <w:p w14:paraId="4F39D1C3" w14:textId="77777777" w:rsidR="00681C41" w:rsidRPr="007A4056" w:rsidRDefault="005568CA" w:rsidP="00102EE8">
            <w:r w:rsidRPr="007A4056">
              <w:t>Terrenos e Edificações</w:t>
            </w:r>
          </w:p>
        </w:tc>
        <w:tc>
          <w:tcPr>
            <w:tcW w:w="2128" w:type="dxa"/>
            <w:tcBorders>
              <w:top w:val="single" w:sz="4" w:space="0" w:color="auto"/>
              <w:left w:val="nil"/>
              <w:right w:val="nil"/>
            </w:tcBorders>
            <w:vAlign w:val="center"/>
          </w:tcPr>
          <w:p w14:paraId="7830FD34" w14:textId="77777777" w:rsidR="00681C41" w:rsidRPr="007A4056" w:rsidRDefault="007A4056" w:rsidP="00102EE8">
            <w:r>
              <w:t>v</w:t>
            </w:r>
            <w:r w:rsidR="00D06AAA" w:rsidRPr="007A4056">
              <w:t>76</w:t>
            </w:r>
            <w:r>
              <w:t>;</w:t>
            </w:r>
            <w:r w:rsidR="00D06AAA" w:rsidRPr="007A4056">
              <w:t xml:space="preserve"> </w:t>
            </w:r>
            <w:r>
              <w:t>v</w:t>
            </w:r>
            <w:r w:rsidR="00D06AAA" w:rsidRPr="007A4056">
              <w:t>81</w:t>
            </w:r>
            <w:r>
              <w:t>;</w:t>
            </w:r>
            <w:r w:rsidR="00D06AAA" w:rsidRPr="007A4056">
              <w:t xml:space="preserve"> </w:t>
            </w:r>
            <w:r>
              <w:t>v</w:t>
            </w:r>
            <w:r w:rsidR="00D06AAA" w:rsidRPr="007A4056">
              <w:t>86</w:t>
            </w:r>
          </w:p>
        </w:tc>
        <w:tc>
          <w:tcPr>
            <w:tcW w:w="2128" w:type="dxa"/>
            <w:tcBorders>
              <w:top w:val="single" w:sz="4" w:space="0" w:color="auto"/>
              <w:left w:val="nil"/>
            </w:tcBorders>
            <w:vAlign w:val="center"/>
          </w:tcPr>
          <w:p w14:paraId="0A6EAC27" w14:textId="77777777" w:rsidR="00681C41" w:rsidRPr="007A4056" w:rsidRDefault="00D06AAA" w:rsidP="00102EE8">
            <w:r w:rsidRPr="007A4056">
              <w:t>91</w:t>
            </w:r>
          </w:p>
        </w:tc>
      </w:tr>
      <w:tr w:rsidR="00681C41" w:rsidRPr="007A4056" w14:paraId="5EB65261" w14:textId="77777777" w:rsidTr="007A4056">
        <w:tc>
          <w:tcPr>
            <w:tcW w:w="4160" w:type="dxa"/>
            <w:tcBorders>
              <w:right w:val="nil"/>
            </w:tcBorders>
          </w:tcPr>
          <w:p w14:paraId="6E78B32D" w14:textId="77777777" w:rsidR="00681C41" w:rsidRPr="007A4056" w:rsidRDefault="005568CA" w:rsidP="00102EE8">
            <w:r w:rsidRPr="007A4056">
              <w:t>Máquinas e equipamentos industriais</w:t>
            </w:r>
          </w:p>
        </w:tc>
        <w:tc>
          <w:tcPr>
            <w:tcW w:w="2128" w:type="dxa"/>
            <w:tcBorders>
              <w:left w:val="nil"/>
              <w:right w:val="nil"/>
            </w:tcBorders>
            <w:vAlign w:val="center"/>
          </w:tcPr>
          <w:p w14:paraId="277EB478" w14:textId="77777777" w:rsidR="00681C41" w:rsidRPr="007A4056" w:rsidRDefault="007A4056" w:rsidP="00102EE8">
            <w:r>
              <w:t>v</w:t>
            </w:r>
            <w:r w:rsidR="00D06AAA" w:rsidRPr="007A4056">
              <w:t>77</w:t>
            </w:r>
            <w:r>
              <w:t>;</w:t>
            </w:r>
            <w:r w:rsidR="00D06AAA" w:rsidRPr="007A4056">
              <w:t xml:space="preserve"> </w:t>
            </w:r>
            <w:r>
              <w:t>v</w:t>
            </w:r>
            <w:r w:rsidR="00D06AAA" w:rsidRPr="007A4056">
              <w:t>82</w:t>
            </w:r>
            <w:r>
              <w:t>;</w:t>
            </w:r>
            <w:r w:rsidR="00D06AAA" w:rsidRPr="007A4056">
              <w:t xml:space="preserve"> </w:t>
            </w:r>
            <w:r>
              <w:t>v</w:t>
            </w:r>
            <w:r w:rsidR="00D06AAA" w:rsidRPr="007A4056">
              <w:t>87</w:t>
            </w:r>
          </w:p>
        </w:tc>
        <w:tc>
          <w:tcPr>
            <w:tcW w:w="2128" w:type="dxa"/>
            <w:tcBorders>
              <w:left w:val="nil"/>
            </w:tcBorders>
            <w:vAlign w:val="center"/>
          </w:tcPr>
          <w:p w14:paraId="42DE2175" w14:textId="77777777" w:rsidR="00681C41" w:rsidRPr="007A4056" w:rsidRDefault="00D06AAA" w:rsidP="00102EE8">
            <w:r w:rsidRPr="007A4056">
              <w:t>92</w:t>
            </w:r>
          </w:p>
        </w:tc>
      </w:tr>
      <w:tr w:rsidR="00681C41" w:rsidRPr="007A4056" w14:paraId="2FE302B5" w14:textId="77777777" w:rsidTr="007A4056">
        <w:tc>
          <w:tcPr>
            <w:tcW w:w="4160" w:type="dxa"/>
            <w:tcBorders>
              <w:right w:val="nil"/>
            </w:tcBorders>
          </w:tcPr>
          <w:p w14:paraId="13833B04" w14:textId="77777777" w:rsidR="00681C41" w:rsidRPr="007A4056" w:rsidRDefault="005568CA" w:rsidP="00102EE8">
            <w:r w:rsidRPr="007A4056">
              <w:t>Meios de Transporte</w:t>
            </w:r>
          </w:p>
        </w:tc>
        <w:tc>
          <w:tcPr>
            <w:tcW w:w="2128" w:type="dxa"/>
            <w:tcBorders>
              <w:left w:val="nil"/>
              <w:right w:val="nil"/>
            </w:tcBorders>
            <w:vAlign w:val="center"/>
          </w:tcPr>
          <w:p w14:paraId="2C7BD1E2" w14:textId="77777777" w:rsidR="00681C41" w:rsidRPr="007A4056" w:rsidRDefault="007A4056" w:rsidP="00102EE8">
            <w:r>
              <w:t>v</w:t>
            </w:r>
            <w:r w:rsidR="00D06AAA" w:rsidRPr="007A4056">
              <w:t>78</w:t>
            </w:r>
            <w:r>
              <w:t>;</w:t>
            </w:r>
            <w:r w:rsidR="00D06AAA" w:rsidRPr="007A4056">
              <w:t xml:space="preserve"> </w:t>
            </w:r>
            <w:r>
              <w:t>v</w:t>
            </w:r>
            <w:r w:rsidR="00D06AAA" w:rsidRPr="007A4056">
              <w:t>83</w:t>
            </w:r>
            <w:r>
              <w:t>;</w:t>
            </w:r>
            <w:r w:rsidR="00D06AAA" w:rsidRPr="007A4056">
              <w:t xml:space="preserve"> </w:t>
            </w:r>
            <w:r>
              <w:t>v</w:t>
            </w:r>
            <w:r w:rsidR="00D06AAA" w:rsidRPr="007A4056">
              <w:t>88</w:t>
            </w:r>
          </w:p>
        </w:tc>
        <w:tc>
          <w:tcPr>
            <w:tcW w:w="2128" w:type="dxa"/>
            <w:tcBorders>
              <w:left w:val="nil"/>
            </w:tcBorders>
            <w:vAlign w:val="center"/>
          </w:tcPr>
          <w:p w14:paraId="252FA53E" w14:textId="77777777" w:rsidR="00681C41" w:rsidRPr="007A4056" w:rsidRDefault="00D06AAA" w:rsidP="00102EE8">
            <w:r w:rsidRPr="007A4056">
              <w:t>93</w:t>
            </w:r>
          </w:p>
        </w:tc>
      </w:tr>
      <w:tr w:rsidR="005568CA" w:rsidRPr="007A4056" w14:paraId="35FFAFBF" w14:textId="77777777" w:rsidTr="007A4056">
        <w:tc>
          <w:tcPr>
            <w:tcW w:w="4160" w:type="dxa"/>
            <w:tcBorders>
              <w:bottom w:val="single" w:sz="4" w:space="0" w:color="auto"/>
              <w:right w:val="nil"/>
            </w:tcBorders>
          </w:tcPr>
          <w:p w14:paraId="32EBA2A9" w14:textId="77777777" w:rsidR="005568CA" w:rsidRPr="007A4056" w:rsidRDefault="005568CA" w:rsidP="00102EE8">
            <w:r w:rsidRPr="007A4056">
              <w:t>Outras aquisições</w:t>
            </w:r>
            <w:r w:rsidR="00D06AAA" w:rsidRPr="007A4056">
              <w:t xml:space="preserve">: </w:t>
            </w:r>
            <w:r w:rsidRPr="007A4056">
              <w:t>móveis</w:t>
            </w:r>
            <w:r w:rsidR="00D06AAA" w:rsidRPr="007A4056">
              <w:t xml:space="preserve"> e </w:t>
            </w:r>
            <w:r w:rsidRPr="007A4056">
              <w:t>computadores</w:t>
            </w:r>
          </w:p>
        </w:tc>
        <w:tc>
          <w:tcPr>
            <w:tcW w:w="2128" w:type="dxa"/>
            <w:tcBorders>
              <w:left w:val="nil"/>
              <w:bottom w:val="single" w:sz="4" w:space="0" w:color="auto"/>
              <w:right w:val="nil"/>
            </w:tcBorders>
            <w:vAlign w:val="center"/>
          </w:tcPr>
          <w:p w14:paraId="14CBFD1F" w14:textId="77777777" w:rsidR="005568CA" w:rsidRPr="007A4056" w:rsidRDefault="007A4056" w:rsidP="00102EE8">
            <w:r>
              <w:t>v</w:t>
            </w:r>
            <w:r w:rsidR="00D06AAA" w:rsidRPr="007A4056">
              <w:t>79</w:t>
            </w:r>
            <w:r>
              <w:t>; v</w:t>
            </w:r>
            <w:r w:rsidR="00D06AAA" w:rsidRPr="007A4056">
              <w:t>84</w:t>
            </w:r>
            <w:r>
              <w:t>;</w:t>
            </w:r>
            <w:r w:rsidR="00D06AAA" w:rsidRPr="007A4056">
              <w:t xml:space="preserve"> </w:t>
            </w:r>
            <w:r>
              <w:t>v</w:t>
            </w:r>
            <w:r w:rsidR="00D06AAA" w:rsidRPr="007A4056">
              <w:t>89</w:t>
            </w:r>
          </w:p>
        </w:tc>
        <w:tc>
          <w:tcPr>
            <w:tcW w:w="2128" w:type="dxa"/>
            <w:tcBorders>
              <w:left w:val="nil"/>
              <w:bottom w:val="single" w:sz="4" w:space="0" w:color="auto"/>
            </w:tcBorders>
            <w:vAlign w:val="center"/>
          </w:tcPr>
          <w:p w14:paraId="70BA4BED" w14:textId="77777777" w:rsidR="005568CA" w:rsidRPr="007A4056" w:rsidRDefault="00D06AAA" w:rsidP="00102EE8">
            <w:r w:rsidRPr="007A4056">
              <w:t>94</w:t>
            </w:r>
          </w:p>
        </w:tc>
      </w:tr>
    </w:tbl>
    <w:p w14:paraId="2D05F48D" w14:textId="77777777" w:rsidR="00681C41" w:rsidRDefault="00C3623B" w:rsidP="00102EE8">
      <w:r>
        <w:t>Fonte: Elaboração dos autores</w:t>
      </w:r>
    </w:p>
    <w:p w14:paraId="5883879C" w14:textId="77777777" w:rsidR="00C3623B" w:rsidRDefault="00C3623B" w:rsidP="00102EE8"/>
    <w:p w14:paraId="48F642F7" w14:textId="77777777" w:rsidR="00681C41" w:rsidRDefault="00D06AAA" w:rsidP="00102EE8">
      <w:r>
        <w:t xml:space="preserve">Entretanto, o método do inventário perpétuo também pode ser aplicado de maneira inversa, partindo do futuro e obtendo os valores para o passado. Invertendo a equação </w:t>
      </w:r>
      <w:r w:rsidR="007A4056">
        <w:t xml:space="preserve">(4) </w:t>
      </w:r>
      <w:r>
        <w:t>obtemos:</w:t>
      </w:r>
    </w:p>
    <w:p w14:paraId="2A73C8A9" w14:textId="77777777" w:rsidR="00C65354" w:rsidRPr="00B474D8" w:rsidRDefault="007A4056" w:rsidP="00102EE8">
      <w:r>
        <w:rPr>
          <w:rFonts w:eastAsiaTheme="minorEastAsia"/>
        </w:rPr>
        <w:tab/>
      </w:r>
      <w:r>
        <w:rPr>
          <w:rFonts w:eastAsiaTheme="minorEastAsia"/>
        </w:rPr>
        <w:tab/>
      </w:r>
      <w:r>
        <w:rPr>
          <w:rFonts w:eastAsiaTheme="minorEastAsia"/>
        </w:rPr>
        <w:tab/>
      </w:r>
      <w:r>
        <w:rPr>
          <w:rFonts w:eastAsiaTheme="minorEastAsia"/>
        </w:rPr>
        <w:tab/>
      </w:r>
      <m:oMath>
        <m:sSub>
          <m:sSubPr>
            <m:ctrlPr>
              <w:rPr>
                <w:rFonts w:ascii="Cambria Math" w:hAnsi="Cambria Math"/>
              </w:rPr>
            </m:ctrlPr>
          </m:sSubPr>
          <m:e>
            <m:r>
              <w:rPr>
                <w:rFonts w:ascii="Cambria Math" w:hAnsi="Cambria Math"/>
              </w:rPr>
              <m:t>K</m:t>
            </m:r>
          </m:e>
          <m:sub>
            <m:r>
              <w:rPr>
                <w:rFonts w:ascii="Cambria Math" w:hAnsi="Cambria Math"/>
              </w:rPr>
              <m:t>it</m:t>
            </m:r>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it</m:t>
            </m:r>
          </m:sub>
        </m:sSub>
      </m:oMath>
      <w:r>
        <w:rPr>
          <w:rFonts w:eastAsiaTheme="minorEastAsia" w:cstheme="minorHAnsi"/>
        </w:rPr>
        <w:t xml:space="preserve"> </w:t>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sidRPr="00C164E5">
        <w:rPr>
          <w:rFonts w:cstheme="minorHAnsi"/>
        </w:rPr>
        <w:t>(</w:t>
      </w:r>
      <w:r w:rsidR="000C3D81" w:rsidRPr="00C164E5">
        <w:rPr>
          <w:rFonts w:cstheme="minorHAnsi"/>
        </w:rPr>
        <w:fldChar w:fldCharType="begin"/>
      </w:r>
      <w:r w:rsidRPr="00C164E5">
        <w:rPr>
          <w:rFonts w:cstheme="minorHAnsi"/>
        </w:rPr>
        <w:instrText xml:space="preserve"> SEQ Equação \* ARABIC </w:instrText>
      </w:r>
      <w:r w:rsidR="000C3D81" w:rsidRPr="00C164E5">
        <w:rPr>
          <w:rFonts w:cstheme="minorHAnsi"/>
        </w:rPr>
        <w:fldChar w:fldCharType="separate"/>
      </w:r>
      <w:r>
        <w:rPr>
          <w:rFonts w:cstheme="minorHAnsi"/>
          <w:noProof/>
        </w:rPr>
        <w:t>4</w:t>
      </w:r>
      <w:r w:rsidR="000C3D81" w:rsidRPr="00C164E5">
        <w:rPr>
          <w:rFonts w:cstheme="minorHAnsi"/>
        </w:rPr>
        <w:fldChar w:fldCharType="end"/>
      </w:r>
      <w:r w:rsidRPr="00C164E5">
        <w:rPr>
          <w:rFonts w:cstheme="minorHAnsi"/>
        </w:rPr>
        <w:t>)</w:t>
      </w:r>
    </w:p>
    <w:p w14:paraId="36E5C773" w14:textId="77777777" w:rsidR="00BE6F25" w:rsidRPr="00B1455E" w:rsidRDefault="00B11782" w:rsidP="00102EE8">
      <w:r>
        <w:t xml:space="preserve">Desta forma é possível partir do ano de 2015, onde as informações de ativos fixos possuem maior qualidade e seguir com preenchimento reverso do estoque de capital.  </w:t>
      </w:r>
    </w:p>
    <w:p w14:paraId="28214844" w14:textId="77777777" w:rsidR="00C164E5" w:rsidRDefault="00C164E5" w:rsidP="0002542D">
      <w:r>
        <w:t>Desta forma temos três possibilidades de aplicação do método do inventário perpétuo: (i) utilizando valores iniciais e taxa de depreciação fixa, (ii) utilizando valores iniciais e taxa de depreciação variável, (iii) utilizando fórmula inversa do inventário perpetuo.</w:t>
      </w:r>
    </w:p>
    <w:p w14:paraId="1FDE291A" w14:textId="77777777" w:rsidR="00BE6F25" w:rsidRDefault="00BE6F25" w:rsidP="00102EE8">
      <w:pPr>
        <w:pStyle w:val="PargrafodaLista"/>
      </w:pPr>
    </w:p>
    <w:p w14:paraId="28DBA077" w14:textId="77777777" w:rsidR="00C164E5" w:rsidRDefault="00C164E5" w:rsidP="00102EE8">
      <w:pPr>
        <w:pStyle w:val="PargrafodaLista"/>
      </w:pPr>
    </w:p>
    <w:p w14:paraId="0CA7BCCA" w14:textId="77777777" w:rsidR="00C3623B" w:rsidRDefault="00C3623B" w:rsidP="00102EE8">
      <w:pPr>
        <w:pStyle w:val="PargrafodaLista"/>
      </w:pPr>
    </w:p>
    <w:p w14:paraId="1A0256C5" w14:textId="77777777" w:rsidR="00C3623B" w:rsidRDefault="00C3623B" w:rsidP="00102EE8">
      <w:pPr>
        <w:pStyle w:val="PargrafodaLista"/>
      </w:pPr>
    </w:p>
    <w:p w14:paraId="66C77EAF" w14:textId="77777777" w:rsidR="00C164E5" w:rsidRPr="007A4056" w:rsidRDefault="007A4056" w:rsidP="00C3623B">
      <w:r w:rsidRPr="007A4056">
        <w:t xml:space="preserve">Tabela </w:t>
      </w:r>
      <w:r w:rsidR="005B7DA8">
        <w:fldChar w:fldCharType="begin"/>
      </w:r>
      <w:r w:rsidR="005B7DA8">
        <w:instrText xml:space="preserve"> SEQ Tabela \* ARABIC </w:instrText>
      </w:r>
      <w:r w:rsidR="005B7DA8">
        <w:fldChar w:fldCharType="separate"/>
      </w:r>
      <w:r w:rsidR="00C3623B">
        <w:rPr>
          <w:noProof/>
        </w:rPr>
        <w:t>4</w:t>
      </w:r>
      <w:r w:rsidR="005B7DA8">
        <w:rPr>
          <w:noProof/>
        </w:rPr>
        <w:fldChar w:fldCharType="end"/>
      </w:r>
      <w:r w:rsidRPr="007A4056">
        <w:t>: Perguntas da Seção “E” do questionário da PIA utilizada na definição de Investimentos e Baixas.</w:t>
      </w:r>
    </w:p>
    <w:tbl>
      <w:tblPr>
        <w:tblStyle w:val="Tabelacomgrade"/>
        <w:tblW w:w="8560" w:type="dxa"/>
        <w:tblBorders>
          <w:left w:val="none" w:sz="0" w:space="0" w:color="auto"/>
          <w:right w:val="none" w:sz="0" w:space="0" w:color="auto"/>
          <w:insideH w:val="dotted" w:sz="4" w:space="0" w:color="auto"/>
        </w:tblBorders>
        <w:tblLook w:val="04A0" w:firstRow="1" w:lastRow="0" w:firstColumn="1" w:lastColumn="0" w:noHBand="0" w:noVBand="1"/>
      </w:tblPr>
      <w:tblGrid>
        <w:gridCol w:w="4730"/>
        <w:gridCol w:w="2540"/>
        <w:gridCol w:w="622"/>
        <w:gridCol w:w="668"/>
      </w:tblGrid>
      <w:tr w:rsidR="00C164E5" w:rsidRPr="007A4056" w14:paraId="0CA9E6A6" w14:textId="77777777" w:rsidTr="0002542D">
        <w:tc>
          <w:tcPr>
            <w:tcW w:w="4730" w:type="dxa"/>
            <w:tcBorders>
              <w:top w:val="single" w:sz="4" w:space="0" w:color="auto"/>
              <w:bottom w:val="single" w:sz="4" w:space="0" w:color="auto"/>
            </w:tcBorders>
          </w:tcPr>
          <w:p w14:paraId="0E53E57B" w14:textId="77777777" w:rsidR="00C164E5" w:rsidRPr="007A4056" w:rsidRDefault="007A4056" w:rsidP="00102EE8">
            <w:pPr>
              <w:pStyle w:val="PargrafodaLista"/>
            </w:pPr>
            <w:r>
              <w:t>Método</w:t>
            </w:r>
          </w:p>
        </w:tc>
        <w:tc>
          <w:tcPr>
            <w:tcW w:w="2540" w:type="dxa"/>
            <w:tcBorders>
              <w:top w:val="single" w:sz="4" w:space="0" w:color="auto"/>
              <w:bottom w:val="single" w:sz="4" w:space="0" w:color="auto"/>
              <w:right w:val="nil"/>
            </w:tcBorders>
            <w:vAlign w:val="center"/>
          </w:tcPr>
          <w:p w14:paraId="4397545C" w14:textId="77777777" w:rsidR="00C164E5" w:rsidRPr="007A4056" w:rsidRDefault="007A4056" w:rsidP="0002542D">
            <w:pPr>
              <w:pStyle w:val="PargrafodaLista"/>
              <w:jc w:val="center"/>
            </w:pPr>
            <w:r>
              <w:t>Fórmula</w:t>
            </w:r>
          </w:p>
        </w:tc>
        <w:tc>
          <w:tcPr>
            <w:tcW w:w="622" w:type="dxa"/>
            <w:tcBorders>
              <w:top w:val="single" w:sz="4" w:space="0" w:color="auto"/>
              <w:left w:val="nil"/>
              <w:bottom w:val="single" w:sz="4" w:space="0" w:color="auto"/>
              <w:right w:val="nil"/>
            </w:tcBorders>
            <w:vAlign w:val="center"/>
          </w:tcPr>
          <w:p w14:paraId="1F8C1B80" w14:textId="77777777" w:rsidR="00C164E5" w:rsidRPr="0002542D" w:rsidRDefault="00C164E5" w:rsidP="0002542D">
            <w:pPr>
              <w:jc w:val="center"/>
            </w:pPr>
            <w:r w:rsidRPr="0002542D">
              <w:t>PIA</w:t>
            </w:r>
          </w:p>
        </w:tc>
        <w:tc>
          <w:tcPr>
            <w:tcW w:w="668" w:type="dxa"/>
            <w:tcBorders>
              <w:top w:val="single" w:sz="4" w:space="0" w:color="auto"/>
              <w:left w:val="nil"/>
              <w:bottom w:val="single" w:sz="4" w:space="0" w:color="auto"/>
            </w:tcBorders>
            <w:vAlign w:val="center"/>
          </w:tcPr>
          <w:p w14:paraId="5D07BB50" w14:textId="77777777" w:rsidR="00C164E5" w:rsidRPr="0002542D" w:rsidRDefault="00C164E5" w:rsidP="0002542D">
            <w:pPr>
              <w:jc w:val="center"/>
            </w:pPr>
            <w:r w:rsidRPr="0002542D">
              <w:t>PAS</w:t>
            </w:r>
          </w:p>
        </w:tc>
      </w:tr>
      <w:tr w:rsidR="00C164E5" w:rsidRPr="007A4056" w14:paraId="60FCD9C1" w14:textId="77777777" w:rsidTr="0002542D">
        <w:tc>
          <w:tcPr>
            <w:tcW w:w="4730" w:type="dxa"/>
            <w:tcBorders>
              <w:top w:val="single" w:sz="4" w:space="0" w:color="auto"/>
            </w:tcBorders>
          </w:tcPr>
          <w:p w14:paraId="6D022812" w14:textId="77777777" w:rsidR="00C164E5" w:rsidRPr="0002542D" w:rsidRDefault="00C164E5" w:rsidP="0002542D">
            <w:r w:rsidRPr="0002542D">
              <w:t>(i) Inventário perpétuo simples</w:t>
            </w:r>
          </w:p>
        </w:tc>
        <w:tc>
          <w:tcPr>
            <w:tcW w:w="2540" w:type="dxa"/>
            <w:tcBorders>
              <w:top w:val="single" w:sz="4" w:space="0" w:color="auto"/>
              <w:right w:val="nil"/>
            </w:tcBorders>
            <w:vAlign w:val="center"/>
          </w:tcPr>
          <w:p w14:paraId="06C83C78" w14:textId="77777777" w:rsidR="00C164E5" w:rsidRPr="0002542D" w:rsidRDefault="005B7DA8" w:rsidP="0002542D">
            <w:pPr>
              <w:jc w:val="center"/>
            </w:pPr>
            <m:oMathPara>
              <m:oMath>
                <m:sSub>
                  <m:sSubPr>
                    <m:ctrlPr>
                      <w:rPr>
                        <w:rFonts w:ascii="Cambria Math" w:hAnsi="Cambria Math"/>
                      </w:rPr>
                    </m:ctrlPr>
                  </m:sSubPr>
                  <m:e>
                    <m:r>
                      <w:rPr>
                        <w:rFonts w:ascii="Cambria Math" w:hAnsi="Cambria Math"/>
                      </w:rPr>
                      <m:t>K</m:t>
                    </m:r>
                  </m:e>
                  <m:sub>
                    <m:r>
                      <w:rPr>
                        <w:rFonts w:ascii="Cambria Math" w:hAnsi="Cambria Math"/>
                      </w:rPr>
                      <m:t>it</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δ</m:t>
                    </m:r>
                  </m:e>
                </m:d>
                <m:sSub>
                  <m:sSubPr>
                    <m:ctrlPr>
                      <w:rPr>
                        <w:rFonts w:ascii="Cambria Math" w:hAnsi="Cambria Math"/>
                      </w:rPr>
                    </m:ctrlPr>
                  </m:sSubPr>
                  <m:e>
                    <m:r>
                      <w:rPr>
                        <w:rFonts w:ascii="Cambria Math" w:hAnsi="Cambria Math"/>
                      </w:rPr>
                      <m:t>K</m:t>
                    </m:r>
                  </m:e>
                  <m:sub>
                    <m:r>
                      <w:rPr>
                        <w:rFonts w:ascii="Cambria Math" w:hAnsi="Cambria Math"/>
                      </w:rPr>
                      <m:t>it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it</m:t>
                    </m:r>
                  </m:sub>
                </m:sSub>
              </m:oMath>
            </m:oMathPara>
          </w:p>
        </w:tc>
        <w:tc>
          <w:tcPr>
            <w:tcW w:w="622" w:type="dxa"/>
            <w:tcBorders>
              <w:top w:val="single" w:sz="4" w:space="0" w:color="auto"/>
              <w:left w:val="nil"/>
              <w:right w:val="nil"/>
            </w:tcBorders>
            <w:vAlign w:val="center"/>
          </w:tcPr>
          <w:p w14:paraId="4AC479DF" w14:textId="77777777" w:rsidR="00C164E5" w:rsidRPr="0002542D" w:rsidRDefault="00C164E5" w:rsidP="0002542D">
            <w:pPr>
              <w:jc w:val="center"/>
            </w:pPr>
            <w:r w:rsidRPr="0002542D">
              <w:t>X</w:t>
            </w:r>
          </w:p>
        </w:tc>
        <w:tc>
          <w:tcPr>
            <w:tcW w:w="668" w:type="dxa"/>
            <w:tcBorders>
              <w:top w:val="single" w:sz="4" w:space="0" w:color="auto"/>
              <w:left w:val="nil"/>
            </w:tcBorders>
            <w:vAlign w:val="center"/>
          </w:tcPr>
          <w:p w14:paraId="6E843547" w14:textId="77777777" w:rsidR="00C164E5" w:rsidRPr="0002542D" w:rsidRDefault="00C164E5" w:rsidP="0002542D">
            <w:pPr>
              <w:jc w:val="center"/>
            </w:pPr>
          </w:p>
        </w:tc>
      </w:tr>
      <w:tr w:rsidR="00C164E5" w:rsidRPr="007A4056" w14:paraId="5EAEDCA1" w14:textId="77777777" w:rsidTr="0002542D">
        <w:tc>
          <w:tcPr>
            <w:tcW w:w="4730" w:type="dxa"/>
          </w:tcPr>
          <w:p w14:paraId="5F3AAFC8" w14:textId="77777777" w:rsidR="00C164E5" w:rsidRPr="007A4056" w:rsidRDefault="00C164E5" w:rsidP="00102EE8">
            <w:r w:rsidRPr="007A4056">
              <w:t>(ii) Inventário perpétuo com depreciação variável</w:t>
            </w:r>
          </w:p>
        </w:tc>
        <w:tc>
          <w:tcPr>
            <w:tcW w:w="2540" w:type="dxa"/>
            <w:tcBorders>
              <w:right w:val="nil"/>
            </w:tcBorders>
            <w:vAlign w:val="center"/>
          </w:tcPr>
          <w:p w14:paraId="6976705C" w14:textId="77777777" w:rsidR="00C164E5" w:rsidRPr="0002542D" w:rsidRDefault="005B7DA8" w:rsidP="0002542D">
            <w:pPr>
              <w:jc w:val="center"/>
            </w:pPr>
            <m:oMathPara>
              <m:oMath>
                <m:sSub>
                  <m:sSubPr>
                    <m:ctrlPr>
                      <w:rPr>
                        <w:rFonts w:ascii="Cambria Math" w:hAnsi="Cambria Math"/>
                      </w:rPr>
                    </m:ctrlPr>
                  </m:sSubPr>
                  <m:e>
                    <m:r>
                      <w:rPr>
                        <w:rFonts w:ascii="Cambria Math" w:hAnsi="Cambria Math"/>
                      </w:rPr>
                      <m:t>K</m:t>
                    </m:r>
                  </m:e>
                  <m:sub>
                    <m:r>
                      <w:rPr>
                        <w:rFonts w:ascii="Cambria Math" w:hAnsi="Cambria Math"/>
                      </w:rPr>
                      <m:t>it</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K</m:t>
                    </m:r>
                  </m:e>
                  <m:sub>
                    <m:r>
                      <w:rPr>
                        <w:rFonts w:ascii="Cambria Math" w:hAnsi="Cambria Math"/>
                      </w:rPr>
                      <m:t>it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it</m:t>
                    </m:r>
                  </m:sub>
                </m:sSub>
              </m:oMath>
            </m:oMathPara>
          </w:p>
        </w:tc>
        <w:tc>
          <w:tcPr>
            <w:tcW w:w="622" w:type="dxa"/>
            <w:tcBorders>
              <w:left w:val="nil"/>
              <w:right w:val="nil"/>
            </w:tcBorders>
            <w:vAlign w:val="center"/>
          </w:tcPr>
          <w:p w14:paraId="7FC1580E" w14:textId="77777777" w:rsidR="00C164E5" w:rsidRPr="0002542D" w:rsidRDefault="00C164E5" w:rsidP="0002542D">
            <w:pPr>
              <w:jc w:val="center"/>
            </w:pPr>
            <w:r w:rsidRPr="0002542D">
              <w:t>X</w:t>
            </w:r>
          </w:p>
        </w:tc>
        <w:tc>
          <w:tcPr>
            <w:tcW w:w="668" w:type="dxa"/>
            <w:tcBorders>
              <w:left w:val="nil"/>
            </w:tcBorders>
            <w:vAlign w:val="center"/>
          </w:tcPr>
          <w:p w14:paraId="375BFABC" w14:textId="77777777" w:rsidR="00C164E5" w:rsidRPr="0002542D" w:rsidRDefault="00C164E5" w:rsidP="0002542D">
            <w:pPr>
              <w:jc w:val="center"/>
            </w:pPr>
            <w:r w:rsidRPr="0002542D">
              <w:t>X</w:t>
            </w:r>
          </w:p>
        </w:tc>
      </w:tr>
      <w:tr w:rsidR="00C164E5" w:rsidRPr="007A4056" w14:paraId="1CFBD9B0" w14:textId="77777777" w:rsidTr="0002542D">
        <w:tc>
          <w:tcPr>
            <w:tcW w:w="4730" w:type="dxa"/>
          </w:tcPr>
          <w:p w14:paraId="755300A0" w14:textId="77777777" w:rsidR="00C164E5" w:rsidRPr="0002542D" w:rsidRDefault="00C164E5" w:rsidP="0002542D">
            <w:r w:rsidRPr="0002542D">
              <w:t>(iii) Fórmula inversa do inventário perpétuo</w:t>
            </w:r>
          </w:p>
        </w:tc>
        <w:tc>
          <w:tcPr>
            <w:tcW w:w="2540" w:type="dxa"/>
            <w:tcBorders>
              <w:bottom w:val="single" w:sz="4" w:space="0" w:color="auto"/>
              <w:right w:val="nil"/>
            </w:tcBorders>
            <w:vAlign w:val="center"/>
          </w:tcPr>
          <w:p w14:paraId="0C4BE8CC" w14:textId="77777777" w:rsidR="00C164E5" w:rsidRPr="0002542D" w:rsidRDefault="005B7DA8" w:rsidP="0002542D">
            <w:pPr>
              <w:jc w:val="center"/>
            </w:pPr>
            <m:oMathPara>
              <m:oMath>
                <m:sSub>
                  <m:sSubPr>
                    <m:ctrlPr>
                      <w:rPr>
                        <w:rFonts w:ascii="Cambria Math" w:hAnsi="Cambria Math"/>
                      </w:rPr>
                    </m:ctrlPr>
                  </m:sSubPr>
                  <m:e>
                    <m:r>
                      <w:rPr>
                        <w:rFonts w:ascii="Cambria Math" w:hAnsi="Cambria Math"/>
                      </w:rPr>
                      <m:t>K</m:t>
                    </m:r>
                  </m:e>
                  <m:sub>
                    <m:r>
                      <w:rPr>
                        <w:rFonts w:ascii="Cambria Math" w:hAnsi="Cambria Math"/>
                      </w:rPr>
                      <m:t>it</m:t>
                    </m:r>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K</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it</m:t>
                    </m:r>
                  </m:sub>
                </m:sSub>
              </m:oMath>
            </m:oMathPara>
          </w:p>
        </w:tc>
        <w:tc>
          <w:tcPr>
            <w:tcW w:w="622" w:type="dxa"/>
            <w:tcBorders>
              <w:left w:val="nil"/>
              <w:bottom w:val="single" w:sz="4" w:space="0" w:color="auto"/>
              <w:right w:val="nil"/>
            </w:tcBorders>
            <w:vAlign w:val="center"/>
          </w:tcPr>
          <w:p w14:paraId="572E9886" w14:textId="77777777" w:rsidR="00C164E5" w:rsidRPr="0002542D" w:rsidRDefault="00C164E5" w:rsidP="0002542D">
            <w:pPr>
              <w:jc w:val="center"/>
            </w:pPr>
          </w:p>
        </w:tc>
        <w:tc>
          <w:tcPr>
            <w:tcW w:w="668" w:type="dxa"/>
            <w:tcBorders>
              <w:left w:val="nil"/>
              <w:bottom w:val="single" w:sz="4" w:space="0" w:color="auto"/>
            </w:tcBorders>
            <w:vAlign w:val="center"/>
          </w:tcPr>
          <w:p w14:paraId="319E3249" w14:textId="77777777" w:rsidR="00C164E5" w:rsidRPr="0002542D" w:rsidRDefault="00C164E5" w:rsidP="0002542D">
            <w:pPr>
              <w:jc w:val="center"/>
            </w:pPr>
            <w:r w:rsidRPr="0002542D">
              <w:t>X</w:t>
            </w:r>
          </w:p>
        </w:tc>
      </w:tr>
    </w:tbl>
    <w:p w14:paraId="04DAED23" w14:textId="77777777" w:rsidR="007A4056" w:rsidRPr="007A4056" w:rsidRDefault="007A4056" w:rsidP="00102EE8">
      <w:r w:rsidRPr="007A4056">
        <w:t xml:space="preserve">Fonte: Elaboração dos Autores </w:t>
      </w:r>
    </w:p>
    <w:p w14:paraId="5DC81408" w14:textId="77777777" w:rsidR="00C164E5" w:rsidRDefault="00C164E5" w:rsidP="00102EE8">
      <w:pPr>
        <w:pStyle w:val="PargrafodaLista"/>
      </w:pPr>
    </w:p>
    <w:p w14:paraId="5FB55936" w14:textId="77777777" w:rsidR="00C164E5" w:rsidRDefault="00C164E5" w:rsidP="00102EE8">
      <w:pPr>
        <w:pStyle w:val="PargrafodaLista"/>
      </w:pPr>
    </w:p>
    <w:p w14:paraId="4B2C5272" w14:textId="77777777" w:rsidR="00C164E5" w:rsidRPr="00C3623B" w:rsidRDefault="00C3623B" w:rsidP="00C3623B">
      <w:pPr>
        <w:pStyle w:val="PargrafodaLista"/>
        <w:numPr>
          <w:ilvl w:val="1"/>
          <w:numId w:val="19"/>
        </w:numPr>
        <w:ind w:left="0" w:firstLine="0"/>
        <w:outlineLvl w:val="1"/>
        <w:rPr>
          <w:b/>
        </w:rPr>
      </w:pPr>
      <w:r w:rsidRPr="00C3623B">
        <w:rPr>
          <w:b/>
        </w:rPr>
        <w:t xml:space="preserve">Definição de </w:t>
      </w:r>
      <w:r w:rsidR="00C164E5" w:rsidRPr="00C3623B">
        <w:rPr>
          <w:b/>
        </w:rPr>
        <w:t xml:space="preserve">Estoque de Capital </w:t>
      </w:r>
      <w:r w:rsidR="007A4056" w:rsidRPr="00C3623B">
        <w:rPr>
          <w:b/>
        </w:rPr>
        <w:t>Inicial</w:t>
      </w:r>
      <w:r w:rsidRPr="00C3623B">
        <w:rPr>
          <w:b/>
        </w:rPr>
        <w:t xml:space="preserve"> na PIA</w:t>
      </w:r>
    </w:p>
    <w:p w14:paraId="7E63B37B" w14:textId="77777777" w:rsidR="00B707A3" w:rsidRDefault="007A4056" w:rsidP="00C3623B">
      <w:pPr>
        <w:ind w:firstLine="708"/>
      </w:pPr>
      <w:r>
        <w:t xml:space="preserve">Nesta seção </w:t>
      </w:r>
      <w:r w:rsidR="001E4BC4">
        <w:t xml:space="preserve">apresentamos os </w:t>
      </w:r>
      <w:r>
        <w:t xml:space="preserve">passos utilizados na determinação do estoque de capital inicial. Os valores iniciais são obtidos utilizando </w:t>
      </w:r>
      <w:r w:rsidR="00EE750E">
        <w:t xml:space="preserve">os </w:t>
      </w:r>
      <w:r w:rsidR="00EE750E" w:rsidRPr="006A0E26">
        <w:t xml:space="preserve">dados setoriais </w:t>
      </w:r>
      <w:r w:rsidR="00EE750E">
        <w:t>de formação bruta do capital</w:t>
      </w:r>
      <w:r w:rsidR="00B1455E">
        <w:t xml:space="preserve"> </w:t>
      </w:r>
      <w:r w:rsidR="001E4BC4">
        <w:t xml:space="preserve">para os </w:t>
      </w:r>
      <w:r w:rsidR="00FF26ED">
        <w:t>1986 até 1995</w:t>
      </w:r>
      <w:r w:rsidR="001E4BC4">
        <w:t xml:space="preserve">, aplicando o inventário perpetuo </w:t>
      </w:r>
      <w:r>
        <w:t>conforme Alves e Messa (2007)</w:t>
      </w:r>
      <w:r w:rsidR="00FF26ED">
        <w:t>.</w:t>
      </w:r>
      <w:r w:rsidR="00B66FB8">
        <w:t xml:space="preserve"> </w:t>
      </w:r>
      <w:r w:rsidR="001E4BC4">
        <w:t>Então, n</w:t>
      </w:r>
      <w:r>
        <w:t xml:space="preserve">o ano de 1996, o estoque de capital setorial é </w:t>
      </w:r>
      <w:r w:rsidR="00B66FB8">
        <w:t xml:space="preserve">alocado </w:t>
      </w:r>
      <w:r>
        <w:t>para as firmas</w:t>
      </w:r>
      <w:r w:rsidR="001E4BC4">
        <w:t xml:space="preserve"> em proporção </w:t>
      </w:r>
      <w:r>
        <w:t>à participação setorial em termos de pessoal ocupado</w:t>
      </w:r>
      <w:r w:rsidR="00B707A3">
        <w:t>.</w:t>
      </w:r>
    </w:p>
    <w:p w14:paraId="51E96E3E" w14:textId="77777777" w:rsidR="00682167" w:rsidRDefault="00682167" w:rsidP="00102EE8"/>
    <w:p w14:paraId="03372468" w14:textId="77777777" w:rsidR="009E30CE" w:rsidRPr="00C3623B" w:rsidRDefault="00C3623B" w:rsidP="00C3623B">
      <w:pPr>
        <w:pStyle w:val="Legenda"/>
        <w:rPr>
          <w:rFonts w:asciiTheme="minorHAnsi" w:hAnsiTheme="minorHAnsi" w:cstheme="minorHAnsi"/>
          <w:sz w:val="22"/>
          <w:szCs w:val="22"/>
        </w:rPr>
      </w:pPr>
      <w:r w:rsidRPr="00C3623B">
        <w:rPr>
          <w:rFonts w:asciiTheme="minorHAnsi" w:hAnsiTheme="minorHAnsi" w:cstheme="minorHAnsi"/>
          <w:sz w:val="22"/>
          <w:szCs w:val="22"/>
        </w:rPr>
        <w:t xml:space="preserve">Tabela </w:t>
      </w:r>
      <w:r w:rsidRPr="00C3623B">
        <w:rPr>
          <w:rFonts w:asciiTheme="minorHAnsi" w:hAnsiTheme="minorHAnsi" w:cstheme="minorHAnsi"/>
          <w:sz w:val="22"/>
          <w:szCs w:val="22"/>
        </w:rPr>
        <w:fldChar w:fldCharType="begin"/>
      </w:r>
      <w:r w:rsidRPr="00C3623B">
        <w:rPr>
          <w:rFonts w:asciiTheme="minorHAnsi" w:hAnsiTheme="minorHAnsi" w:cstheme="minorHAnsi"/>
          <w:sz w:val="22"/>
          <w:szCs w:val="22"/>
        </w:rPr>
        <w:instrText xml:space="preserve"> SEQ Tabela \* ARABIC </w:instrText>
      </w:r>
      <w:r w:rsidRPr="00C3623B">
        <w:rPr>
          <w:rFonts w:asciiTheme="minorHAnsi" w:hAnsiTheme="minorHAnsi" w:cstheme="minorHAnsi"/>
          <w:sz w:val="22"/>
          <w:szCs w:val="22"/>
        </w:rPr>
        <w:fldChar w:fldCharType="separate"/>
      </w:r>
      <w:r w:rsidRPr="00C3623B">
        <w:rPr>
          <w:rFonts w:asciiTheme="minorHAnsi" w:hAnsiTheme="minorHAnsi" w:cstheme="minorHAnsi"/>
          <w:noProof/>
          <w:sz w:val="22"/>
          <w:szCs w:val="22"/>
        </w:rPr>
        <w:t>5</w:t>
      </w:r>
      <w:r w:rsidRPr="00C3623B">
        <w:rPr>
          <w:rFonts w:asciiTheme="minorHAnsi" w:hAnsiTheme="minorHAnsi" w:cstheme="minorHAnsi"/>
          <w:sz w:val="22"/>
          <w:szCs w:val="22"/>
        </w:rPr>
        <w:fldChar w:fldCharType="end"/>
      </w:r>
      <w:r w:rsidRPr="00C3623B">
        <w:rPr>
          <w:rFonts w:asciiTheme="minorHAnsi" w:hAnsiTheme="minorHAnsi" w:cstheme="minorHAnsi"/>
          <w:sz w:val="22"/>
          <w:szCs w:val="22"/>
        </w:rPr>
        <w:t xml:space="preserve">: </w:t>
      </w:r>
      <w:r w:rsidR="001E4BC4" w:rsidRPr="00C3623B">
        <w:rPr>
          <w:rFonts w:asciiTheme="minorHAnsi" w:hAnsiTheme="minorHAnsi" w:cstheme="minorHAnsi"/>
          <w:sz w:val="22"/>
          <w:szCs w:val="22"/>
        </w:rPr>
        <w:t>Série Histórica do Estoque de Capital Setorial</w:t>
      </w:r>
    </w:p>
    <w:tbl>
      <w:tblPr>
        <w:tblStyle w:val="Tabelacomgrade"/>
        <w:tblW w:w="0" w:type="auto"/>
        <w:tblBorders>
          <w:left w:val="none" w:sz="0" w:space="0" w:color="auto"/>
          <w:right w:val="none" w:sz="0" w:space="0" w:color="auto"/>
          <w:insideH w:val="dotted" w:sz="4" w:space="0" w:color="auto"/>
          <w:insideV w:val="dotted" w:sz="4" w:space="0" w:color="auto"/>
        </w:tblBorders>
        <w:tblLook w:val="04A0" w:firstRow="1" w:lastRow="0" w:firstColumn="1" w:lastColumn="0" w:noHBand="0" w:noVBand="1"/>
      </w:tblPr>
      <w:tblGrid>
        <w:gridCol w:w="776"/>
        <w:gridCol w:w="1837"/>
        <w:gridCol w:w="1835"/>
        <w:gridCol w:w="2566"/>
        <w:gridCol w:w="1706"/>
      </w:tblGrid>
      <w:tr w:rsidR="001E4BC4" w:rsidRPr="001E4BC4" w14:paraId="7151EE45" w14:textId="77777777" w:rsidTr="0002542D">
        <w:tc>
          <w:tcPr>
            <w:tcW w:w="776" w:type="dxa"/>
            <w:tcBorders>
              <w:top w:val="single" w:sz="4" w:space="0" w:color="auto"/>
              <w:bottom w:val="single" w:sz="4" w:space="0" w:color="auto"/>
            </w:tcBorders>
          </w:tcPr>
          <w:p w14:paraId="757C6220" w14:textId="77777777" w:rsidR="001E4BC4" w:rsidRPr="001E4BC4" w:rsidRDefault="001E4BC4" w:rsidP="00102EE8"/>
        </w:tc>
        <w:tc>
          <w:tcPr>
            <w:tcW w:w="1837" w:type="dxa"/>
            <w:tcBorders>
              <w:top w:val="single" w:sz="4" w:space="0" w:color="auto"/>
              <w:bottom w:val="single" w:sz="4" w:space="0" w:color="auto"/>
            </w:tcBorders>
          </w:tcPr>
          <w:p w14:paraId="3FCD563F" w14:textId="77777777" w:rsidR="001E4BC4" w:rsidRPr="001E4BC4" w:rsidRDefault="001E4BC4" w:rsidP="00102EE8">
            <w:r w:rsidRPr="001E4BC4">
              <w:t>Formação Bruta de Capital Fixo</w:t>
            </w:r>
          </w:p>
        </w:tc>
        <w:tc>
          <w:tcPr>
            <w:tcW w:w="1835" w:type="dxa"/>
            <w:tcBorders>
              <w:top w:val="single" w:sz="4" w:space="0" w:color="auto"/>
              <w:bottom w:val="single" w:sz="4" w:space="0" w:color="auto"/>
            </w:tcBorders>
          </w:tcPr>
          <w:p w14:paraId="43727997" w14:textId="77777777" w:rsidR="001E4BC4" w:rsidRPr="001E4BC4" w:rsidRDefault="001E4BC4" w:rsidP="00102EE8">
            <w:r w:rsidRPr="001E4BC4">
              <w:t>Deflator da Formaçã0 Bruta de Capital Fixo</w:t>
            </w:r>
          </w:p>
        </w:tc>
        <w:tc>
          <w:tcPr>
            <w:tcW w:w="2566" w:type="dxa"/>
            <w:tcBorders>
              <w:top w:val="single" w:sz="4" w:space="0" w:color="auto"/>
              <w:bottom w:val="single" w:sz="4" w:space="0" w:color="auto"/>
            </w:tcBorders>
          </w:tcPr>
          <w:p w14:paraId="19AF735E" w14:textId="77777777" w:rsidR="001E4BC4" w:rsidRPr="001E4BC4" w:rsidRDefault="001E4BC4" w:rsidP="00102EE8">
            <w:r w:rsidRPr="001E4BC4">
              <w:t>Investimento</w:t>
            </w:r>
          </w:p>
        </w:tc>
        <w:tc>
          <w:tcPr>
            <w:tcW w:w="1706" w:type="dxa"/>
            <w:tcBorders>
              <w:top w:val="single" w:sz="4" w:space="0" w:color="auto"/>
              <w:bottom w:val="single" w:sz="4" w:space="0" w:color="auto"/>
            </w:tcBorders>
          </w:tcPr>
          <w:p w14:paraId="7AE9AAFF" w14:textId="77777777" w:rsidR="001E4BC4" w:rsidRPr="001E4BC4" w:rsidRDefault="001E4BC4" w:rsidP="00102EE8">
            <w:r w:rsidRPr="001E4BC4">
              <w:t>Estoque de Capital</w:t>
            </w:r>
          </w:p>
        </w:tc>
      </w:tr>
      <w:tr w:rsidR="001E4BC4" w:rsidRPr="001E4BC4" w14:paraId="314846BD" w14:textId="77777777" w:rsidTr="0002542D">
        <w:tc>
          <w:tcPr>
            <w:tcW w:w="776" w:type="dxa"/>
            <w:tcBorders>
              <w:top w:val="single" w:sz="4" w:space="0" w:color="auto"/>
            </w:tcBorders>
          </w:tcPr>
          <w:p w14:paraId="6F2ED429" w14:textId="77777777" w:rsidR="001E4BC4" w:rsidRPr="001E4BC4" w:rsidRDefault="001E4BC4" w:rsidP="00102EE8">
            <w:r w:rsidRPr="001E4BC4">
              <w:t>1986</w:t>
            </w:r>
          </w:p>
        </w:tc>
        <w:tc>
          <w:tcPr>
            <w:tcW w:w="1837" w:type="dxa"/>
            <w:tcBorders>
              <w:top w:val="single" w:sz="4" w:space="0" w:color="auto"/>
            </w:tcBorders>
          </w:tcPr>
          <w:p w14:paraId="728E15EA" w14:textId="77777777" w:rsidR="001E4BC4" w:rsidRPr="001E4BC4" w:rsidRDefault="001E4BC4" w:rsidP="00102EE8">
            <w:r w:rsidRPr="001E4BC4">
              <w:t>Série Original</w:t>
            </w:r>
          </w:p>
        </w:tc>
        <w:tc>
          <w:tcPr>
            <w:tcW w:w="1835" w:type="dxa"/>
            <w:tcBorders>
              <w:top w:val="single" w:sz="4" w:space="0" w:color="auto"/>
            </w:tcBorders>
          </w:tcPr>
          <w:p w14:paraId="4FEB96F0" w14:textId="77777777" w:rsidR="001E4BC4" w:rsidRPr="001E4BC4" w:rsidRDefault="001E4BC4" w:rsidP="00102EE8">
            <w:r w:rsidRPr="001E4BC4">
              <w:t>Deflator</w:t>
            </w:r>
          </w:p>
        </w:tc>
        <w:tc>
          <w:tcPr>
            <w:tcW w:w="2566" w:type="dxa"/>
            <w:tcBorders>
              <w:top w:val="single" w:sz="4" w:space="0" w:color="auto"/>
            </w:tcBorders>
          </w:tcPr>
          <w:p w14:paraId="1C0A4271" w14:textId="77777777" w:rsidR="001E4BC4" w:rsidRPr="001E4BC4" w:rsidRDefault="001E4BC4" w:rsidP="00102EE8">
            <w:r w:rsidRPr="001E4BC4">
              <w:t>Série Inflacionada/Deflacionada</w:t>
            </w:r>
          </w:p>
        </w:tc>
        <w:tc>
          <w:tcPr>
            <w:tcW w:w="1706" w:type="dxa"/>
            <w:tcBorders>
              <w:top w:val="single" w:sz="4" w:space="0" w:color="auto"/>
            </w:tcBorders>
          </w:tcPr>
          <w:p w14:paraId="50A3A6F1" w14:textId="77777777" w:rsidR="001E4BC4" w:rsidRPr="001E4BC4" w:rsidRDefault="001E4BC4" w:rsidP="00102EE8">
            <w:r w:rsidRPr="001E4BC4">
              <w:t>Estoque de Capital</w:t>
            </w:r>
          </w:p>
        </w:tc>
      </w:tr>
      <w:tr w:rsidR="001E4BC4" w:rsidRPr="001E4BC4" w14:paraId="18AC91CB" w14:textId="77777777" w:rsidTr="0002542D">
        <w:tc>
          <w:tcPr>
            <w:tcW w:w="776" w:type="dxa"/>
          </w:tcPr>
          <w:p w14:paraId="3CCE9CAC" w14:textId="77777777" w:rsidR="001E4BC4" w:rsidRPr="001E4BC4" w:rsidRDefault="001E4BC4" w:rsidP="00102EE8">
            <w:r w:rsidRPr="001E4BC4">
              <w:t>...</w:t>
            </w:r>
          </w:p>
        </w:tc>
        <w:tc>
          <w:tcPr>
            <w:tcW w:w="1837" w:type="dxa"/>
          </w:tcPr>
          <w:p w14:paraId="5D5D4E6C" w14:textId="77777777" w:rsidR="001E4BC4" w:rsidRPr="001E4BC4" w:rsidRDefault="001E4BC4" w:rsidP="00102EE8"/>
        </w:tc>
        <w:tc>
          <w:tcPr>
            <w:tcW w:w="1835" w:type="dxa"/>
          </w:tcPr>
          <w:p w14:paraId="5F965A34" w14:textId="77777777" w:rsidR="001E4BC4" w:rsidRPr="001E4BC4" w:rsidRDefault="001E4BC4" w:rsidP="00102EE8"/>
        </w:tc>
        <w:tc>
          <w:tcPr>
            <w:tcW w:w="2566" w:type="dxa"/>
          </w:tcPr>
          <w:p w14:paraId="260F55FB" w14:textId="77777777" w:rsidR="001E4BC4" w:rsidRPr="001E4BC4" w:rsidRDefault="001E4BC4" w:rsidP="00102EE8"/>
        </w:tc>
        <w:tc>
          <w:tcPr>
            <w:tcW w:w="1706" w:type="dxa"/>
          </w:tcPr>
          <w:p w14:paraId="356256E6" w14:textId="77777777" w:rsidR="001E4BC4" w:rsidRPr="001E4BC4" w:rsidRDefault="001E4BC4" w:rsidP="00102EE8"/>
        </w:tc>
      </w:tr>
      <w:tr w:rsidR="001E4BC4" w:rsidRPr="001E4BC4" w14:paraId="2742FDED" w14:textId="77777777" w:rsidTr="0002542D">
        <w:tc>
          <w:tcPr>
            <w:tcW w:w="776" w:type="dxa"/>
          </w:tcPr>
          <w:p w14:paraId="2F61E33A" w14:textId="77777777" w:rsidR="001E4BC4" w:rsidRPr="001E4BC4" w:rsidRDefault="001E4BC4" w:rsidP="00102EE8">
            <w:r w:rsidRPr="001E4BC4">
              <w:t>1995</w:t>
            </w:r>
          </w:p>
        </w:tc>
        <w:tc>
          <w:tcPr>
            <w:tcW w:w="1837" w:type="dxa"/>
          </w:tcPr>
          <w:p w14:paraId="5956F0AD" w14:textId="77777777" w:rsidR="001E4BC4" w:rsidRPr="001E4BC4" w:rsidRDefault="001E4BC4" w:rsidP="00102EE8"/>
        </w:tc>
        <w:tc>
          <w:tcPr>
            <w:tcW w:w="1835" w:type="dxa"/>
          </w:tcPr>
          <w:p w14:paraId="775BF70F" w14:textId="77777777" w:rsidR="001E4BC4" w:rsidRPr="001E4BC4" w:rsidRDefault="001E4BC4" w:rsidP="00102EE8"/>
        </w:tc>
        <w:tc>
          <w:tcPr>
            <w:tcW w:w="2566" w:type="dxa"/>
          </w:tcPr>
          <w:p w14:paraId="1E21EEF7" w14:textId="77777777" w:rsidR="001E4BC4" w:rsidRPr="001E4BC4" w:rsidRDefault="001E4BC4" w:rsidP="00102EE8"/>
        </w:tc>
        <w:tc>
          <w:tcPr>
            <w:tcW w:w="1706" w:type="dxa"/>
          </w:tcPr>
          <w:p w14:paraId="16D93E98" w14:textId="77777777" w:rsidR="001E4BC4" w:rsidRPr="001E4BC4" w:rsidRDefault="001E4BC4" w:rsidP="00102EE8"/>
        </w:tc>
      </w:tr>
    </w:tbl>
    <w:p w14:paraId="5014231F" w14:textId="77777777" w:rsidR="001E4BC4" w:rsidRPr="007A4056" w:rsidRDefault="001E4BC4" w:rsidP="00102EE8">
      <w:r w:rsidRPr="007A4056">
        <w:t xml:space="preserve">Fonte: Elaboração dos Autores </w:t>
      </w:r>
    </w:p>
    <w:p w14:paraId="2F9434AE" w14:textId="77777777" w:rsidR="001E4BC4" w:rsidRDefault="001E4BC4" w:rsidP="00102EE8"/>
    <w:p w14:paraId="63B5B793" w14:textId="77777777" w:rsidR="00A8686E" w:rsidRPr="006A0E26" w:rsidRDefault="001E4BC4" w:rsidP="00C3623B">
      <w:pPr>
        <w:ind w:firstLine="708"/>
      </w:pPr>
      <w:r>
        <w:t xml:space="preserve">As </w:t>
      </w:r>
      <w:r w:rsidR="009E30CE">
        <w:t xml:space="preserve">variáveis </w:t>
      </w:r>
      <w:r>
        <w:t xml:space="preserve">compõem o </w:t>
      </w:r>
      <w:r w:rsidR="009E30CE">
        <w:t>investimento</w:t>
      </w:r>
      <w:r>
        <w:t xml:space="preserve">, conforme </w:t>
      </w:r>
      <w:r w:rsidR="009E30CE">
        <w:t xml:space="preserve">detalhadas na tabela XXX </w:t>
      </w:r>
      <w:r>
        <w:t xml:space="preserve">existem para a </w:t>
      </w:r>
      <w:r w:rsidR="009E30CE">
        <w:t>parte censitária da PIA</w:t>
      </w:r>
      <w:r>
        <w:t>, ou seja, firmas que são investigadas com probabilidade 1</w:t>
      </w:r>
      <w:r w:rsidR="009E30CE">
        <w:t xml:space="preserve">. </w:t>
      </w:r>
      <w:r>
        <w:t xml:space="preserve">Esta limitação também guiará a estimativa do </w:t>
      </w:r>
      <w:r w:rsidR="009E30CE">
        <w:t>estoque de capital</w:t>
      </w:r>
      <w:r>
        <w:t xml:space="preserve"> que ocorrerá para </w:t>
      </w:r>
      <w:r w:rsidR="009E30CE">
        <w:t xml:space="preserve">firmas que possuem </w:t>
      </w:r>
      <w:r w:rsidR="00A8686E" w:rsidRPr="006A0E26">
        <w:t>30 ou mais pessoas ocupadas.</w:t>
      </w:r>
    </w:p>
    <w:p w14:paraId="4D505D5D" w14:textId="77777777" w:rsidR="00A8686E" w:rsidRDefault="00682167" w:rsidP="00C3623B">
      <w:pPr>
        <w:ind w:firstLine="708"/>
      </w:pPr>
      <w:r>
        <w:t>O</w:t>
      </w:r>
      <w:r w:rsidR="009E30CE">
        <w:t>utra situação relevante</w:t>
      </w:r>
      <w:r>
        <w:t xml:space="preserve"> coloca-se pelo fato das </w:t>
      </w:r>
      <w:r w:rsidR="009E30CE">
        <w:t xml:space="preserve">empresas </w:t>
      </w:r>
      <w:r>
        <w:t xml:space="preserve">possuírem </w:t>
      </w:r>
      <w:r w:rsidR="009E30CE">
        <w:t>mudança de classificação econômica (CNAE)</w:t>
      </w:r>
      <w:r>
        <w:t xml:space="preserve"> ao longo dos anos, juntamente com a entrada/mortalidade de firmas ao longo do tempo</w:t>
      </w:r>
      <w:r w:rsidR="009E30CE">
        <w:t xml:space="preserve">. </w:t>
      </w:r>
      <w:r>
        <w:t xml:space="preserve">Partimos do pressuposto que o estoque de capital das firmas que deixam de existir é alocado para outras firmas através do comércio de bens secundários (OCDE). Desta forma, as firmas entrantes </w:t>
      </w:r>
      <w:r>
        <w:lastRenderedPageBreak/>
        <w:t xml:space="preserve">também recebem alocação de estoque de capital setorial inicial proporcional à participação das mesmas em termos de pessoal ocupado no setor. Já que </w:t>
      </w:r>
      <w:r w:rsidR="009E30CE">
        <w:t xml:space="preserve">estamos constantemente </w:t>
      </w:r>
      <w:r>
        <w:t xml:space="preserve">alocando </w:t>
      </w:r>
      <w:r w:rsidR="009E30CE">
        <w:t xml:space="preserve">com </w:t>
      </w:r>
      <w:r>
        <w:t xml:space="preserve">tais </w:t>
      </w:r>
      <w:r w:rsidR="009E30CE">
        <w:t>alocações setoriais do estoque de capital</w:t>
      </w:r>
      <w:r>
        <w:t xml:space="preserve"> adotamos fixar uma única </w:t>
      </w:r>
      <w:r w:rsidR="006A0E26" w:rsidRPr="006A0E26">
        <w:t>CNAE</w:t>
      </w:r>
      <w:r>
        <w:t xml:space="preserve"> para cada empresa, sendo esta a CNAE</w:t>
      </w:r>
      <w:r w:rsidR="006A0E26" w:rsidRPr="006A0E26">
        <w:t xml:space="preserve"> mais recente</w:t>
      </w:r>
      <w:r>
        <w:t xml:space="preserve"> no período de 1996 a 2015</w:t>
      </w:r>
      <w:r w:rsidR="006A0E26" w:rsidRPr="006A0E26">
        <w:t>.</w:t>
      </w:r>
    </w:p>
    <w:p w14:paraId="1F1AA642" w14:textId="77777777" w:rsidR="00CC3346" w:rsidRPr="007255D5" w:rsidRDefault="00CC3346" w:rsidP="00102EE8"/>
    <w:p w14:paraId="5C68F3E9" w14:textId="77777777" w:rsidR="002244EC" w:rsidRPr="00C3623B" w:rsidRDefault="00C92902" w:rsidP="00C3623B">
      <w:pPr>
        <w:pStyle w:val="PargrafodaLista"/>
        <w:numPr>
          <w:ilvl w:val="1"/>
          <w:numId w:val="19"/>
        </w:numPr>
        <w:ind w:left="0" w:firstLine="0"/>
        <w:rPr>
          <w:b/>
        </w:rPr>
      </w:pPr>
      <w:r w:rsidRPr="00C3623B">
        <w:rPr>
          <w:b/>
        </w:rPr>
        <w:t xml:space="preserve">Resultados na </w:t>
      </w:r>
      <w:r w:rsidR="002244EC" w:rsidRPr="00C3623B">
        <w:rPr>
          <w:b/>
        </w:rPr>
        <w:t>PIA</w:t>
      </w:r>
    </w:p>
    <w:p w14:paraId="41622BDA" w14:textId="77777777" w:rsidR="00C92902" w:rsidRDefault="00C3623B" w:rsidP="00102EE8">
      <w:r>
        <w:t xml:space="preserve">A tabela 4 descreve as diferentes técnicas possíveis de aplicação na </w:t>
      </w:r>
      <w:r w:rsidR="00C92902">
        <w:t>PIA</w:t>
      </w:r>
      <w:r>
        <w:t xml:space="preserve"> cujos resultados encontram-se resumidos na tabela abaixo</w:t>
      </w:r>
      <w:r w:rsidR="00C92902">
        <w:t>.</w:t>
      </w:r>
      <w:r>
        <w:t xml:space="preserve"> Vemos que os métodos de estimação de estoque de capital XX e YY são muito correlacionados. Ao mesmo tempo percebemos que o estoque de capital obtido segundo a fórmula ZZ encontra grande consistência com a classificação de intensidade tecnológica da indústria. </w:t>
      </w:r>
    </w:p>
    <w:p w14:paraId="6E392DD9" w14:textId="77777777" w:rsidR="00C3623B" w:rsidRDefault="00C3623B" w:rsidP="00C3623B">
      <w:pPr>
        <w:pStyle w:val="Legenda"/>
        <w:rPr>
          <w:rFonts w:asciiTheme="minorHAnsi" w:hAnsiTheme="minorHAnsi" w:cstheme="minorHAnsi"/>
          <w:sz w:val="22"/>
          <w:szCs w:val="22"/>
        </w:rPr>
      </w:pPr>
    </w:p>
    <w:p w14:paraId="22A0CE00" w14:textId="77777777" w:rsidR="00C3623B" w:rsidRPr="00C3623B" w:rsidRDefault="00C3623B" w:rsidP="00C3623B">
      <w:pPr>
        <w:pStyle w:val="Legenda"/>
        <w:rPr>
          <w:rFonts w:asciiTheme="minorHAnsi" w:hAnsiTheme="minorHAnsi" w:cstheme="minorHAnsi"/>
          <w:sz w:val="22"/>
          <w:szCs w:val="22"/>
        </w:rPr>
      </w:pPr>
      <w:r w:rsidRPr="00C3623B">
        <w:rPr>
          <w:rFonts w:asciiTheme="minorHAnsi" w:hAnsiTheme="minorHAnsi" w:cstheme="minorHAnsi"/>
          <w:sz w:val="22"/>
          <w:szCs w:val="22"/>
        </w:rPr>
        <w:t xml:space="preserve">Tabela </w:t>
      </w:r>
      <w:r w:rsidRPr="00C3623B">
        <w:rPr>
          <w:rFonts w:asciiTheme="minorHAnsi" w:hAnsiTheme="minorHAnsi" w:cstheme="minorHAnsi"/>
          <w:sz w:val="22"/>
          <w:szCs w:val="22"/>
        </w:rPr>
        <w:fldChar w:fldCharType="begin"/>
      </w:r>
      <w:r w:rsidRPr="00C3623B">
        <w:rPr>
          <w:rFonts w:asciiTheme="minorHAnsi" w:hAnsiTheme="minorHAnsi" w:cstheme="minorHAnsi"/>
          <w:sz w:val="22"/>
          <w:szCs w:val="22"/>
        </w:rPr>
        <w:instrText xml:space="preserve"> SEQ Tabela \* ARABIC </w:instrText>
      </w:r>
      <w:r w:rsidRPr="00C3623B">
        <w:rPr>
          <w:rFonts w:asciiTheme="minorHAnsi" w:hAnsiTheme="minorHAnsi" w:cstheme="minorHAnsi"/>
          <w:sz w:val="22"/>
          <w:szCs w:val="22"/>
        </w:rPr>
        <w:fldChar w:fldCharType="separate"/>
      </w:r>
      <w:r>
        <w:rPr>
          <w:rFonts w:asciiTheme="minorHAnsi" w:hAnsiTheme="minorHAnsi" w:cstheme="minorHAnsi"/>
          <w:noProof/>
          <w:sz w:val="22"/>
          <w:szCs w:val="22"/>
        </w:rPr>
        <w:t>6</w:t>
      </w:r>
      <w:r w:rsidRPr="00C3623B">
        <w:rPr>
          <w:rFonts w:asciiTheme="minorHAnsi" w:hAnsiTheme="minorHAnsi" w:cstheme="minorHAnsi"/>
          <w:sz w:val="22"/>
          <w:szCs w:val="22"/>
        </w:rPr>
        <w:fldChar w:fldCharType="end"/>
      </w:r>
      <w:r w:rsidRPr="00C3623B">
        <w:rPr>
          <w:rFonts w:asciiTheme="minorHAnsi" w:hAnsiTheme="minorHAnsi" w:cstheme="minorHAnsi"/>
          <w:sz w:val="22"/>
          <w:szCs w:val="22"/>
        </w:rPr>
        <w:t xml:space="preserve">: </w:t>
      </w:r>
      <w:r>
        <w:rPr>
          <w:rFonts w:asciiTheme="minorHAnsi" w:hAnsiTheme="minorHAnsi" w:cstheme="minorHAnsi"/>
          <w:sz w:val="22"/>
          <w:szCs w:val="22"/>
        </w:rPr>
        <w:t xml:space="preserve">Correlação entre os Diferentes Métodos de Estimação </w:t>
      </w:r>
      <w:r w:rsidRPr="00C3623B">
        <w:rPr>
          <w:rFonts w:asciiTheme="minorHAnsi" w:hAnsiTheme="minorHAnsi" w:cstheme="minorHAnsi"/>
          <w:sz w:val="22"/>
          <w:szCs w:val="22"/>
        </w:rPr>
        <w:t xml:space="preserve">do Estoque de Capital </w:t>
      </w:r>
    </w:p>
    <w:tbl>
      <w:tblPr>
        <w:tblStyle w:val="Tabelacomgrade"/>
        <w:tblW w:w="0" w:type="auto"/>
        <w:tblBorders>
          <w:left w:val="none" w:sz="0" w:space="0" w:color="auto"/>
          <w:right w:val="none" w:sz="0" w:space="0" w:color="auto"/>
          <w:insideH w:val="dotted" w:sz="4" w:space="0" w:color="auto"/>
          <w:insideV w:val="dotted" w:sz="4" w:space="0" w:color="auto"/>
        </w:tblBorders>
        <w:tblLook w:val="04A0" w:firstRow="1" w:lastRow="0" w:firstColumn="1" w:lastColumn="0" w:noHBand="0" w:noVBand="1"/>
      </w:tblPr>
      <w:tblGrid>
        <w:gridCol w:w="2161"/>
        <w:gridCol w:w="2161"/>
        <w:gridCol w:w="2161"/>
        <w:gridCol w:w="2161"/>
      </w:tblGrid>
      <w:tr w:rsidR="00C3623B" w14:paraId="439DE899" w14:textId="77777777" w:rsidTr="00C3623B">
        <w:tc>
          <w:tcPr>
            <w:tcW w:w="2161" w:type="dxa"/>
          </w:tcPr>
          <w:p w14:paraId="0E0BACB2" w14:textId="77777777" w:rsidR="00C3623B" w:rsidRDefault="00C3623B" w:rsidP="00102EE8"/>
        </w:tc>
        <w:tc>
          <w:tcPr>
            <w:tcW w:w="2161" w:type="dxa"/>
          </w:tcPr>
          <w:p w14:paraId="70ECE235" w14:textId="77777777" w:rsidR="00C3623B" w:rsidRDefault="00C3623B" w:rsidP="00102EE8">
            <w:r>
              <w:t>K método (1)</w:t>
            </w:r>
          </w:p>
        </w:tc>
        <w:tc>
          <w:tcPr>
            <w:tcW w:w="2161" w:type="dxa"/>
          </w:tcPr>
          <w:p w14:paraId="4AAEF846" w14:textId="77777777" w:rsidR="00C3623B" w:rsidRDefault="00C3623B" w:rsidP="00C3623B">
            <w:r>
              <w:t>K método (2)</w:t>
            </w:r>
          </w:p>
        </w:tc>
        <w:tc>
          <w:tcPr>
            <w:tcW w:w="2161" w:type="dxa"/>
          </w:tcPr>
          <w:p w14:paraId="35777A5C" w14:textId="77777777" w:rsidR="00C3623B" w:rsidRDefault="00C3623B" w:rsidP="00C3623B">
            <w:r>
              <w:t>K método (3)</w:t>
            </w:r>
          </w:p>
        </w:tc>
      </w:tr>
      <w:tr w:rsidR="00C3623B" w14:paraId="61BD0CD7" w14:textId="77777777" w:rsidTr="00C3623B">
        <w:tc>
          <w:tcPr>
            <w:tcW w:w="2161" w:type="dxa"/>
          </w:tcPr>
          <w:p w14:paraId="1BF112DF" w14:textId="77777777" w:rsidR="00C3623B" w:rsidRDefault="00C3623B" w:rsidP="00102EE8">
            <w:r>
              <w:t>K método (1)</w:t>
            </w:r>
          </w:p>
        </w:tc>
        <w:tc>
          <w:tcPr>
            <w:tcW w:w="2161" w:type="dxa"/>
          </w:tcPr>
          <w:p w14:paraId="0A6DADF6" w14:textId="77777777" w:rsidR="00C3623B" w:rsidRDefault="00C3623B" w:rsidP="00102EE8">
            <w:r>
              <w:t>1,00</w:t>
            </w:r>
          </w:p>
        </w:tc>
        <w:tc>
          <w:tcPr>
            <w:tcW w:w="2161" w:type="dxa"/>
          </w:tcPr>
          <w:p w14:paraId="2CB76BA5" w14:textId="77777777" w:rsidR="00C3623B" w:rsidRDefault="00C3623B" w:rsidP="00102EE8"/>
        </w:tc>
        <w:tc>
          <w:tcPr>
            <w:tcW w:w="2161" w:type="dxa"/>
          </w:tcPr>
          <w:p w14:paraId="13A9520A" w14:textId="77777777" w:rsidR="00C3623B" w:rsidRDefault="00C3623B" w:rsidP="00102EE8"/>
        </w:tc>
      </w:tr>
      <w:tr w:rsidR="00C3623B" w14:paraId="2C237A06" w14:textId="77777777" w:rsidTr="00C3623B">
        <w:tc>
          <w:tcPr>
            <w:tcW w:w="2161" w:type="dxa"/>
          </w:tcPr>
          <w:p w14:paraId="2CA291B0" w14:textId="77777777" w:rsidR="00C3623B" w:rsidRDefault="00C3623B" w:rsidP="00102EE8">
            <w:r>
              <w:t>K método (1)</w:t>
            </w:r>
          </w:p>
        </w:tc>
        <w:tc>
          <w:tcPr>
            <w:tcW w:w="2161" w:type="dxa"/>
          </w:tcPr>
          <w:p w14:paraId="73BBD0E5" w14:textId="77777777" w:rsidR="00C3623B" w:rsidRDefault="00C3623B" w:rsidP="00102EE8"/>
        </w:tc>
        <w:tc>
          <w:tcPr>
            <w:tcW w:w="2161" w:type="dxa"/>
          </w:tcPr>
          <w:p w14:paraId="0749D7BB" w14:textId="77777777" w:rsidR="00C3623B" w:rsidRDefault="00C3623B" w:rsidP="00102EE8">
            <w:r>
              <w:t>1,00</w:t>
            </w:r>
          </w:p>
        </w:tc>
        <w:tc>
          <w:tcPr>
            <w:tcW w:w="2161" w:type="dxa"/>
          </w:tcPr>
          <w:p w14:paraId="36E5E232" w14:textId="77777777" w:rsidR="00C3623B" w:rsidRDefault="00C3623B" w:rsidP="00102EE8"/>
        </w:tc>
      </w:tr>
      <w:tr w:rsidR="00C3623B" w14:paraId="425132EB" w14:textId="77777777" w:rsidTr="00C3623B">
        <w:tc>
          <w:tcPr>
            <w:tcW w:w="2161" w:type="dxa"/>
          </w:tcPr>
          <w:p w14:paraId="680CF432" w14:textId="77777777" w:rsidR="00C3623B" w:rsidRDefault="00C3623B" w:rsidP="00102EE8">
            <w:r>
              <w:t>K método (1)</w:t>
            </w:r>
          </w:p>
        </w:tc>
        <w:tc>
          <w:tcPr>
            <w:tcW w:w="2161" w:type="dxa"/>
          </w:tcPr>
          <w:p w14:paraId="54010EF6" w14:textId="77777777" w:rsidR="00C3623B" w:rsidRDefault="00C3623B" w:rsidP="00102EE8"/>
        </w:tc>
        <w:tc>
          <w:tcPr>
            <w:tcW w:w="2161" w:type="dxa"/>
          </w:tcPr>
          <w:p w14:paraId="47A7C351" w14:textId="77777777" w:rsidR="00C3623B" w:rsidRDefault="00C3623B" w:rsidP="00102EE8"/>
        </w:tc>
        <w:tc>
          <w:tcPr>
            <w:tcW w:w="2161" w:type="dxa"/>
          </w:tcPr>
          <w:p w14:paraId="09FCCD00" w14:textId="77777777" w:rsidR="00C3623B" w:rsidRDefault="00C3623B" w:rsidP="00102EE8">
            <w:r>
              <w:t>1,00</w:t>
            </w:r>
          </w:p>
        </w:tc>
      </w:tr>
    </w:tbl>
    <w:p w14:paraId="401B4ADF" w14:textId="77777777" w:rsidR="005D4007" w:rsidRDefault="005D4007" w:rsidP="005D4007">
      <w:r>
        <w:t>Fonte: Elaboração dos autores</w:t>
      </w:r>
    </w:p>
    <w:p w14:paraId="72141D42" w14:textId="77777777" w:rsidR="00C3623B" w:rsidRPr="00C92902" w:rsidRDefault="00C3623B" w:rsidP="00102EE8"/>
    <w:p w14:paraId="08B35B6D" w14:textId="77777777" w:rsidR="00C92902" w:rsidRPr="00C92902" w:rsidRDefault="005D4007" w:rsidP="00102EE8">
      <w:r>
        <w:t xml:space="preserve">A tabela 7 apresenta o indicador de razão capital-trabalho por intensidade tecnológica. Esperamos que os setores de maior intensidade tecnológica apresentem menos quantidade de trabalhadores em relação ao estoque de capital. </w:t>
      </w:r>
      <w:r w:rsidR="00C92902">
        <w:t xml:space="preserve">Os dados setoriais por CNAE encontram-se disponíveis em anexo e podem ser obtidos a partir de contato com os autores. </w:t>
      </w:r>
    </w:p>
    <w:p w14:paraId="63C70E2E" w14:textId="77777777" w:rsidR="00102EE8" w:rsidRDefault="00102EE8" w:rsidP="00102EE8">
      <w:pPr>
        <w:rPr>
          <w:b/>
        </w:rPr>
      </w:pPr>
    </w:p>
    <w:p w14:paraId="6677F3A5" w14:textId="77777777" w:rsidR="00C3623B" w:rsidRPr="00C3623B" w:rsidRDefault="00C3623B" w:rsidP="00C3623B">
      <w:pPr>
        <w:pStyle w:val="Legenda"/>
        <w:rPr>
          <w:rFonts w:asciiTheme="minorHAnsi" w:hAnsiTheme="minorHAnsi" w:cstheme="minorHAnsi"/>
          <w:sz w:val="22"/>
          <w:szCs w:val="22"/>
        </w:rPr>
      </w:pPr>
      <w:r w:rsidRPr="00C3623B">
        <w:rPr>
          <w:rFonts w:asciiTheme="minorHAnsi" w:hAnsiTheme="minorHAnsi" w:cstheme="minorHAnsi"/>
          <w:sz w:val="22"/>
          <w:szCs w:val="22"/>
        </w:rPr>
        <w:t xml:space="preserve">Tabela </w:t>
      </w:r>
      <w:r w:rsidRPr="00C3623B">
        <w:rPr>
          <w:rFonts w:asciiTheme="minorHAnsi" w:hAnsiTheme="minorHAnsi" w:cstheme="minorHAnsi"/>
          <w:sz w:val="22"/>
          <w:szCs w:val="22"/>
        </w:rPr>
        <w:fldChar w:fldCharType="begin"/>
      </w:r>
      <w:r w:rsidRPr="00C3623B">
        <w:rPr>
          <w:rFonts w:asciiTheme="minorHAnsi" w:hAnsiTheme="minorHAnsi" w:cstheme="minorHAnsi"/>
          <w:sz w:val="22"/>
          <w:szCs w:val="22"/>
        </w:rPr>
        <w:instrText xml:space="preserve"> SEQ Tabela \* ARABIC </w:instrText>
      </w:r>
      <w:r w:rsidRPr="00C3623B">
        <w:rPr>
          <w:rFonts w:asciiTheme="minorHAnsi" w:hAnsiTheme="minorHAnsi" w:cstheme="minorHAnsi"/>
          <w:sz w:val="22"/>
          <w:szCs w:val="22"/>
        </w:rPr>
        <w:fldChar w:fldCharType="separate"/>
      </w:r>
      <w:r>
        <w:rPr>
          <w:rFonts w:asciiTheme="minorHAnsi" w:hAnsiTheme="minorHAnsi" w:cstheme="minorHAnsi"/>
          <w:noProof/>
          <w:sz w:val="22"/>
          <w:szCs w:val="22"/>
        </w:rPr>
        <w:t>7</w:t>
      </w:r>
      <w:r w:rsidRPr="00C3623B">
        <w:rPr>
          <w:rFonts w:asciiTheme="minorHAnsi" w:hAnsiTheme="minorHAnsi" w:cstheme="minorHAnsi"/>
          <w:sz w:val="22"/>
          <w:szCs w:val="22"/>
        </w:rPr>
        <w:fldChar w:fldCharType="end"/>
      </w:r>
      <w:r w:rsidRPr="00C3623B">
        <w:rPr>
          <w:rFonts w:asciiTheme="minorHAnsi" w:hAnsiTheme="minorHAnsi" w:cstheme="minorHAnsi"/>
          <w:sz w:val="22"/>
          <w:szCs w:val="22"/>
        </w:rPr>
        <w:t xml:space="preserve">: </w:t>
      </w:r>
      <w:r>
        <w:rPr>
          <w:rFonts w:asciiTheme="minorHAnsi" w:hAnsiTheme="minorHAnsi" w:cstheme="minorHAnsi"/>
          <w:sz w:val="22"/>
          <w:szCs w:val="22"/>
        </w:rPr>
        <w:t>Razão Capital-Trabalho por Classificação de Intensidade Tecnológica da OCDE.</w:t>
      </w:r>
    </w:p>
    <w:tbl>
      <w:tblPr>
        <w:tblStyle w:val="Tabelacomgrade"/>
        <w:tblW w:w="0" w:type="auto"/>
        <w:tblBorders>
          <w:left w:val="none" w:sz="0" w:space="0" w:color="auto"/>
          <w:right w:val="none" w:sz="0" w:space="0" w:color="auto"/>
          <w:insideH w:val="dotted" w:sz="4" w:space="0" w:color="auto"/>
          <w:insideV w:val="dotted" w:sz="4" w:space="0" w:color="auto"/>
        </w:tblBorders>
        <w:tblLook w:val="04A0" w:firstRow="1" w:lastRow="0" w:firstColumn="1" w:lastColumn="0" w:noHBand="0" w:noVBand="1"/>
      </w:tblPr>
      <w:tblGrid>
        <w:gridCol w:w="3651"/>
        <w:gridCol w:w="1669"/>
        <w:gridCol w:w="1669"/>
        <w:gridCol w:w="1669"/>
      </w:tblGrid>
      <w:tr w:rsidR="00C3623B" w14:paraId="5CFFBDB6" w14:textId="77777777" w:rsidTr="005D4007">
        <w:tc>
          <w:tcPr>
            <w:tcW w:w="3651" w:type="dxa"/>
          </w:tcPr>
          <w:p w14:paraId="22CAE13A" w14:textId="77777777" w:rsidR="00C3623B" w:rsidRDefault="00C3623B" w:rsidP="006C7F82"/>
        </w:tc>
        <w:tc>
          <w:tcPr>
            <w:tcW w:w="1669" w:type="dxa"/>
          </w:tcPr>
          <w:p w14:paraId="5C2F3134" w14:textId="77777777" w:rsidR="00C3623B" w:rsidRDefault="00C3623B" w:rsidP="006C7F82">
            <w:r>
              <w:t>L/K método (1)</w:t>
            </w:r>
          </w:p>
        </w:tc>
        <w:tc>
          <w:tcPr>
            <w:tcW w:w="1669" w:type="dxa"/>
          </w:tcPr>
          <w:p w14:paraId="197F8E81" w14:textId="77777777" w:rsidR="00C3623B" w:rsidRDefault="00C3623B" w:rsidP="006C7F82">
            <w:r>
              <w:t>L/K método (2)</w:t>
            </w:r>
          </w:p>
        </w:tc>
        <w:tc>
          <w:tcPr>
            <w:tcW w:w="1669" w:type="dxa"/>
          </w:tcPr>
          <w:p w14:paraId="4D8AB2F2" w14:textId="77777777" w:rsidR="00C3623B" w:rsidRDefault="00C3623B" w:rsidP="006C7F82">
            <w:r>
              <w:t>L/K método (3)</w:t>
            </w:r>
          </w:p>
        </w:tc>
      </w:tr>
      <w:tr w:rsidR="00C3623B" w14:paraId="2D80994B" w14:textId="77777777" w:rsidTr="005D4007">
        <w:tc>
          <w:tcPr>
            <w:tcW w:w="3651" w:type="dxa"/>
          </w:tcPr>
          <w:p w14:paraId="5A1DDA1D" w14:textId="77777777" w:rsidR="00C3623B" w:rsidRDefault="00C3623B" w:rsidP="006C7F82">
            <w:r>
              <w:t>Baixa Intensidade Tecnológica</w:t>
            </w:r>
          </w:p>
        </w:tc>
        <w:tc>
          <w:tcPr>
            <w:tcW w:w="1669" w:type="dxa"/>
          </w:tcPr>
          <w:p w14:paraId="4645730F" w14:textId="77777777" w:rsidR="00C3623B" w:rsidRDefault="005D4007" w:rsidP="005D4007">
            <w:r>
              <w:t>200,00</w:t>
            </w:r>
          </w:p>
        </w:tc>
        <w:tc>
          <w:tcPr>
            <w:tcW w:w="1669" w:type="dxa"/>
          </w:tcPr>
          <w:p w14:paraId="715BEF32" w14:textId="77777777" w:rsidR="00C3623B" w:rsidRDefault="00C3623B" w:rsidP="006C7F82"/>
        </w:tc>
        <w:tc>
          <w:tcPr>
            <w:tcW w:w="1669" w:type="dxa"/>
          </w:tcPr>
          <w:p w14:paraId="6EF44ED1" w14:textId="77777777" w:rsidR="00C3623B" w:rsidRDefault="00C3623B" w:rsidP="006C7F82"/>
        </w:tc>
      </w:tr>
      <w:tr w:rsidR="00C3623B" w14:paraId="27E6EF73" w14:textId="77777777" w:rsidTr="005D4007">
        <w:tc>
          <w:tcPr>
            <w:tcW w:w="3651" w:type="dxa"/>
          </w:tcPr>
          <w:p w14:paraId="3985A558" w14:textId="77777777" w:rsidR="00C3623B" w:rsidRDefault="00C3623B" w:rsidP="00C3623B">
            <w:r>
              <w:t>Baixa-Média Intensidade Tecnológica</w:t>
            </w:r>
          </w:p>
        </w:tc>
        <w:tc>
          <w:tcPr>
            <w:tcW w:w="1669" w:type="dxa"/>
          </w:tcPr>
          <w:p w14:paraId="5724E54D" w14:textId="77777777" w:rsidR="00C3623B" w:rsidRDefault="005D4007" w:rsidP="006C7F82">
            <w:r>
              <w:t>100,00</w:t>
            </w:r>
          </w:p>
        </w:tc>
        <w:tc>
          <w:tcPr>
            <w:tcW w:w="1669" w:type="dxa"/>
          </w:tcPr>
          <w:p w14:paraId="3D7DADFD" w14:textId="77777777" w:rsidR="00C3623B" w:rsidRDefault="00C3623B" w:rsidP="006C7F82">
            <w:r>
              <w:t>1,00</w:t>
            </w:r>
          </w:p>
        </w:tc>
        <w:tc>
          <w:tcPr>
            <w:tcW w:w="1669" w:type="dxa"/>
          </w:tcPr>
          <w:p w14:paraId="198895C9" w14:textId="77777777" w:rsidR="00C3623B" w:rsidRDefault="00C3623B" w:rsidP="006C7F82"/>
        </w:tc>
      </w:tr>
      <w:tr w:rsidR="00C3623B" w14:paraId="62BC88B4" w14:textId="77777777" w:rsidTr="005D4007">
        <w:tc>
          <w:tcPr>
            <w:tcW w:w="3651" w:type="dxa"/>
          </w:tcPr>
          <w:p w14:paraId="617CE7CA" w14:textId="77777777" w:rsidR="00C3623B" w:rsidRDefault="00C3623B" w:rsidP="00C3623B">
            <w:r>
              <w:t>Média- Alta Intensidade Tecnológica</w:t>
            </w:r>
          </w:p>
        </w:tc>
        <w:tc>
          <w:tcPr>
            <w:tcW w:w="1669" w:type="dxa"/>
          </w:tcPr>
          <w:p w14:paraId="0FD5287F" w14:textId="77777777" w:rsidR="00C3623B" w:rsidRDefault="005D4007" w:rsidP="006C7F82">
            <w:r>
              <w:t>75,00</w:t>
            </w:r>
          </w:p>
        </w:tc>
        <w:tc>
          <w:tcPr>
            <w:tcW w:w="1669" w:type="dxa"/>
          </w:tcPr>
          <w:p w14:paraId="7F7F4A21" w14:textId="77777777" w:rsidR="00C3623B" w:rsidRDefault="00C3623B" w:rsidP="006C7F82"/>
        </w:tc>
        <w:tc>
          <w:tcPr>
            <w:tcW w:w="1669" w:type="dxa"/>
          </w:tcPr>
          <w:p w14:paraId="514BC474" w14:textId="77777777" w:rsidR="00C3623B" w:rsidRDefault="00C3623B" w:rsidP="006C7F82">
            <w:r>
              <w:t>1,00</w:t>
            </w:r>
          </w:p>
        </w:tc>
      </w:tr>
      <w:tr w:rsidR="00C3623B" w14:paraId="41BE9D64" w14:textId="77777777" w:rsidTr="005D4007">
        <w:tc>
          <w:tcPr>
            <w:tcW w:w="3651" w:type="dxa"/>
          </w:tcPr>
          <w:p w14:paraId="75D5572D" w14:textId="77777777" w:rsidR="00C3623B" w:rsidRDefault="00C3623B" w:rsidP="00C3623B">
            <w:r>
              <w:t>Alta Intensidade Tecnológica</w:t>
            </w:r>
          </w:p>
        </w:tc>
        <w:tc>
          <w:tcPr>
            <w:tcW w:w="1669" w:type="dxa"/>
          </w:tcPr>
          <w:p w14:paraId="147E47DF" w14:textId="77777777" w:rsidR="00C3623B" w:rsidRDefault="005D4007" w:rsidP="006C7F82">
            <w:r>
              <w:t>25,00</w:t>
            </w:r>
          </w:p>
        </w:tc>
        <w:tc>
          <w:tcPr>
            <w:tcW w:w="1669" w:type="dxa"/>
          </w:tcPr>
          <w:p w14:paraId="4B97E67D" w14:textId="77777777" w:rsidR="00C3623B" w:rsidRDefault="00C3623B" w:rsidP="006C7F82"/>
        </w:tc>
        <w:tc>
          <w:tcPr>
            <w:tcW w:w="1669" w:type="dxa"/>
          </w:tcPr>
          <w:p w14:paraId="1D723742" w14:textId="77777777" w:rsidR="00C3623B" w:rsidRDefault="00C3623B" w:rsidP="006C7F82"/>
        </w:tc>
      </w:tr>
    </w:tbl>
    <w:p w14:paraId="48A8EAEE" w14:textId="77777777" w:rsidR="005D4007" w:rsidRDefault="005D4007" w:rsidP="005D4007">
      <w:r>
        <w:t>Fonte: Elaboração dos autores</w:t>
      </w:r>
    </w:p>
    <w:p w14:paraId="134991FE" w14:textId="77777777" w:rsidR="005D4007" w:rsidRDefault="005D4007" w:rsidP="00102EE8"/>
    <w:p w14:paraId="08727579" w14:textId="77777777" w:rsidR="00102EE8" w:rsidRPr="00102EE8" w:rsidRDefault="00102EE8" w:rsidP="00102EE8">
      <w:r>
        <w:lastRenderedPageBreak/>
        <w:t>Na PIA vamos utilizar as firmas sobreviventes e verificar se o estoque de capital iniciado em 1996 “encontram” os respectivos valores de ativos fixos reportados em 2016, para aquelas firmas que declaram tais valores maiores que zero.</w:t>
      </w:r>
    </w:p>
    <w:p w14:paraId="2A115F47" w14:textId="77777777" w:rsidR="00102EE8" w:rsidRDefault="00102EE8" w:rsidP="00102EE8">
      <w:pPr>
        <w:rPr>
          <w:b/>
        </w:rPr>
      </w:pPr>
    </w:p>
    <w:p w14:paraId="7780E2BC" w14:textId="77777777" w:rsidR="00102EE8" w:rsidRDefault="00102EE8" w:rsidP="00102EE8">
      <w:pPr>
        <w:rPr>
          <w:b/>
        </w:rPr>
      </w:pPr>
    </w:p>
    <w:p w14:paraId="26872C20" w14:textId="77777777" w:rsidR="005D4007" w:rsidRPr="005D4007" w:rsidRDefault="005D4007" w:rsidP="005D4007">
      <w:pPr>
        <w:pStyle w:val="PargrafodaLista"/>
        <w:numPr>
          <w:ilvl w:val="0"/>
          <w:numId w:val="19"/>
        </w:numPr>
        <w:ind w:left="0" w:firstLine="0"/>
        <w:outlineLvl w:val="0"/>
        <w:rPr>
          <w:b/>
        </w:rPr>
      </w:pPr>
      <w:r w:rsidRPr="005D4007">
        <w:rPr>
          <w:b/>
        </w:rPr>
        <w:t>Definição de Investimentos e Baixas na PAS</w:t>
      </w:r>
    </w:p>
    <w:p w14:paraId="2AB49BC5" w14:textId="77777777" w:rsidR="005D4007" w:rsidRPr="005D4007" w:rsidRDefault="005D4007" w:rsidP="00102EE8">
      <w:pPr>
        <w:rPr>
          <w:rFonts w:cstheme="minorHAnsi"/>
        </w:rPr>
      </w:pPr>
      <w:r w:rsidRPr="005D4007">
        <w:rPr>
          <w:rFonts w:cstheme="minorHAnsi"/>
        </w:rPr>
        <w:t>Em relação às informações de baixas de investimentos, o questionário da PAS apresenta as seguintes variáveis ao longo do tempo.</w:t>
      </w:r>
    </w:p>
    <w:p w14:paraId="6DC8ADBB" w14:textId="77777777" w:rsidR="005D4007" w:rsidRDefault="005D4007" w:rsidP="005D4007">
      <w:pPr>
        <w:pStyle w:val="Legenda"/>
        <w:rPr>
          <w:rFonts w:asciiTheme="minorHAnsi" w:hAnsiTheme="minorHAnsi" w:cstheme="minorHAnsi"/>
          <w:sz w:val="22"/>
          <w:szCs w:val="22"/>
        </w:rPr>
      </w:pPr>
    </w:p>
    <w:p w14:paraId="46BDBE9E" w14:textId="77777777" w:rsidR="005D4007" w:rsidRPr="00C3623B" w:rsidRDefault="005D4007" w:rsidP="005D4007">
      <w:pPr>
        <w:pStyle w:val="Legenda"/>
        <w:rPr>
          <w:rFonts w:asciiTheme="minorHAnsi" w:hAnsiTheme="minorHAnsi" w:cstheme="minorHAnsi"/>
          <w:sz w:val="22"/>
          <w:szCs w:val="22"/>
        </w:rPr>
      </w:pPr>
      <w:r w:rsidRPr="00C3623B">
        <w:rPr>
          <w:rFonts w:asciiTheme="minorHAnsi" w:hAnsiTheme="minorHAnsi" w:cstheme="minorHAnsi"/>
          <w:sz w:val="22"/>
          <w:szCs w:val="22"/>
        </w:rPr>
        <w:t xml:space="preserve">Tabela </w:t>
      </w:r>
      <w:r w:rsidRPr="00C3623B">
        <w:rPr>
          <w:rFonts w:asciiTheme="minorHAnsi" w:hAnsiTheme="minorHAnsi" w:cstheme="minorHAnsi"/>
          <w:sz w:val="22"/>
          <w:szCs w:val="22"/>
        </w:rPr>
        <w:fldChar w:fldCharType="begin"/>
      </w:r>
      <w:r w:rsidRPr="00C3623B">
        <w:rPr>
          <w:rFonts w:asciiTheme="minorHAnsi" w:hAnsiTheme="minorHAnsi" w:cstheme="minorHAnsi"/>
          <w:sz w:val="22"/>
          <w:szCs w:val="22"/>
        </w:rPr>
        <w:instrText xml:space="preserve"> SEQ Tabela \* ARABIC </w:instrText>
      </w:r>
      <w:r w:rsidRPr="00C3623B">
        <w:rPr>
          <w:rFonts w:asciiTheme="minorHAnsi" w:hAnsiTheme="minorHAnsi" w:cstheme="minorHAnsi"/>
          <w:sz w:val="22"/>
          <w:szCs w:val="22"/>
        </w:rPr>
        <w:fldChar w:fldCharType="separate"/>
      </w:r>
      <w:r>
        <w:rPr>
          <w:rFonts w:asciiTheme="minorHAnsi" w:hAnsiTheme="minorHAnsi" w:cstheme="minorHAnsi"/>
          <w:noProof/>
          <w:sz w:val="22"/>
          <w:szCs w:val="22"/>
        </w:rPr>
        <w:t>8</w:t>
      </w:r>
      <w:r w:rsidRPr="00C3623B">
        <w:rPr>
          <w:rFonts w:asciiTheme="minorHAnsi" w:hAnsiTheme="minorHAnsi" w:cstheme="minorHAnsi"/>
          <w:sz w:val="22"/>
          <w:szCs w:val="22"/>
        </w:rPr>
        <w:fldChar w:fldCharType="end"/>
      </w:r>
      <w:r w:rsidRPr="00C3623B">
        <w:rPr>
          <w:rFonts w:asciiTheme="minorHAnsi" w:hAnsiTheme="minorHAnsi" w:cstheme="minorHAnsi"/>
          <w:sz w:val="22"/>
          <w:szCs w:val="22"/>
        </w:rPr>
        <w:t xml:space="preserve">: </w:t>
      </w:r>
      <w:r>
        <w:rPr>
          <w:rFonts w:asciiTheme="minorHAnsi" w:hAnsiTheme="minorHAnsi" w:cstheme="minorHAnsi"/>
          <w:sz w:val="22"/>
          <w:szCs w:val="22"/>
        </w:rPr>
        <w:t>Razão Capital-Trabalho por Classificação de Intensidade Tecnológica da OCDE.</w:t>
      </w:r>
    </w:p>
    <w:tbl>
      <w:tblPr>
        <w:tblStyle w:val="Tabelacomgrade"/>
        <w:tblW w:w="8416" w:type="dxa"/>
        <w:tblBorders>
          <w:left w:val="none" w:sz="0" w:space="0" w:color="auto"/>
          <w:right w:val="none" w:sz="0" w:space="0" w:color="auto"/>
          <w:insideH w:val="none" w:sz="0" w:space="0" w:color="auto"/>
        </w:tblBorders>
        <w:tblLook w:val="04A0" w:firstRow="1" w:lastRow="0" w:firstColumn="1" w:lastColumn="0" w:noHBand="0" w:noVBand="1"/>
      </w:tblPr>
      <w:tblGrid>
        <w:gridCol w:w="4160"/>
        <w:gridCol w:w="2128"/>
        <w:gridCol w:w="2128"/>
      </w:tblGrid>
      <w:tr w:rsidR="005D4007" w:rsidRPr="007A4056" w14:paraId="4A9DC155" w14:textId="77777777" w:rsidTr="006C7F82">
        <w:tc>
          <w:tcPr>
            <w:tcW w:w="4160" w:type="dxa"/>
            <w:tcBorders>
              <w:top w:val="single" w:sz="4" w:space="0" w:color="auto"/>
              <w:bottom w:val="single" w:sz="4" w:space="0" w:color="auto"/>
              <w:right w:val="nil"/>
            </w:tcBorders>
          </w:tcPr>
          <w:p w14:paraId="78468B96" w14:textId="77777777" w:rsidR="005D4007" w:rsidRPr="007A4056" w:rsidRDefault="005D4007" w:rsidP="006C7F82"/>
        </w:tc>
        <w:tc>
          <w:tcPr>
            <w:tcW w:w="2128" w:type="dxa"/>
            <w:tcBorders>
              <w:top w:val="single" w:sz="4" w:space="0" w:color="auto"/>
              <w:left w:val="nil"/>
              <w:bottom w:val="single" w:sz="4" w:space="0" w:color="auto"/>
              <w:right w:val="nil"/>
            </w:tcBorders>
            <w:vAlign w:val="center"/>
          </w:tcPr>
          <w:p w14:paraId="4565F1AD" w14:textId="77777777" w:rsidR="005D4007" w:rsidRPr="007A4056" w:rsidRDefault="005D4007" w:rsidP="006C7F82">
            <w:r w:rsidRPr="007A4056">
              <w:t>Investimento:</w:t>
            </w:r>
            <w:r>
              <w:t xml:space="preserve"> </w:t>
            </w:r>
            <m:oMath>
              <m:sSub>
                <m:sSubPr>
                  <m:ctrlPr>
                    <w:rPr>
                      <w:rFonts w:ascii="Cambria Math" w:hAnsi="Cambria Math"/>
                      <w:i/>
                    </w:rPr>
                  </m:ctrlPr>
                </m:sSubPr>
                <m:e>
                  <m:r>
                    <w:rPr>
                      <w:rFonts w:ascii="Cambria Math" w:hAnsi="Cambria Math"/>
                    </w:rPr>
                    <m:t>I</m:t>
                  </m:r>
                </m:e>
                <m:sub>
                  <m:r>
                    <w:rPr>
                      <w:rFonts w:ascii="Cambria Math" w:hAnsi="Cambria Math"/>
                    </w:rPr>
                    <m:t>it</m:t>
                  </m:r>
                </m:sub>
              </m:sSub>
            </m:oMath>
          </w:p>
        </w:tc>
        <w:tc>
          <w:tcPr>
            <w:tcW w:w="2128" w:type="dxa"/>
            <w:tcBorders>
              <w:top w:val="single" w:sz="4" w:space="0" w:color="auto"/>
              <w:left w:val="nil"/>
              <w:bottom w:val="single" w:sz="4" w:space="0" w:color="auto"/>
            </w:tcBorders>
            <w:vAlign w:val="center"/>
          </w:tcPr>
          <w:p w14:paraId="72F5612C" w14:textId="77777777" w:rsidR="005D4007" w:rsidRPr="007A4056" w:rsidRDefault="005D4007" w:rsidP="006C7F82">
            <w:r w:rsidRPr="007A4056">
              <w:t xml:space="preserve">Baixas: </w:t>
            </w:r>
            <m:oMath>
              <m:sSub>
                <m:sSubPr>
                  <m:ctrlPr>
                    <w:rPr>
                      <w:rFonts w:ascii="Cambria Math" w:hAnsi="Cambria Math"/>
                    </w:rPr>
                  </m:ctrlPr>
                </m:sSubPr>
                <m:e>
                  <m:r>
                    <w:rPr>
                      <w:rFonts w:ascii="Cambria Math" w:hAnsi="Cambria Math"/>
                    </w:rPr>
                    <m:t>B</m:t>
                  </m:r>
                </m:e>
                <m:sub>
                  <m:r>
                    <w:rPr>
                      <w:rFonts w:ascii="Cambria Math" w:hAnsi="Cambria Math"/>
                    </w:rPr>
                    <m:t>it</m:t>
                  </m:r>
                </m:sub>
              </m:sSub>
            </m:oMath>
          </w:p>
        </w:tc>
      </w:tr>
      <w:tr w:rsidR="005D4007" w:rsidRPr="007A4056" w14:paraId="740F5A81" w14:textId="77777777" w:rsidTr="006C7F82">
        <w:tc>
          <w:tcPr>
            <w:tcW w:w="4160" w:type="dxa"/>
            <w:tcBorders>
              <w:top w:val="single" w:sz="4" w:space="0" w:color="auto"/>
              <w:right w:val="nil"/>
            </w:tcBorders>
          </w:tcPr>
          <w:p w14:paraId="210EA688" w14:textId="77777777" w:rsidR="005D4007" w:rsidRPr="007A4056" w:rsidRDefault="005D4007" w:rsidP="006C7F82">
            <w:r w:rsidRPr="007A4056">
              <w:t>Terrenos e Edificações</w:t>
            </w:r>
          </w:p>
        </w:tc>
        <w:tc>
          <w:tcPr>
            <w:tcW w:w="2128" w:type="dxa"/>
            <w:tcBorders>
              <w:top w:val="single" w:sz="4" w:space="0" w:color="auto"/>
              <w:left w:val="nil"/>
              <w:right w:val="nil"/>
            </w:tcBorders>
            <w:vAlign w:val="center"/>
          </w:tcPr>
          <w:p w14:paraId="4A178247" w14:textId="77777777" w:rsidR="005D4007" w:rsidRPr="007A4056" w:rsidRDefault="005D4007" w:rsidP="006C7F82">
            <w:r>
              <w:t>v</w:t>
            </w:r>
            <w:r w:rsidRPr="007A4056">
              <w:t>76</w:t>
            </w:r>
            <w:r>
              <w:t>;</w:t>
            </w:r>
            <w:r w:rsidRPr="007A4056">
              <w:t xml:space="preserve"> </w:t>
            </w:r>
            <w:r>
              <w:t>v</w:t>
            </w:r>
            <w:r w:rsidRPr="007A4056">
              <w:t>81</w:t>
            </w:r>
            <w:r>
              <w:t>;</w:t>
            </w:r>
            <w:r w:rsidRPr="007A4056">
              <w:t xml:space="preserve"> </w:t>
            </w:r>
            <w:r>
              <w:t>v</w:t>
            </w:r>
            <w:r w:rsidRPr="007A4056">
              <w:t>86</w:t>
            </w:r>
          </w:p>
        </w:tc>
        <w:tc>
          <w:tcPr>
            <w:tcW w:w="2128" w:type="dxa"/>
            <w:tcBorders>
              <w:top w:val="single" w:sz="4" w:space="0" w:color="auto"/>
              <w:left w:val="nil"/>
            </w:tcBorders>
            <w:vAlign w:val="center"/>
          </w:tcPr>
          <w:p w14:paraId="02EDB397" w14:textId="77777777" w:rsidR="005D4007" w:rsidRPr="007A4056" w:rsidRDefault="005D4007" w:rsidP="006C7F82">
            <w:r w:rsidRPr="007A4056">
              <w:t>91</w:t>
            </w:r>
          </w:p>
        </w:tc>
      </w:tr>
      <w:tr w:rsidR="005D4007" w:rsidRPr="007A4056" w14:paraId="1144CD78" w14:textId="77777777" w:rsidTr="006C7F82">
        <w:tc>
          <w:tcPr>
            <w:tcW w:w="4160" w:type="dxa"/>
            <w:tcBorders>
              <w:right w:val="nil"/>
            </w:tcBorders>
          </w:tcPr>
          <w:p w14:paraId="0C0FFEFB" w14:textId="77777777" w:rsidR="005D4007" w:rsidRPr="007A4056" w:rsidRDefault="005D4007" w:rsidP="006C7F82">
            <w:r w:rsidRPr="007A4056">
              <w:t>Máquinas e equipamentos industriais</w:t>
            </w:r>
          </w:p>
        </w:tc>
        <w:tc>
          <w:tcPr>
            <w:tcW w:w="2128" w:type="dxa"/>
            <w:tcBorders>
              <w:left w:val="nil"/>
              <w:right w:val="nil"/>
            </w:tcBorders>
            <w:vAlign w:val="center"/>
          </w:tcPr>
          <w:p w14:paraId="5CB58DD1" w14:textId="77777777" w:rsidR="005D4007" w:rsidRPr="007A4056" w:rsidRDefault="005D4007" w:rsidP="006C7F82">
            <w:r>
              <w:t>v</w:t>
            </w:r>
            <w:r w:rsidRPr="007A4056">
              <w:t>77</w:t>
            </w:r>
            <w:r>
              <w:t>;</w:t>
            </w:r>
            <w:r w:rsidRPr="007A4056">
              <w:t xml:space="preserve"> </w:t>
            </w:r>
            <w:r>
              <w:t>v</w:t>
            </w:r>
            <w:r w:rsidRPr="007A4056">
              <w:t>82</w:t>
            </w:r>
            <w:r>
              <w:t>;</w:t>
            </w:r>
            <w:r w:rsidRPr="007A4056">
              <w:t xml:space="preserve"> </w:t>
            </w:r>
            <w:r>
              <w:t>v</w:t>
            </w:r>
            <w:r w:rsidRPr="007A4056">
              <w:t>87</w:t>
            </w:r>
          </w:p>
        </w:tc>
        <w:tc>
          <w:tcPr>
            <w:tcW w:w="2128" w:type="dxa"/>
            <w:tcBorders>
              <w:left w:val="nil"/>
            </w:tcBorders>
            <w:vAlign w:val="center"/>
          </w:tcPr>
          <w:p w14:paraId="3C0E7254" w14:textId="77777777" w:rsidR="005D4007" w:rsidRPr="007A4056" w:rsidRDefault="005D4007" w:rsidP="006C7F82">
            <w:r w:rsidRPr="007A4056">
              <w:t>92</w:t>
            </w:r>
          </w:p>
        </w:tc>
      </w:tr>
      <w:tr w:rsidR="005D4007" w:rsidRPr="007A4056" w14:paraId="7A347C85" w14:textId="77777777" w:rsidTr="006C7F82">
        <w:tc>
          <w:tcPr>
            <w:tcW w:w="4160" w:type="dxa"/>
            <w:tcBorders>
              <w:right w:val="nil"/>
            </w:tcBorders>
          </w:tcPr>
          <w:p w14:paraId="178B3CFA" w14:textId="77777777" w:rsidR="005D4007" w:rsidRPr="007A4056" w:rsidRDefault="005D4007" w:rsidP="006C7F82">
            <w:r w:rsidRPr="007A4056">
              <w:t>Meios de Transporte</w:t>
            </w:r>
          </w:p>
        </w:tc>
        <w:tc>
          <w:tcPr>
            <w:tcW w:w="2128" w:type="dxa"/>
            <w:tcBorders>
              <w:left w:val="nil"/>
              <w:right w:val="nil"/>
            </w:tcBorders>
            <w:vAlign w:val="center"/>
          </w:tcPr>
          <w:p w14:paraId="53AF0821" w14:textId="77777777" w:rsidR="005D4007" w:rsidRPr="007A4056" w:rsidRDefault="005D4007" w:rsidP="006C7F82">
            <w:r>
              <w:t>v</w:t>
            </w:r>
            <w:r w:rsidRPr="007A4056">
              <w:t>78</w:t>
            </w:r>
            <w:r>
              <w:t>;</w:t>
            </w:r>
            <w:r w:rsidRPr="007A4056">
              <w:t xml:space="preserve"> </w:t>
            </w:r>
            <w:r>
              <w:t>v</w:t>
            </w:r>
            <w:r w:rsidRPr="007A4056">
              <w:t>83</w:t>
            </w:r>
            <w:r>
              <w:t>;</w:t>
            </w:r>
            <w:r w:rsidRPr="007A4056">
              <w:t xml:space="preserve"> </w:t>
            </w:r>
            <w:r>
              <w:t>v</w:t>
            </w:r>
            <w:r w:rsidRPr="007A4056">
              <w:t>88</w:t>
            </w:r>
          </w:p>
        </w:tc>
        <w:tc>
          <w:tcPr>
            <w:tcW w:w="2128" w:type="dxa"/>
            <w:tcBorders>
              <w:left w:val="nil"/>
            </w:tcBorders>
            <w:vAlign w:val="center"/>
          </w:tcPr>
          <w:p w14:paraId="7CD7B480" w14:textId="77777777" w:rsidR="005D4007" w:rsidRPr="007A4056" w:rsidRDefault="005D4007" w:rsidP="006C7F82">
            <w:r w:rsidRPr="007A4056">
              <w:t>93</w:t>
            </w:r>
          </w:p>
        </w:tc>
      </w:tr>
      <w:tr w:rsidR="005D4007" w:rsidRPr="007A4056" w14:paraId="64603485" w14:textId="77777777" w:rsidTr="006C7F82">
        <w:tc>
          <w:tcPr>
            <w:tcW w:w="4160" w:type="dxa"/>
            <w:tcBorders>
              <w:bottom w:val="single" w:sz="4" w:space="0" w:color="auto"/>
              <w:right w:val="nil"/>
            </w:tcBorders>
          </w:tcPr>
          <w:p w14:paraId="4A99FB6B" w14:textId="77777777" w:rsidR="005D4007" w:rsidRPr="007A4056" w:rsidRDefault="005D4007" w:rsidP="006C7F82">
            <w:r w:rsidRPr="007A4056">
              <w:t>Outras aquisições: móveis e computadores</w:t>
            </w:r>
          </w:p>
        </w:tc>
        <w:tc>
          <w:tcPr>
            <w:tcW w:w="2128" w:type="dxa"/>
            <w:tcBorders>
              <w:left w:val="nil"/>
              <w:bottom w:val="single" w:sz="4" w:space="0" w:color="auto"/>
              <w:right w:val="nil"/>
            </w:tcBorders>
            <w:vAlign w:val="center"/>
          </w:tcPr>
          <w:p w14:paraId="104F1084" w14:textId="77777777" w:rsidR="005D4007" w:rsidRPr="007A4056" w:rsidRDefault="005D4007" w:rsidP="006C7F82">
            <w:r>
              <w:t>v</w:t>
            </w:r>
            <w:r w:rsidRPr="007A4056">
              <w:t>79</w:t>
            </w:r>
            <w:r>
              <w:t>; v</w:t>
            </w:r>
            <w:r w:rsidRPr="007A4056">
              <w:t>84</w:t>
            </w:r>
            <w:r>
              <w:t>;</w:t>
            </w:r>
            <w:r w:rsidRPr="007A4056">
              <w:t xml:space="preserve"> </w:t>
            </w:r>
            <w:r>
              <w:t>v</w:t>
            </w:r>
            <w:r w:rsidRPr="007A4056">
              <w:t>89</w:t>
            </w:r>
          </w:p>
        </w:tc>
        <w:tc>
          <w:tcPr>
            <w:tcW w:w="2128" w:type="dxa"/>
            <w:tcBorders>
              <w:left w:val="nil"/>
              <w:bottom w:val="single" w:sz="4" w:space="0" w:color="auto"/>
            </w:tcBorders>
            <w:vAlign w:val="center"/>
          </w:tcPr>
          <w:p w14:paraId="443946DC" w14:textId="77777777" w:rsidR="005D4007" w:rsidRPr="007A4056" w:rsidRDefault="005D4007" w:rsidP="006C7F82">
            <w:r w:rsidRPr="007A4056">
              <w:t>94</w:t>
            </w:r>
          </w:p>
        </w:tc>
      </w:tr>
    </w:tbl>
    <w:p w14:paraId="59CBC0E9" w14:textId="77777777" w:rsidR="005D4007" w:rsidRDefault="005D4007" w:rsidP="005D4007">
      <w:r>
        <w:t>Fonte: Elaboração dos autores</w:t>
      </w:r>
    </w:p>
    <w:p w14:paraId="78B48860" w14:textId="77777777" w:rsidR="005D4007" w:rsidRDefault="005D4007" w:rsidP="00102EE8">
      <w:pPr>
        <w:rPr>
          <w:rFonts w:cstheme="minorHAnsi"/>
          <w:b/>
        </w:rPr>
      </w:pPr>
    </w:p>
    <w:p w14:paraId="40E0D3FE" w14:textId="77777777" w:rsidR="005D4007" w:rsidRPr="005D4007" w:rsidRDefault="005D4007" w:rsidP="00102EE8">
      <w:pPr>
        <w:rPr>
          <w:rFonts w:cstheme="minorHAnsi"/>
          <w:b/>
        </w:rPr>
      </w:pPr>
    </w:p>
    <w:p w14:paraId="0C31A0B3" w14:textId="77777777" w:rsidR="00C92902" w:rsidRPr="005D4007" w:rsidRDefault="005D4007" w:rsidP="005D4007">
      <w:pPr>
        <w:pStyle w:val="Ttulo2"/>
        <w:rPr>
          <w:rFonts w:asciiTheme="minorHAnsi" w:hAnsiTheme="minorHAnsi" w:cstheme="minorHAnsi"/>
          <w:color w:val="auto"/>
          <w:sz w:val="24"/>
          <w:szCs w:val="24"/>
        </w:rPr>
      </w:pPr>
      <w:r w:rsidRPr="005D4007">
        <w:rPr>
          <w:rFonts w:asciiTheme="minorHAnsi" w:hAnsiTheme="minorHAnsi" w:cstheme="minorHAnsi"/>
          <w:color w:val="auto"/>
          <w:sz w:val="24"/>
          <w:szCs w:val="24"/>
        </w:rPr>
        <w:t xml:space="preserve">6.1 </w:t>
      </w:r>
      <w:r w:rsidR="00C92902" w:rsidRPr="005D4007">
        <w:rPr>
          <w:rFonts w:asciiTheme="minorHAnsi" w:hAnsiTheme="minorHAnsi" w:cstheme="minorHAnsi"/>
          <w:color w:val="auto"/>
          <w:sz w:val="24"/>
          <w:szCs w:val="24"/>
        </w:rPr>
        <w:t>Resultados na PAS</w:t>
      </w:r>
    </w:p>
    <w:p w14:paraId="66EEBC4E" w14:textId="77777777" w:rsidR="00C92902" w:rsidRDefault="00C92902" w:rsidP="00102EE8"/>
    <w:p w14:paraId="6FBAEEE6" w14:textId="77777777" w:rsidR="00C92902" w:rsidRPr="00C92902" w:rsidRDefault="00C92902" w:rsidP="00102EE8">
      <w:r w:rsidRPr="00C92902">
        <w:t xml:space="preserve">A </w:t>
      </w:r>
      <w:r>
        <w:t xml:space="preserve">PAS </w:t>
      </w:r>
      <w:r w:rsidRPr="00C92902">
        <w:t xml:space="preserve">possibilitará a aplicação de </w:t>
      </w:r>
      <w:r>
        <w:t>um único método conforme a</w:t>
      </w:r>
      <w:r w:rsidRPr="00C92902">
        <w:t xml:space="preserve"> tabela XX.</w:t>
      </w:r>
    </w:p>
    <w:p w14:paraId="716BE357" w14:textId="77777777" w:rsidR="00C92902" w:rsidRPr="00C92902" w:rsidRDefault="00C92902" w:rsidP="00102EE8">
      <w:r>
        <w:t xml:space="preserve">Os dados setoriais por CNAE encontram-se disponíveis em anexo e podem ser obtidos a partir de contato com os autores. </w:t>
      </w:r>
    </w:p>
    <w:p w14:paraId="52FD6F20" w14:textId="77777777" w:rsidR="002244EC" w:rsidRDefault="002244EC" w:rsidP="00102EE8">
      <w:pPr>
        <w:pStyle w:val="PargrafodaLista"/>
      </w:pPr>
    </w:p>
    <w:p w14:paraId="5F9CF577" w14:textId="77777777" w:rsidR="00C92902" w:rsidRPr="005D4007" w:rsidRDefault="00C92902" w:rsidP="005D4007">
      <w:pPr>
        <w:pStyle w:val="PargrafodaLista"/>
        <w:numPr>
          <w:ilvl w:val="0"/>
          <w:numId w:val="19"/>
        </w:numPr>
        <w:ind w:left="0" w:firstLine="0"/>
        <w:outlineLvl w:val="0"/>
        <w:rPr>
          <w:b/>
        </w:rPr>
      </w:pPr>
      <w:r w:rsidRPr="005D4007">
        <w:rPr>
          <w:b/>
        </w:rPr>
        <w:t>Comparações Internacionais.</w:t>
      </w:r>
    </w:p>
    <w:p w14:paraId="2381C414" w14:textId="77777777" w:rsidR="002244EC" w:rsidRPr="00C92902" w:rsidRDefault="002244EC" w:rsidP="00102EE8">
      <w:pPr>
        <w:pStyle w:val="PargrafodaLista"/>
      </w:pPr>
    </w:p>
    <w:p w14:paraId="444BF1AE" w14:textId="77777777" w:rsidR="005D4007" w:rsidRDefault="005D4007" w:rsidP="0002542D">
      <w:r>
        <w:t>Nesta seção vamos apresentar os resultados de comparações internacionais dos dados encontrados para o Brasil com informações de outros países.</w:t>
      </w:r>
    </w:p>
    <w:p w14:paraId="308385D1" w14:textId="77777777" w:rsidR="00C92902" w:rsidRDefault="00C92902" w:rsidP="0002542D">
      <w:r w:rsidRPr="00C92902">
        <w:t>A tabela</w:t>
      </w:r>
      <w:r>
        <w:t xml:space="preserve"> abaixo apresenta a evolução da razão capital trabalho para diferentes países, incluindo os resultados para o Brasil utilizando o estoque de capital calculado neste trabalho. Observamos uma coerência do indicador brasileiro em termos de classificação internacional. O Brasil encontra-se acima de países como México, Portugal e Argentina, e ao mesmo tempo encontra-se abaixo de países como França e Inglaterra.</w:t>
      </w:r>
    </w:p>
    <w:p w14:paraId="40B16217" w14:textId="77777777" w:rsidR="005D4007" w:rsidRDefault="005D4007" w:rsidP="0002542D"/>
    <w:p w14:paraId="700CEAEA" w14:textId="77777777" w:rsidR="005D4007" w:rsidRPr="00C92902" w:rsidRDefault="005D4007" w:rsidP="0002542D"/>
    <w:p w14:paraId="3A9CF5B0" w14:textId="77777777" w:rsidR="00C92902" w:rsidRDefault="00C92902" w:rsidP="00102EE8">
      <w:pPr>
        <w:pStyle w:val="PargrafodaLista"/>
      </w:pPr>
    </w:p>
    <w:p w14:paraId="328A4352" w14:textId="77777777" w:rsidR="00C92902" w:rsidRDefault="00C92902" w:rsidP="00102EE8">
      <w:r>
        <w:t>Tabela/Gráfico com Série Histórica do Estoque de Capital Setorial</w:t>
      </w:r>
      <w:r w:rsidR="005D4007">
        <w:t xml:space="preserve"> (OBS: Provavelmente é melhor fazer um gráfico)</w:t>
      </w:r>
    </w:p>
    <w:tbl>
      <w:tblPr>
        <w:tblStyle w:val="Tabelacomgrade"/>
        <w:tblW w:w="0" w:type="auto"/>
        <w:tblBorders>
          <w:left w:val="none" w:sz="0" w:space="0" w:color="auto"/>
          <w:right w:val="none" w:sz="0" w:space="0" w:color="auto"/>
          <w:insideH w:val="dotted" w:sz="4" w:space="0" w:color="auto"/>
          <w:insideV w:val="dotted" w:sz="4" w:space="0" w:color="auto"/>
        </w:tblBorders>
        <w:tblLook w:val="04A0" w:firstRow="1" w:lastRow="0" w:firstColumn="1" w:lastColumn="0" w:noHBand="0" w:noVBand="1"/>
      </w:tblPr>
      <w:tblGrid>
        <w:gridCol w:w="1121"/>
        <w:gridCol w:w="1385"/>
        <w:gridCol w:w="1509"/>
        <w:gridCol w:w="1504"/>
        <w:gridCol w:w="1437"/>
        <w:gridCol w:w="1764"/>
      </w:tblGrid>
      <w:tr w:rsidR="005D4007" w:rsidRPr="00CC26A2" w14:paraId="078B5A16" w14:textId="77777777" w:rsidTr="005D4007">
        <w:tc>
          <w:tcPr>
            <w:tcW w:w="1121" w:type="dxa"/>
          </w:tcPr>
          <w:p w14:paraId="7D456738" w14:textId="77777777" w:rsidR="005D4007" w:rsidRPr="001E4BC4" w:rsidRDefault="005D4007" w:rsidP="00102EE8"/>
        </w:tc>
        <w:tc>
          <w:tcPr>
            <w:tcW w:w="1385" w:type="dxa"/>
          </w:tcPr>
          <w:p w14:paraId="6A95C5A7" w14:textId="77777777" w:rsidR="005D4007" w:rsidRDefault="005D4007" w:rsidP="006C7F82">
            <w:r>
              <w:t>Ano</w:t>
            </w:r>
          </w:p>
        </w:tc>
        <w:tc>
          <w:tcPr>
            <w:tcW w:w="1509" w:type="dxa"/>
          </w:tcPr>
          <w:p w14:paraId="0ECC90AE" w14:textId="77777777" w:rsidR="005D4007" w:rsidRDefault="005D4007" w:rsidP="006C7F82">
            <w:r>
              <w:t xml:space="preserve">L/K </w:t>
            </w:r>
          </w:p>
          <w:p w14:paraId="58D72419" w14:textId="77777777" w:rsidR="005D4007" w:rsidRDefault="005D4007" w:rsidP="006C7F82">
            <w:r>
              <w:t>método (1)</w:t>
            </w:r>
          </w:p>
        </w:tc>
        <w:tc>
          <w:tcPr>
            <w:tcW w:w="1504" w:type="dxa"/>
          </w:tcPr>
          <w:p w14:paraId="5090B876" w14:textId="77777777" w:rsidR="005D4007" w:rsidRDefault="005D4007" w:rsidP="006C7F82">
            <w:r>
              <w:t xml:space="preserve">L/K </w:t>
            </w:r>
          </w:p>
          <w:p w14:paraId="5B01577D" w14:textId="77777777" w:rsidR="005D4007" w:rsidRDefault="005D4007" w:rsidP="006C7F82">
            <w:r>
              <w:t>método (2)</w:t>
            </w:r>
          </w:p>
        </w:tc>
        <w:tc>
          <w:tcPr>
            <w:tcW w:w="1437" w:type="dxa"/>
          </w:tcPr>
          <w:p w14:paraId="5D864155" w14:textId="77777777" w:rsidR="005D4007" w:rsidRDefault="005D4007" w:rsidP="006C7F82">
            <w:r>
              <w:t xml:space="preserve">L/K </w:t>
            </w:r>
          </w:p>
          <w:p w14:paraId="02853B71" w14:textId="77777777" w:rsidR="005D4007" w:rsidRDefault="005D4007" w:rsidP="006C7F82">
            <w:r>
              <w:t>método (3)</w:t>
            </w:r>
          </w:p>
        </w:tc>
        <w:tc>
          <w:tcPr>
            <w:tcW w:w="1764" w:type="dxa"/>
          </w:tcPr>
          <w:p w14:paraId="4C45FE32" w14:textId="77777777" w:rsidR="005D4007" w:rsidRPr="00CC26A2" w:rsidRDefault="005D4007" w:rsidP="005D4007">
            <w:pPr>
              <w:rPr>
                <w:lang w:val="en-US"/>
              </w:rPr>
            </w:pPr>
            <w:r w:rsidRPr="00CC26A2">
              <w:rPr>
                <w:lang w:val="en-US"/>
              </w:rPr>
              <w:t xml:space="preserve">L/K </w:t>
            </w:r>
          </w:p>
          <w:p w14:paraId="34359B16" w14:textId="77777777" w:rsidR="005D4007" w:rsidRPr="00CC26A2" w:rsidRDefault="005D4007" w:rsidP="005D4007">
            <w:pPr>
              <w:rPr>
                <w:lang w:val="en-US"/>
              </w:rPr>
            </w:pPr>
            <w:r w:rsidRPr="00CC26A2">
              <w:rPr>
                <w:lang w:val="en-US"/>
              </w:rPr>
              <w:t>Penn World Table</w:t>
            </w:r>
          </w:p>
        </w:tc>
      </w:tr>
      <w:tr w:rsidR="005D4007" w:rsidRPr="001E4BC4" w14:paraId="5C125854" w14:textId="77777777" w:rsidTr="005D4007">
        <w:tc>
          <w:tcPr>
            <w:tcW w:w="1121" w:type="dxa"/>
          </w:tcPr>
          <w:p w14:paraId="080BAF39" w14:textId="77777777" w:rsidR="005D4007" w:rsidRPr="001E4BC4" w:rsidRDefault="005D4007" w:rsidP="00102EE8">
            <w:r>
              <w:t>França</w:t>
            </w:r>
          </w:p>
        </w:tc>
        <w:tc>
          <w:tcPr>
            <w:tcW w:w="1385" w:type="dxa"/>
          </w:tcPr>
          <w:p w14:paraId="434DDE25" w14:textId="77777777" w:rsidR="005D4007" w:rsidRPr="001E4BC4" w:rsidRDefault="005D4007" w:rsidP="00102EE8">
            <w:proofErr w:type="gramStart"/>
            <w:r>
              <w:t>1996,...</w:t>
            </w:r>
            <w:proofErr w:type="gramEnd"/>
            <w:r>
              <w:t>,2015</w:t>
            </w:r>
          </w:p>
        </w:tc>
        <w:tc>
          <w:tcPr>
            <w:tcW w:w="1509" w:type="dxa"/>
          </w:tcPr>
          <w:p w14:paraId="1D501360" w14:textId="77777777" w:rsidR="005D4007" w:rsidRPr="001E4BC4" w:rsidRDefault="005D4007" w:rsidP="00102EE8"/>
        </w:tc>
        <w:tc>
          <w:tcPr>
            <w:tcW w:w="1504" w:type="dxa"/>
          </w:tcPr>
          <w:p w14:paraId="24040CDD" w14:textId="77777777" w:rsidR="005D4007" w:rsidRPr="001E4BC4" w:rsidRDefault="005D4007" w:rsidP="00102EE8"/>
        </w:tc>
        <w:tc>
          <w:tcPr>
            <w:tcW w:w="1437" w:type="dxa"/>
          </w:tcPr>
          <w:p w14:paraId="4A6E3C99" w14:textId="77777777" w:rsidR="005D4007" w:rsidRPr="001E4BC4" w:rsidRDefault="005D4007" w:rsidP="00102EE8"/>
        </w:tc>
        <w:tc>
          <w:tcPr>
            <w:tcW w:w="1764" w:type="dxa"/>
          </w:tcPr>
          <w:p w14:paraId="021789E9" w14:textId="77777777" w:rsidR="005D4007" w:rsidRPr="001E4BC4" w:rsidRDefault="005D4007" w:rsidP="00102EE8">
            <w:proofErr w:type="gramStart"/>
            <w:r>
              <w:t>1996,...</w:t>
            </w:r>
            <w:proofErr w:type="gramEnd"/>
            <w:r>
              <w:t>,2015</w:t>
            </w:r>
          </w:p>
        </w:tc>
      </w:tr>
      <w:tr w:rsidR="005D4007" w:rsidRPr="001E4BC4" w14:paraId="3459D74D" w14:textId="77777777" w:rsidTr="005D4007">
        <w:tc>
          <w:tcPr>
            <w:tcW w:w="1121" w:type="dxa"/>
          </w:tcPr>
          <w:p w14:paraId="46D3808F" w14:textId="77777777" w:rsidR="005D4007" w:rsidRPr="001E4BC4" w:rsidRDefault="005D4007" w:rsidP="00102EE8">
            <w:r>
              <w:t>Brasil</w:t>
            </w:r>
          </w:p>
        </w:tc>
        <w:tc>
          <w:tcPr>
            <w:tcW w:w="1385" w:type="dxa"/>
          </w:tcPr>
          <w:p w14:paraId="3AF7C9F6" w14:textId="77777777" w:rsidR="005D4007" w:rsidRPr="001E4BC4" w:rsidRDefault="005D4007" w:rsidP="00102EE8">
            <w:proofErr w:type="gramStart"/>
            <w:r>
              <w:t>1996,...</w:t>
            </w:r>
            <w:proofErr w:type="gramEnd"/>
            <w:r>
              <w:t>,2015</w:t>
            </w:r>
          </w:p>
        </w:tc>
        <w:tc>
          <w:tcPr>
            <w:tcW w:w="1509" w:type="dxa"/>
          </w:tcPr>
          <w:p w14:paraId="4F0BBE4E" w14:textId="77777777" w:rsidR="005D4007" w:rsidRPr="001E4BC4" w:rsidRDefault="005D4007" w:rsidP="00102EE8"/>
        </w:tc>
        <w:tc>
          <w:tcPr>
            <w:tcW w:w="1504" w:type="dxa"/>
          </w:tcPr>
          <w:p w14:paraId="10908B4F" w14:textId="77777777" w:rsidR="005D4007" w:rsidRPr="001E4BC4" w:rsidRDefault="005D4007" w:rsidP="00102EE8"/>
        </w:tc>
        <w:tc>
          <w:tcPr>
            <w:tcW w:w="1437" w:type="dxa"/>
          </w:tcPr>
          <w:p w14:paraId="143D086E" w14:textId="77777777" w:rsidR="005D4007" w:rsidRPr="001E4BC4" w:rsidRDefault="005D4007" w:rsidP="00102EE8"/>
        </w:tc>
        <w:tc>
          <w:tcPr>
            <w:tcW w:w="1764" w:type="dxa"/>
          </w:tcPr>
          <w:p w14:paraId="04791651" w14:textId="77777777" w:rsidR="005D4007" w:rsidRPr="001E4BC4" w:rsidRDefault="005D4007" w:rsidP="00102EE8">
            <w:proofErr w:type="gramStart"/>
            <w:r>
              <w:t>1996,...</w:t>
            </w:r>
            <w:proofErr w:type="gramEnd"/>
            <w:r>
              <w:t>,2015</w:t>
            </w:r>
          </w:p>
        </w:tc>
      </w:tr>
      <w:tr w:rsidR="005D4007" w:rsidRPr="001E4BC4" w14:paraId="39186244" w14:textId="77777777" w:rsidTr="005D4007">
        <w:tc>
          <w:tcPr>
            <w:tcW w:w="1121" w:type="dxa"/>
          </w:tcPr>
          <w:p w14:paraId="75A56F73" w14:textId="77777777" w:rsidR="005D4007" w:rsidRPr="001E4BC4" w:rsidRDefault="005D4007" w:rsidP="00102EE8">
            <w:r>
              <w:t>Argentina</w:t>
            </w:r>
          </w:p>
        </w:tc>
        <w:tc>
          <w:tcPr>
            <w:tcW w:w="1385" w:type="dxa"/>
          </w:tcPr>
          <w:p w14:paraId="66B17DBE" w14:textId="77777777" w:rsidR="005D4007" w:rsidRPr="001E4BC4" w:rsidRDefault="005D4007" w:rsidP="00102EE8">
            <w:proofErr w:type="gramStart"/>
            <w:r>
              <w:t>1996,...</w:t>
            </w:r>
            <w:proofErr w:type="gramEnd"/>
            <w:r>
              <w:t>,2015</w:t>
            </w:r>
          </w:p>
        </w:tc>
        <w:tc>
          <w:tcPr>
            <w:tcW w:w="1509" w:type="dxa"/>
          </w:tcPr>
          <w:p w14:paraId="4231E2AD" w14:textId="77777777" w:rsidR="005D4007" w:rsidRPr="001E4BC4" w:rsidRDefault="005D4007" w:rsidP="00102EE8"/>
        </w:tc>
        <w:tc>
          <w:tcPr>
            <w:tcW w:w="1504" w:type="dxa"/>
          </w:tcPr>
          <w:p w14:paraId="0ED1DBF8" w14:textId="77777777" w:rsidR="005D4007" w:rsidRPr="001E4BC4" w:rsidRDefault="005D4007" w:rsidP="00102EE8"/>
        </w:tc>
        <w:tc>
          <w:tcPr>
            <w:tcW w:w="1437" w:type="dxa"/>
          </w:tcPr>
          <w:p w14:paraId="23F079C2" w14:textId="77777777" w:rsidR="005D4007" w:rsidRPr="001E4BC4" w:rsidRDefault="005D4007" w:rsidP="00102EE8"/>
        </w:tc>
        <w:tc>
          <w:tcPr>
            <w:tcW w:w="1764" w:type="dxa"/>
          </w:tcPr>
          <w:p w14:paraId="5B7BD7F3" w14:textId="77777777" w:rsidR="005D4007" w:rsidRPr="001E4BC4" w:rsidRDefault="005D4007" w:rsidP="00102EE8">
            <w:proofErr w:type="gramStart"/>
            <w:r>
              <w:t>1996,...</w:t>
            </w:r>
            <w:proofErr w:type="gramEnd"/>
            <w:r>
              <w:t>,2015</w:t>
            </w:r>
          </w:p>
        </w:tc>
      </w:tr>
      <w:tr w:rsidR="005D4007" w:rsidRPr="001E4BC4" w14:paraId="427D7302" w14:textId="77777777" w:rsidTr="005D4007">
        <w:tc>
          <w:tcPr>
            <w:tcW w:w="1121" w:type="dxa"/>
          </w:tcPr>
          <w:p w14:paraId="777E8E23" w14:textId="77777777" w:rsidR="005D4007" w:rsidRDefault="005D4007" w:rsidP="00102EE8">
            <w:r>
              <w:t>Portugal</w:t>
            </w:r>
          </w:p>
        </w:tc>
        <w:tc>
          <w:tcPr>
            <w:tcW w:w="1385" w:type="dxa"/>
          </w:tcPr>
          <w:p w14:paraId="4D1FC0D6" w14:textId="77777777" w:rsidR="005D4007" w:rsidRPr="001E4BC4" w:rsidRDefault="005D4007" w:rsidP="00102EE8">
            <w:proofErr w:type="gramStart"/>
            <w:r>
              <w:t>1996,...</w:t>
            </w:r>
            <w:proofErr w:type="gramEnd"/>
            <w:r>
              <w:t>,2015</w:t>
            </w:r>
          </w:p>
        </w:tc>
        <w:tc>
          <w:tcPr>
            <w:tcW w:w="1509" w:type="dxa"/>
          </w:tcPr>
          <w:p w14:paraId="5635AFC7" w14:textId="77777777" w:rsidR="005D4007" w:rsidRPr="001E4BC4" w:rsidRDefault="005D4007" w:rsidP="00102EE8"/>
        </w:tc>
        <w:tc>
          <w:tcPr>
            <w:tcW w:w="1504" w:type="dxa"/>
          </w:tcPr>
          <w:p w14:paraId="64A53D8E" w14:textId="77777777" w:rsidR="005D4007" w:rsidRPr="001E4BC4" w:rsidRDefault="005D4007" w:rsidP="00102EE8"/>
        </w:tc>
        <w:tc>
          <w:tcPr>
            <w:tcW w:w="1437" w:type="dxa"/>
          </w:tcPr>
          <w:p w14:paraId="32376FBE" w14:textId="77777777" w:rsidR="005D4007" w:rsidRPr="001E4BC4" w:rsidRDefault="005D4007" w:rsidP="00102EE8"/>
        </w:tc>
        <w:tc>
          <w:tcPr>
            <w:tcW w:w="1764" w:type="dxa"/>
          </w:tcPr>
          <w:p w14:paraId="13C688DE" w14:textId="77777777" w:rsidR="005D4007" w:rsidRPr="001E4BC4" w:rsidRDefault="005D4007" w:rsidP="00102EE8">
            <w:proofErr w:type="gramStart"/>
            <w:r>
              <w:t>1996,...</w:t>
            </w:r>
            <w:proofErr w:type="gramEnd"/>
            <w:r>
              <w:t>,2015</w:t>
            </w:r>
          </w:p>
        </w:tc>
      </w:tr>
      <w:tr w:rsidR="005D4007" w:rsidRPr="001E4BC4" w14:paraId="1256E866" w14:textId="77777777" w:rsidTr="005D4007">
        <w:tc>
          <w:tcPr>
            <w:tcW w:w="1121" w:type="dxa"/>
          </w:tcPr>
          <w:p w14:paraId="61B1DCB4" w14:textId="77777777" w:rsidR="005D4007" w:rsidRDefault="005D4007" w:rsidP="00102EE8">
            <w:r>
              <w:t>Chile</w:t>
            </w:r>
          </w:p>
        </w:tc>
        <w:tc>
          <w:tcPr>
            <w:tcW w:w="1385" w:type="dxa"/>
          </w:tcPr>
          <w:p w14:paraId="7F6CE271" w14:textId="77777777" w:rsidR="005D4007" w:rsidRPr="001E4BC4" w:rsidRDefault="005D4007" w:rsidP="00102EE8">
            <w:proofErr w:type="gramStart"/>
            <w:r>
              <w:t>1996,...</w:t>
            </w:r>
            <w:proofErr w:type="gramEnd"/>
            <w:r>
              <w:t>,2015</w:t>
            </w:r>
          </w:p>
        </w:tc>
        <w:tc>
          <w:tcPr>
            <w:tcW w:w="1509" w:type="dxa"/>
          </w:tcPr>
          <w:p w14:paraId="0F380F53" w14:textId="77777777" w:rsidR="005D4007" w:rsidRPr="001E4BC4" w:rsidRDefault="005D4007" w:rsidP="00102EE8"/>
        </w:tc>
        <w:tc>
          <w:tcPr>
            <w:tcW w:w="1504" w:type="dxa"/>
          </w:tcPr>
          <w:p w14:paraId="74B0A9CF" w14:textId="77777777" w:rsidR="005D4007" w:rsidRPr="001E4BC4" w:rsidRDefault="005D4007" w:rsidP="00102EE8"/>
        </w:tc>
        <w:tc>
          <w:tcPr>
            <w:tcW w:w="1437" w:type="dxa"/>
          </w:tcPr>
          <w:p w14:paraId="386F4F0E" w14:textId="77777777" w:rsidR="005D4007" w:rsidRPr="001E4BC4" w:rsidRDefault="005D4007" w:rsidP="00102EE8"/>
        </w:tc>
        <w:tc>
          <w:tcPr>
            <w:tcW w:w="1764" w:type="dxa"/>
          </w:tcPr>
          <w:p w14:paraId="21389272" w14:textId="77777777" w:rsidR="005D4007" w:rsidRPr="001E4BC4" w:rsidRDefault="005D4007" w:rsidP="00102EE8">
            <w:proofErr w:type="gramStart"/>
            <w:r>
              <w:t>1996,...</w:t>
            </w:r>
            <w:proofErr w:type="gramEnd"/>
            <w:r>
              <w:t>,2015</w:t>
            </w:r>
          </w:p>
        </w:tc>
      </w:tr>
      <w:tr w:rsidR="005D4007" w:rsidRPr="001E4BC4" w14:paraId="42B6B30B" w14:textId="77777777" w:rsidTr="005D4007">
        <w:tc>
          <w:tcPr>
            <w:tcW w:w="1121" w:type="dxa"/>
          </w:tcPr>
          <w:p w14:paraId="2B1E4163" w14:textId="77777777" w:rsidR="005D4007" w:rsidRDefault="005D4007" w:rsidP="00102EE8">
            <w:r>
              <w:t>Estados Unidos</w:t>
            </w:r>
          </w:p>
        </w:tc>
        <w:tc>
          <w:tcPr>
            <w:tcW w:w="1385" w:type="dxa"/>
          </w:tcPr>
          <w:p w14:paraId="42BF2C83" w14:textId="77777777" w:rsidR="005D4007" w:rsidRDefault="005D4007">
            <w:proofErr w:type="gramStart"/>
            <w:r w:rsidRPr="00B456D9">
              <w:t>1996,...</w:t>
            </w:r>
            <w:proofErr w:type="gramEnd"/>
            <w:r w:rsidRPr="00B456D9">
              <w:t>,2015</w:t>
            </w:r>
          </w:p>
        </w:tc>
        <w:tc>
          <w:tcPr>
            <w:tcW w:w="1509" w:type="dxa"/>
          </w:tcPr>
          <w:p w14:paraId="3B1B643F" w14:textId="77777777" w:rsidR="005D4007" w:rsidRPr="001E4BC4" w:rsidRDefault="005D4007" w:rsidP="00102EE8"/>
        </w:tc>
        <w:tc>
          <w:tcPr>
            <w:tcW w:w="1504" w:type="dxa"/>
          </w:tcPr>
          <w:p w14:paraId="24E1A9BE" w14:textId="77777777" w:rsidR="005D4007" w:rsidRPr="001E4BC4" w:rsidRDefault="005D4007" w:rsidP="00102EE8"/>
        </w:tc>
        <w:tc>
          <w:tcPr>
            <w:tcW w:w="1437" w:type="dxa"/>
          </w:tcPr>
          <w:p w14:paraId="0039A43C" w14:textId="77777777" w:rsidR="005D4007" w:rsidRPr="001E4BC4" w:rsidRDefault="005D4007" w:rsidP="00102EE8"/>
        </w:tc>
        <w:tc>
          <w:tcPr>
            <w:tcW w:w="1764" w:type="dxa"/>
          </w:tcPr>
          <w:p w14:paraId="3E5E4CD7" w14:textId="77777777" w:rsidR="005D4007" w:rsidRDefault="005D4007">
            <w:proofErr w:type="gramStart"/>
            <w:r w:rsidRPr="00F571CC">
              <w:t>1996,...</w:t>
            </w:r>
            <w:proofErr w:type="gramEnd"/>
            <w:r w:rsidRPr="00F571CC">
              <w:t>,2015</w:t>
            </w:r>
          </w:p>
        </w:tc>
      </w:tr>
      <w:tr w:rsidR="005D4007" w:rsidRPr="001E4BC4" w14:paraId="33F5040E" w14:textId="77777777" w:rsidTr="005D4007">
        <w:tc>
          <w:tcPr>
            <w:tcW w:w="1121" w:type="dxa"/>
          </w:tcPr>
          <w:p w14:paraId="75FF742D" w14:textId="77777777" w:rsidR="005D4007" w:rsidRDefault="005D4007" w:rsidP="00102EE8">
            <w:r>
              <w:t>China</w:t>
            </w:r>
          </w:p>
        </w:tc>
        <w:tc>
          <w:tcPr>
            <w:tcW w:w="1385" w:type="dxa"/>
          </w:tcPr>
          <w:p w14:paraId="6418D19D" w14:textId="77777777" w:rsidR="005D4007" w:rsidRDefault="005D4007">
            <w:proofErr w:type="gramStart"/>
            <w:r w:rsidRPr="00B456D9">
              <w:t>1996,...</w:t>
            </w:r>
            <w:proofErr w:type="gramEnd"/>
            <w:r w:rsidRPr="00B456D9">
              <w:t>,2015</w:t>
            </w:r>
          </w:p>
        </w:tc>
        <w:tc>
          <w:tcPr>
            <w:tcW w:w="1509" w:type="dxa"/>
          </w:tcPr>
          <w:p w14:paraId="272E6A33" w14:textId="77777777" w:rsidR="005D4007" w:rsidRPr="001E4BC4" w:rsidRDefault="005D4007" w:rsidP="00102EE8"/>
        </w:tc>
        <w:tc>
          <w:tcPr>
            <w:tcW w:w="1504" w:type="dxa"/>
          </w:tcPr>
          <w:p w14:paraId="3AACEB2A" w14:textId="77777777" w:rsidR="005D4007" w:rsidRPr="001E4BC4" w:rsidRDefault="005D4007" w:rsidP="00102EE8"/>
        </w:tc>
        <w:tc>
          <w:tcPr>
            <w:tcW w:w="1437" w:type="dxa"/>
          </w:tcPr>
          <w:p w14:paraId="16C66C6C" w14:textId="77777777" w:rsidR="005D4007" w:rsidRPr="001E4BC4" w:rsidRDefault="005D4007" w:rsidP="00102EE8"/>
        </w:tc>
        <w:tc>
          <w:tcPr>
            <w:tcW w:w="1764" w:type="dxa"/>
          </w:tcPr>
          <w:p w14:paraId="553A2D9F" w14:textId="77777777" w:rsidR="005D4007" w:rsidRDefault="005D4007">
            <w:proofErr w:type="gramStart"/>
            <w:r w:rsidRPr="00F571CC">
              <w:t>1996,...</w:t>
            </w:r>
            <w:proofErr w:type="gramEnd"/>
            <w:r w:rsidRPr="00F571CC">
              <w:t>,2015</w:t>
            </w:r>
          </w:p>
        </w:tc>
      </w:tr>
      <w:tr w:rsidR="005D4007" w:rsidRPr="001E4BC4" w14:paraId="2744B08C" w14:textId="77777777" w:rsidTr="005D4007">
        <w:tc>
          <w:tcPr>
            <w:tcW w:w="1121" w:type="dxa"/>
          </w:tcPr>
          <w:p w14:paraId="59A95803" w14:textId="77777777" w:rsidR="005D4007" w:rsidRDefault="005D4007" w:rsidP="00102EE8">
            <w:r>
              <w:t>Colômbia</w:t>
            </w:r>
          </w:p>
        </w:tc>
        <w:tc>
          <w:tcPr>
            <w:tcW w:w="1385" w:type="dxa"/>
          </w:tcPr>
          <w:p w14:paraId="50A25D81" w14:textId="77777777" w:rsidR="005D4007" w:rsidRPr="00B456D9" w:rsidRDefault="005D4007"/>
        </w:tc>
        <w:tc>
          <w:tcPr>
            <w:tcW w:w="1509" w:type="dxa"/>
          </w:tcPr>
          <w:p w14:paraId="7FEA05B6" w14:textId="77777777" w:rsidR="005D4007" w:rsidRPr="001E4BC4" w:rsidRDefault="005D4007" w:rsidP="00102EE8"/>
        </w:tc>
        <w:tc>
          <w:tcPr>
            <w:tcW w:w="1504" w:type="dxa"/>
          </w:tcPr>
          <w:p w14:paraId="4FEA0DE1" w14:textId="77777777" w:rsidR="005D4007" w:rsidRPr="001E4BC4" w:rsidRDefault="005D4007" w:rsidP="00102EE8"/>
        </w:tc>
        <w:tc>
          <w:tcPr>
            <w:tcW w:w="1437" w:type="dxa"/>
          </w:tcPr>
          <w:p w14:paraId="612346D4" w14:textId="77777777" w:rsidR="005D4007" w:rsidRPr="001E4BC4" w:rsidRDefault="005D4007" w:rsidP="00102EE8"/>
        </w:tc>
        <w:tc>
          <w:tcPr>
            <w:tcW w:w="1764" w:type="dxa"/>
          </w:tcPr>
          <w:p w14:paraId="216127E8" w14:textId="77777777" w:rsidR="005D4007" w:rsidRPr="00F571CC" w:rsidRDefault="005D4007"/>
        </w:tc>
      </w:tr>
      <w:tr w:rsidR="005D4007" w:rsidRPr="001E4BC4" w14:paraId="27156EEA" w14:textId="77777777" w:rsidTr="005D4007">
        <w:tc>
          <w:tcPr>
            <w:tcW w:w="1121" w:type="dxa"/>
          </w:tcPr>
          <w:p w14:paraId="1135A65B" w14:textId="77777777" w:rsidR="005D4007" w:rsidRDefault="005D4007" w:rsidP="00102EE8">
            <w:r>
              <w:t>Alemanha</w:t>
            </w:r>
          </w:p>
        </w:tc>
        <w:tc>
          <w:tcPr>
            <w:tcW w:w="1385" w:type="dxa"/>
          </w:tcPr>
          <w:p w14:paraId="523BAD13" w14:textId="77777777" w:rsidR="005D4007" w:rsidRDefault="005D4007">
            <w:proofErr w:type="gramStart"/>
            <w:r w:rsidRPr="00B456D9">
              <w:t>1996,...</w:t>
            </w:r>
            <w:proofErr w:type="gramEnd"/>
            <w:r w:rsidRPr="00B456D9">
              <w:t>,2015</w:t>
            </w:r>
          </w:p>
        </w:tc>
        <w:tc>
          <w:tcPr>
            <w:tcW w:w="1509" w:type="dxa"/>
          </w:tcPr>
          <w:p w14:paraId="566B9EB2" w14:textId="77777777" w:rsidR="005D4007" w:rsidRPr="001E4BC4" w:rsidRDefault="005D4007" w:rsidP="00102EE8"/>
        </w:tc>
        <w:tc>
          <w:tcPr>
            <w:tcW w:w="1504" w:type="dxa"/>
          </w:tcPr>
          <w:p w14:paraId="79B408F9" w14:textId="77777777" w:rsidR="005D4007" w:rsidRPr="001E4BC4" w:rsidRDefault="005D4007" w:rsidP="00102EE8"/>
        </w:tc>
        <w:tc>
          <w:tcPr>
            <w:tcW w:w="1437" w:type="dxa"/>
          </w:tcPr>
          <w:p w14:paraId="0AC93165" w14:textId="77777777" w:rsidR="005D4007" w:rsidRPr="001E4BC4" w:rsidRDefault="005D4007" w:rsidP="00102EE8"/>
        </w:tc>
        <w:tc>
          <w:tcPr>
            <w:tcW w:w="1764" w:type="dxa"/>
          </w:tcPr>
          <w:p w14:paraId="6378A9C2" w14:textId="77777777" w:rsidR="005D4007" w:rsidRDefault="005D4007">
            <w:proofErr w:type="gramStart"/>
            <w:r w:rsidRPr="00F571CC">
              <w:t>1996,...</w:t>
            </w:r>
            <w:proofErr w:type="gramEnd"/>
            <w:r w:rsidRPr="00F571CC">
              <w:t>,2015</w:t>
            </w:r>
          </w:p>
        </w:tc>
      </w:tr>
    </w:tbl>
    <w:p w14:paraId="7C4CCF03" w14:textId="77777777" w:rsidR="00C92902" w:rsidRPr="007A4056" w:rsidRDefault="00C92902" w:rsidP="00102EE8">
      <w:r w:rsidRPr="007A4056">
        <w:t xml:space="preserve">Fonte: Elaboração dos Autores </w:t>
      </w:r>
    </w:p>
    <w:p w14:paraId="29AE9549" w14:textId="77777777" w:rsidR="00C92902" w:rsidRDefault="00C92902" w:rsidP="00102EE8">
      <w:pPr>
        <w:pStyle w:val="PargrafodaLista"/>
      </w:pPr>
    </w:p>
    <w:p w14:paraId="29A1DA47" w14:textId="77777777" w:rsidR="005D4007" w:rsidRPr="00102EE8" w:rsidRDefault="005D4007" w:rsidP="005D4007">
      <w:r>
        <w:t>Observamos que para a série formada pelo estoque de capital estimado pelo método (1). O indicador capital-trabalho (L/K) do Brasil é resultado da soma da indústria e setor de serviços. Observamos que a razão L/K encontrada pelo método (1) encontra grande consistência com as informações reportadas dos demais países. O Brasil encontra-se abaixo de países como Alemanha, França e Estados Unidos, e ao mesmo tempo localizando-se acima de países como Portugal, Chile e Colômbia.</w:t>
      </w:r>
    </w:p>
    <w:p w14:paraId="413F9795" w14:textId="77777777" w:rsidR="005D4007" w:rsidRDefault="005D4007" w:rsidP="0002542D"/>
    <w:p w14:paraId="3FA6F50A" w14:textId="77777777" w:rsidR="00102EE8" w:rsidRPr="005D4007" w:rsidRDefault="00102EE8" w:rsidP="005D4007">
      <w:pPr>
        <w:pStyle w:val="PargrafodaLista"/>
        <w:numPr>
          <w:ilvl w:val="0"/>
          <w:numId w:val="19"/>
        </w:numPr>
        <w:ind w:left="0" w:firstLine="0"/>
        <w:outlineLvl w:val="0"/>
        <w:rPr>
          <w:b/>
        </w:rPr>
      </w:pPr>
      <w:r w:rsidRPr="005D4007">
        <w:rPr>
          <w:b/>
        </w:rPr>
        <w:t>Conclusões</w:t>
      </w:r>
    </w:p>
    <w:p w14:paraId="0313462C" w14:textId="77777777" w:rsidR="00C92902" w:rsidRDefault="00C92902" w:rsidP="00102EE8">
      <w:pPr>
        <w:pStyle w:val="PargrafodaLista"/>
      </w:pPr>
    </w:p>
    <w:p w14:paraId="1577A8AE" w14:textId="77777777" w:rsidR="00102EE8" w:rsidRDefault="0002542D" w:rsidP="005D4007">
      <w:pPr>
        <w:ind w:firstLine="708"/>
      </w:pPr>
      <w:r>
        <w:t xml:space="preserve">As medidas do estoque de capital de um país permitem a riqueza nacional e entender os fatores que sustentam o crescimento, tais como avanços de produtividade e progresso técnico. </w:t>
      </w:r>
      <w:r w:rsidR="00102EE8" w:rsidRPr="00102EE8">
        <w:t>Neste trabalho apresentamos metodologias</w:t>
      </w:r>
      <w:r w:rsidR="00102EE8">
        <w:t xml:space="preserve"> alternativas de</w:t>
      </w:r>
      <w:r w:rsidR="00102EE8" w:rsidRPr="00102EE8">
        <w:t xml:space="preserve"> estimação do estoque de capital no nível microeconômico</w:t>
      </w:r>
      <w:r>
        <w:t>, mais especificamente na Pesquisa Industrial Anual (PIA) e Pesquisa Anual de Serviços (PAS)</w:t>
      </w:r>
      <w:r w:rsidR="00102EE8" w:rsidRPr="00102EE8">
        <w:t xml:space="preserve">. </w:t>
      </w:r>
      <w:r>
        <w:t xml:space="preserve">Tal </w:t>
      </w:r>
      <w:r w:rsidR="00102EE8">
        <w:t xml:space="preserve">esforço se justifica pela importância </w:t>
      </w:r>
      <w:r>
        <w:t xml:space="preserve">em mensurar adequadamente o </w:t>
      </w:r>
      <w:r w:rsidR="00102EE8">
        <w:t>estoque de capital</w:t>
      </w:r>
      <w:r>
        <w:t xml:space="preserve"> para se calcular indicadores econômicos ou </w:t>
      </w:r>
      <w:r w:rsidR="00102EE8">
        <w:t xml:space="preserve">para estimação da produtividade total dos fatores. </w:t>
      </w:r>
    </w:p>
    <w:p w14:paraId="2A8ED283" w14:textId="77777777" w:rsidR="00102EE8" w:rsidRPr="00102EE8" w:rsidRDefault="00102EE8" w:rsidP="005D4007">
      <w:pPr>
        <w:ind w:firstLine="708"/>
      </w:pPr>
      <w:r>
        <w:t xml:space="preserve">Na </w:t>
      </w:r>
      <w:r w:rsidR="0002542D">
        <w:t xml:space="preserve">PIA </w:t>
      </w:r>
      <w:r>
        <w:t xml:space="preserve">os resultados são consistentes com a classificação setorial da OCDE, quando consideramos o indicador dado pela razão capital-trabalho. Ainda na PIA, para </w:t>
      </w:r>
      <w:r>
        <w:lastRenderedPageBreak/>
        <w:t>as firmas sobreviventes, as series iniciadas em 1996 “encontram” os respectivos ativos fixos reportados em 2016, para aquelas firmas que declaram tais valores maiores que zero.</w:t>
      </w:r>
    </w:p>
    <w:p w14:paraId="442EB804" w14:textId="77777777" w:rsidR="00102EE8" w:rsidRPr="00102EE8" w:rsidRDefault="00102EE8" w:rsidP="00102EE8">
      <w:r>
        <w:t>Na PAS os resultados são consistentes com a literatura, que aponta maior intensidade de capital para setores como transporte aéreo e telecomunicações, se comparado a setores como transporte terrestre de passageiros e setor hoteleiro.</w:t>
      </w:r>
    </w:p>
    <w:p w14:paraId="4F5655C8" w14:textId="77777777" w:rsidR="00102EE8" w:rsidRDefault="00102EE8" w:rsidP="00102EE8">
      <w:pPr>
        <w:pStyle w:val="PargrafodaLista"/>
      </w:pPr>
    </w:p>
    <w:p w14:paraId="3E25BBD0" w14:textId="77777777" w:rsidR="0002542D" w:rsidRDefault="0002542D" w:rsidP="00102EE8">
      <w:pPr>
        <w:pStyle w:val="PargrafodaLista"/>
      </w:pPr>
    </w:p>
    <w:p w14:paraId="48A2F274" w14:textId="77777777" w:rsidR="0002542D" w:rsidRDefault="0002542D" w:rsidP="00102EE8">
      <w:pPr>
        <w:pStyle w:val="PargrafodaLista"/>
      </w:pPr>
    </w:p>
    <w:p w14:paraId="2E3C2874" w14:textId="77777777" w:rsidR="0002542D" w:rsidRDefault="0002542D" w:rsidP="00102EE8">
      <w:pPr>
        <w:pStyle w:val="PargrafodaLista"/>
      </w:pPr>
    </w:p>
    <w:p w14:paraId="54E8BB96" w14:textId="77777777" w:rsidR="0002542D" w:rsidRDefault="0002542D" w:rsidP="00102EE8">
      <w:pPr>
        <w:pStyle w:val="PargrafodaLista"/>
      </w:pPr>
    </w:p>
    <w:p w14:paraId="7F715456" w14:textId="77777777" w:rsidR="00907E87" w:rsidRDefault="00907E87" w:rsidP="00102EE8">
      <w:r>
        <w:t>Referências:</w:t>
      </w:r>
    </w:p>
    <w:p w14:paraId="39BD6832" w14:textId="77777777" w:rsidR="007A4056" w:rsidRPr="0002542D" w:rsidRDefault="007A4056" w:rsidP="00102EE8">
      <w:r w:rsidRPr="0002542D">
        <w:t>Alves, P; Messa, A. Estimativa do Estoque de Capital das Empresas Industriais Brasileiras. Instituto de Pesquisa Econômica Aplicada. Texto de Discussão 1325, Brasília, 2008.</w:t>
      </w:r>
    </w:p>
    <w:p w14:paraId="325310DE" w14:textId="77777777" w:rsidR="009E3AD0" w:rsidRPr="00CC26A2" w:rsidRDefault="009E3AD0" w:rsidP="00102EE8">
      <w:pPr>
        <w:rPr>
          <w:lang w:val="en-US"/>
        </w:rPr>
      </w:pPr>
      <w:proofErr w:type="spellStart"/>
      <w:r w:rsidRPr="00CC26A2">
        <w:rPr>
          <w:lang w:val="en-US"/>
        </w:rPr>
        <w:t>Hyslop</w:t>
      </w:r>
      <w:proofErr w:type="spellEnd"/>
      <w:r w:rsidRPr="00CC26A2">
        <w:rPr>
          <w:lang w:val="en-US"/>
        </w:rPr>
        <w:t xml:space="preserve">, D; </w:t>
      </w:r>
      <w:proofErr w:type="spellStart"/>
      <w:r w:rsidRPr="00CC26A2">
        <w:rPr>
          <w:lang w:val="en-US"/>
        </w:rPr>
        <w:t>Imbens</w:t>
      </w:r>
      <w:proofErr w:type="spellEnd"/>
      <w:r w:rsidR="006A6AA9" w:rsidRPr="00CC26A2">
        <w:rPr>
          <w:lang w:val="en-US"/>
        </w:rPr>
        <w:t>,</w:t>
      </w:r>
      <w:r w:rsidRPr="00CC26A2">
        <w:rPr>
          <w:lang w:val="en-US"/>
        </w:rPr>
        <w:t xml:space="preserve"> G</w:t>
      </w:r>
      <w:r w:rsidR="006A6AA9" w:rsidRPr="00CC26A2">
        <w:rPr>
          <w:lang w:val="en-US"/>
        </w:rPr>
        <w:t>.</w:t>
      </w:r>
      <w:r w:rsidRPr="00CC26A2">
        <w:rPr>
          <w:lang w:val="en-US"/>
        </w:rPr>
        <w:t xml:space="preserve"> </w:t>
      </w:r>
      <w:r w:rsidRPr="00CC26A2">
        <w:rPr>
          <w:i/>
          <w:lang w:val="en-US"/>
        </w:rPr>
        <w:t xml:space="preserve">Bias </w:t>
      </w:r>
      <w:proofErr w:type="gramStart"/>
      <w:r w:rsidRPr="00CC26A2">
        <w:rPr>
          <w:i/>
          <w:lang w:val="en-US"/>
        </w:rPr>
        <w:t>From</w:t>
      </w:r>
      <w:proofErr w:type="gramEnd"/>
      <w:r w:rsidRPr="00CC26A2">
        <w:rPr>
          <w:i/>
          <w:lang w:val="en-US"/>
        </w:rPr>
        <w:t xml:space="preserve"> Classical And Other Forms Of Measurement Error</w:t>
      </w:r>
      <w:r w:rsidRPr="00CC26A2">
        <w:rPr>
          <w:lang w:val="en-US"/>
        </w:rPr>
        <w:t>. Journal of Business and Economic Statistics</w:t>
      </w:r>
      <w:proofErr w:type="gramStart"/>
      <w:r w:rsidRPr="00CC26A2">
        <w:rPr>
          <w:lang w:val="en-US"/>
        </w:rPr>
        <w:t>, ,</w:t>
      </w:r>
      <w:proofErr w:type="gramEnd"/>
      <w:r w:rsidRPr="00CC26A2">
        <w:rPr>
          <w:lang w:val="en-US"/>
        </w:rPr>
        <w:t xml:space="preserve"> v. 19 (4), p. 475-481, 2001.</w:t>
      </w:r>
    </w:p>
    <w:p w14:paraId="37BAF229" w14:textId="77777777" w:rsidR="00EF2DDF" w:rsidRPr="0002542D" w:rsidRDefault="00EF2DDF" w:rsidP="00102EE8">
      <w:r w:rsidRPr="00CC26A2">
        <w:rPr>
          <w:lang w:val="en-US"/>
        </w:rPr>
        <w:t xml:space="preserve">IUDÍCIBUS, S. et al. </w:t>
      </w:r>
      <w:r w:rsidRPr="0002542D">
        <w:t>Manual de contabilidade societária. São Paulo: Atlas, 2010.</w:t>
      </w:r>
    </w:p>
    <w:p w14:paraId="19E8DCBF" w14:textId="77777777" w:rsidR="006A6AA9" w:rsidRPr="00CC26A2" w:rsidRDefault="006A6AA9" w:rsidP="00102EE8">
      <w:pPr>
        <w:rPr>
          <w:lang w:val="en-US"/>
        </w:rPr>
      </w:pPr>
      <w:r w:rsidRPr="00CC26A2">
        <w:rPr>
          <w:lang w:val="en-US"/>
        </w:rPr>
        <w:t xml:space="preserve">Wooldridge, J. </w:t>
      </w:r>
      <w:r w:rsidRPr="00CC26A2">
        <w:rPr>
          <w:i/>
          <w:lang w:val="en-US"/>
        </w:rPr>
        <w:t>Omitted Variable Bias: The Simple Case</w:t>
      </w:r>
      <w:r w:rsidRPr="00CC26A2">
        <w:rPr>
          <w:lang w:val="en-US"/>
        </w:rPr>
        <w:t>. Introductory Econometrics: A Modern Approach. Mason, OH: Ed. Cengage Learning. p. 89-93. ISBN 9780324660548, 2009.</w:t>
      </w:r>
    </w:p>
    <w:p w14:paraId="15695AAA" w14:textId="77777777" w:rsidR="00211991" w:rsidRPr="0002542D" w:rsidRDefault="00211991" w:rsidP="00102EE8">
      <w:r w:rsidRPr="00CC26A2">
        <w:rPr>
          <w:lang w:val="en-US"/>
        </w:rPr>
        <w:t xml:space="preserve">OCDE. Measurement of Capital Stocks, Consumption of Fixed Capital and Capital Services, Measuring Capital. </w:t>
      </w:r>
      <w:r w:rsidRPr="0002542D">
        <w:t>OECD Manual, 2009.</w:t>
      </w:r>
    </w:p>
    <w:p w14:paraId="05C7E5FB" w14:textId="77777777" w:rsidR="009E7458" w:rsidRPr="0002542D" w:rsidRDefault="009E7458" w:rsidP="00102EE8">
      <w:r w:rsidRPr="0002542D">
        <w:t>IBGE. Pesquisa Industrial Anual: Empresa. Série Relatórios Metodológicos, v. 26. Instituto Brasileiro de Geografia e Estatística. Disponível em: https://biblioteca.ibge.gov.br/visualizacao/livros/liv4178.pdf</w:t>
      </w:r>
    </w:p>
    <w:p w14:paraId="60CE86D4" w14:textId="77777777" w:rsidR="00EF2DDF" w:rsidRPr="0002542D" w:rsidRDefault="009E7458" w:rsidP="00102EE8">
      <w:r w:rsidRPr="0002542D">
        <w:t>IBGE. Pesquisa Industrial Anual 2015: Empresa. Instituto Brasileiro de Geografia e Estatística, Rio de Janeiro, 2015. Disponível em: https://biblioteca.ibge.gov.br/visualizacao/periodicos/1719/pia_2015_v34_n1_empresa.pdf</w:t>
      </w:r>
    </w:p>
    <w:p w14:paraId="6E175924" w14:textId="77777777" w:rsidR="009E30CE" w:rsidRPr="0002542D" w:rsidRDefault="009E7458" w:rsidP="00102EE8">
      <w:r w:rsidRPr="0002542D">
        <w:t>IBGE. Pesquisa Anual de Serviços. Notas Técnicas. v. 17. Instituto Brasileiro de Geografia e Estatística, Rio de Janeiro, 2015. Disponível em: https://biblioteca.ibge.gov.br/visualizacao/periodicos/150/pas_2015_v17_notas_tecnicas.pdf</w:t>
      </w:r>
    </w:p>
    <w:p w14:paraId="10C3AA06" w14:textId="77777777" w:rsidR="009E30CE" w:rsidRDefault="009E30CE" w:rsidP="00102EE8"/>
    <w:p w14:paraId="3D5E6A0B" w14:textId="77777777" w:rsidR="009E30CE" w:rsidRDefault="009E30CE" w:rsidP="00102EE8"/>
    <w:p w14:paraId="6A16F4DF" w14:textId="77777777" w:rsidR="009E30CE" w:rsidRDefault="009E30CE" w:rsidP="00102EE8"/>
    <w:p w14:paraId="0DBCF6CA" w14:textId="77777777" w:rsidR="009E30CE" w:rsidRDefault="009E30CE" w:rsidP="00102EE8"/>
    <w:p w14:paraId="25546CD1" w14:textId="77777777" w:rsidR="009E30CE" w:rsidRDefault="009E30CE" w:rsidP="00102EE8"/>
    <w:p w14:paraId="32DF41B4" w14:textId="77777777" w:rsidR="005D4007" w:rsidRDefault="005D4007" w:rsidP="005D4007">
      <w:pPr>
        <w:pStyle w:val="PargrafodaLista"/>
      </w:pPr>
    </w:p>
    <w:p w14:paraId="39E85D93" w14:textId="77777777" w:rsidR="005D4007" w:rsidRDefault="005D4007" w:rsidP="005D4007">
      <w:pPr>
        <w:pStyle w:val="PargrafodaLista"/>
      </w:pPr>
    </w:p>
    <w:p w14:paraId="225A994F" w14:textId="77777777" w:rsidR="005D4007" w:rsidRDefault="005D4007" w:rsidP="005D4007">
      <w:pPr>
        <w:pStyle w:val="PargrafodaLista"/>
      </w:pPr>
    </w:p>
    <w:p w14:paraId="08B83B6D" w14:textId="77777777" w:rsidR="005D4007" w:rsidRDefault="005D4007" w:rsidP="005D4007">
      <w:pPr>
        <w:pStyle w:val="PargrafodaLista"/>
      </w:pPr>
    </w:p>
    <w:p w14:paraId="1ECC8244" w14:textId="77777777" w:rsidR="005D4007" w:rsidRDefault="005D4007" w:rsidP="005D4007">
      <w:pPr>
        <w:pStyle w:val="PargrafodaLista"/>
      </w:pPr>
    </w:p>
    <w:p w14:paraId="26AE30FD" w14:textId="77777777" w:rsidR="005D4007" w:rsidRPr="00102EE8" w:rsidRDefault="005D4007" w:rsidP="005D4007">
      <w:pPr>
        <w:pStyle w:val="PargrafodaLista"/>
      </w:pPr>
    </w:p>
    <w:p w14:paraId="039A1BED" w14:textId="77777777" w:rsidR="005D4007" w:rsidRPr="00A352B1" w:rsidRDefault="005D4007" w:rsidP="005D4007">
      <w:pPr>
        <w:pStyle w:val="PargrafodaLista"/>
        <w:rPr>
          <w:rFonts w:eastAsiaTheme="minorEastAsia"/>
        </w:rPr>
      </w:pPr>
      <w:r>
        <w:t>Anexo 2</w:t>
      </w:r>
      <w:r w:rsidRPr="00A352B1">
        <w:t xml:space="preserve">- </w:t>
      </w:r>
      <w:r>
        <w:t>Definição das variáveis utilizadas de acordo com o dicionário da PIA</w:t>
      </w:r>
    </w:p>
    <w:tbl>
      <w:tblPr>
        <w:tblStyle w:val="Tabelacomgrade"/>
        <w:tblW w:w="0" w:type="auto"/>
        <w:tblLook w:val="04A0" w:firstRow="1" w:lastRow="0" w:firstColumn="1" w:lastColumn="0" w:noHBand="0" w:noVBand="1"/>
      </w:tblPr>
      <w:tblGrid>
        <w:gridCol w:w="1242"/>
        <w:gridCol w:w="7402"/>
      </w:tblGrid>
      <w:tr w:rsidR="005D4007" w14:paraId="6F129DDE" w14:textId="77777777" w:rsidTr="006C7F82">
        <w:tc>
          <w:tcPr>
            <w:tcW w:w="1242" w:type="dxa"/>
          </w:tcPr>
          <w:p w14:paraId="4A2E078C" w14:textId="77777777" w:rsidR="005D4007" w:rsidRPr="0031331D" w:rsidRDefault="005D4007" w:rsidP="006C7F82">
            <w:r>
              <w:t>Variáveis</w:t>
            </w:r>
          </w:p>
        </w:tc>
        <w:tc>
          <w:tcPr>
            <w:tcW w:w="7402" w:type="dxa"/>
          </w:tcPr>
          <w:p w14:paraId="62E46564" w14:textId="77777777" w:rsidR="005D4007" w:rsidRPr="0031331D" w:rsidRDefault="005D4007" w:rsidP="006C7F82">
            <w:r>
              <w:t>Descrição</w:t>
            </w:r>
          </w:p>
        </w:tc>
      </w:tr>
      <w:tr w:rsidR="005D4007" w14:paraId="4EEA44C0" w14:textId="77777777" w:rsidTr="006C7F82">
        <w:tc>
          <w:tcPr>
            <w:tcW w:w="1242" w:type="dxa"/>
            <w:vAlign w:val="bottom"/>
          </w:tcPr>
          <w:p w14:paraId="383F471C" w14:textId="77777777" w:rsidR="005D4007" w:rsidRDefault="005D4007" w:rsidP="006C7F82">
            <w:r>
              <w:t>v0059</w:t>
            </w:r>
          </w:p>
        </w:tc>
        <w:tc>
          <w:tcPr>
            <w:tcW w:w="7402" w:type="dxa"/>
          </w:tcPr>
          <w:p w14:paraId="6E97C194" w14:textId="77777777" w:rsidR="005D4007" w:rsidRDefault="005D4007" w:rsidP="006C7F82">
            <w:r>
              <w:t xml:space="preserve">Aluguéis e arrendamentos </w:t>
            </w:r>
          </w:p>
        </w:tc>
      </w:tr>
      <w:tr w:rsidR="005D4007" w14:paraId="43FC719D" w14:textId="77777777" w:rsidTr="006C7F82">
        <w:tc>
          <w:tcPr>
            <w:tcW w:w="1242" w:type="dxa"/>
            <w:vAlign w:val="bottom"/>
          </w:tcPr>
          <w:p w14:paraId="0C5C4881" w14:textId="77777777" w:rsidR="005D4007" w:rsidRDefault="005D4007" w:rsidP="006C7F82">
            <w:r>
              <w:t>v0060</w:t>
            </w:r>
          </w:p>
        </w:tc>
        <w:tc>
          <w:tcPr>
            <w:tcW w:w="7402" w:type="dxa"/>
          </w:tcPr>
          <w:p w14:paraId="4B562CAB" w14:textId="77777777" w:rsidR="005D4007" w:rsidRDefault="005D4007" w:rsidP="006C7F82">
            <w:r>
              <w:t xml:space="preserve">Despesas com arrendamento mercantil no ano (leasing de máq., </w:t>
            </w:r>
            <w:proofErr w:type="spellStart"/>
            <w:r>
              <w:t>equip</w:t>
            </w:r>
            <w:proofErr w:type="spellEnd"/>
            <w:r>
              <w:t xml:space="preserve">. e veículos) </w:t>
            </w:r>
          </w:p>
        </w:tc>
      </w:tr>
      <w:tr w:rsidR="005D4007" w14:paraId="68BB8DA4" w14:textId="77777777" w:rsidTr="006C7F82">
        <w:tc>
          <w:tcPr>
            <w:tcW w:w="1242" w:type="dxa"/>
            <w:vAlign w:val="bottom"/>
          </w:tcPr>
          <w:p w14:paraId="469F778A" w14:textId="77777777" w:rsidR="005D4007" w:rsidRDefault="005D4007" w:rsidP="006C7F82">
            <w:r>
              <w:t>v0061</w:t>
            </w:r>
          </w:p>
        </w:tc>
        <w:tc>
          <w:tcPr>
            <w:tcW w:w="7402" w:type="dxa"/>
          </w:tcPr>
          <w:p w14:paraId="6EB9CB5C" w14:textId="77777777" w:rsidR="005D4007" w:rsidRDefault="005D4007" w:rsidP="006C7F82">
            <w:r>
              <w:t>Depreciação, amortização e exaustão</w:t>
            </w:r>
          </w:p>
        </w:tc>
      </w:tr>
      <w:tr w:rsidR="005D4007" w14:paraId="39F9B83E" w14:textId="77777777" w:rsidTr="006C7F82">
        <w:tc>
          <w:tcPr>
            <w:tcW w:w="1242" w:type="dxa"/>
            <w:vAlign w:val="bottom"/>
          </w:tcPr>
          <w:p w14:paraId="7E35CB47" w14:textId="77777777" w:rsidR="005D4007" w:rsidRDefault="005D4007" w:rsidP="006C7F82">
            <w:r>
              <w:t>x13</w:t>
            </w:r>
          </w:p>
        </w:tc>
        <w:tc>
          <w:tcPr>
            <w:tcW w:w="7402" w:type="dxa"/>
          </w:tcPr>
          <w:p w14:paraId="70C468E9" w14:textId="77777777" w:rsidR="005D4007" w:rsidRDefault="005D4007" w:rsidP="006C7F82">
            <w:r>
              <w:t>Receita Total</w:t>
            </w:r>
          </w:p>
        </w:tc>
      </w:tr>
      <w:tr w:rsidR="005D4007" w14:paraId="7C5F3A53" w14:textId="77777777" w:rsidTr="006C7F82">
        <w:tc>
          <w:tcPr>
            <w:tcW w:w="1242" w:type="dxa"/>
            <w:vAlign w:val="bottom"/>
          </w:tcPr>
          <w:p w14:paraId="3C1DF745" w14:textId="77777777" w:rsidR="005D4007" w:rsidRDefault="005D4007" w:rsidP="006C7F82">
            <w:r>
              <w:t>x55</w:t>
            </w:r>
          </w:p>
        </w:tc>
        <w:tc>
          <w:tcPr>
            <w:tcW w:w="7402" w:type="dxa"/>
          </w:tcPr>
          <w:p w14:paraId="64A3D640" w14:textId="77777777" w:rsidR="005D4007" w:rsidRDefault="005D4007" w:rsidP="006C7F82">
            <w:r>
              <w:t>Terrenos e edificações-Aquisições</w:t>
            </w:r>
          </w:p>
        </w:tc>
      </w:tr>
      <w:tr w:rsidR="005D4007" w14:paraId="737F1D89" w14:textId="77777777" w:rsidTr="006C7F82">
        <w:tc>
          <w:tcPr>
            <w:tcW w:w="1242" w:type="dxa"/>
            <w:vAlign w:val="bottom"/>
          </w:tcPr>
          <w:p w14:paraId="6C4D83A0" w14:textId="77777777" w:rsidR="005D4007" w:rsidRDefault="005D4007" w:rsidP="006C7F82">
            <w:r>
              <w:t>x56</w:t>
            </w:r>
          </w:p>
        </w:tc>
        <w:tc>
          <w:tcPr>
            <w:tcW w:w="7402" w:type="dxa"/>
          </w:tcPr>
          <w:p w14:paraId="74BF8C87" w14:textId="77777777" w:rsidR="005D4007" w:rsidRDefault="005D4007" w:rsidP="006C7F82">
            <w:r>
              <w:t xml:space="preserve">Máquinas e </w:t>
            </w:r>
            <w:proofErr w:type="spellStart"/>
            <w:r>
              <w:t>equip</w:t>
            </w:r>
            <w:proofErr w:type="spellEnd"/>
            <w:r>
              <w:t>. industriais-Aquisições</w:t>
            </w:r>
          </w:p>
        </w:tc>
      </w:tr>
      <w:tr w:rsidR="005D4007" w14:paraId="021282B4" w14:textId="77777777" w:rsidTr="006C7F82">
        <w:tc>
          <w:tcPr>
            <w:tcW w:w="1242" w:type="dxa"/>
            <w:vAlign w:val="bottom"/>
          </w:tcPr>
          <w:p w14:paraId="6E9D12C5" w14:textId="77777777" w:rsidR="005D4007" w:rsidRDefault="005D4007" w:rsidP="006C7F82">
            <w:r>
              <w:t>x57</w:t>
            </w:r>
          </w:p>
        </w:tc>
        <w:tc>
          <w:tcPr>
            <w:tcW w:w="7402" w:type="dxa"/>
          </w:tcPr>
          <w:p w14:paraId="1AE5EF1A" w14:textId="77777777" w:rsidR="005D4007" w:rsidRDefault="005D4007" w:rsidP="006C7F82">
            <w:r>
              <w:t>Meios de Transporte-Aquisições</w:t>
            </w:r>
          </w:p>
        </w:tc>
      </w:tr>
      <w:tr w:rsidR="005D4007" w14:paraId="32FD0BDB" w14:textId="77777777" w:rsidTr="006C7F82">
        <w:tc>
          <w:tcPr>
            <w:tcW w:w="1242" w:type="dxa"/>
            <w:vAlign w:val="bottom"/>
          </w:tcPr>
          <w:p w14:paraId="1B2CE718" w14:textId="77777777" w:rsidR="005D4007" w:rsidRDefault="005D4007" w:rsidP="006C7F82">
            <w:r>
              <w:t>x58</w:t>
            </w:r>
          </w:p>
        </w:tc>
        <w:tc>
          <w:tcPr>
            <w:tcW w:w="7402" w:type="dxa"/>
          </w:tcPr>
          <w:p w14:paraId="24AA43F0" w14:textId="77777777" w:rsidR="005D4007" w:rsidRDefault="005D4007" w:rsidP="006C7F82">
            <w:r>
              <w:t>Outras aquisições</w:t>
            </w:r>
          </w:p>
        </w:tc>
      </w:tr>
      <w:tr w:rsidR="005D4007" w14:paraId="1613AF80" w14:textId="77777777" w:rsidTr="006C7F82">
        <w:tc>
          <w:tcPr>
            <w:tcW w:w="1242" w:type="dxa"/>
            <w:vAlign w:val="bottom"/>
          </w:tcPr>
          <w:p w14:paraId="30BC96D8" w14:textId="77777777" w:rsidR="005D4007" w:rsidRDefault="005D4007" w:rsidP="006C7F82">
            <w:r>
              <w:t>x59</w:t>
            </w:r>
          </w:p>
        </w:tc>
        <w:tc>
          <w:tcPr>
            <w:tcW w:w="7402" w:type="dxa"/>
          </w:tcPr>
          <w:p w14:paraId="4DF39E7B" w14:textId="77777777" w:rsidR="005D4007" w:rsidRDefault="005D4007" w:rsidP="006C7F82">
            <w:r>
              <w:t>Terrenos e edificações-Ativo</w:t>
            </w:r>
          </w:p>
        </w:tc>
      </w:tr>
      <w:tr w:rsidR="005D4007" w14:paraId="703A66DA" w14:textId="77777777" w:rsidTr="006C7F82">
        <w:tc>
          <w:tcPr>
            <w:tcW w:w="1242" w:type="dxa"/>
            <w:vAlign w:val="bottom"/>
          </w:tcPr>
          <w:p w14:paraId="0C407AAC" w14:textId="77777777" w:rsidR="005D4007" w:rsidRDefault="005D4007" w:rsidP="006C7F82">
            <w:r>
              <w:t>x60</w:t>
            </w:r>
          </w:p>
        </w:tc>
        <w:tc>
          <w:tcPr>
            <w:tcW w:w="7402" w:type="dxa"/>
          </w:tcPr>
          <w:p w14:paraId="20AEE2AA" w14:textId="77777777" w:rsidR="005D4007" w:rsidRDefault="005D4007" w:rsidP="006C7F82">
            <w:r>
              <w:t xml:space="preserve">Máquinas e </w:t>
            </w:r>
            <w:proofErr w:type="spellStart"/>
            <w:r>
              <w:t>equip</w:t>
            </w:r>
            <w:proofErr w:type="spellEnd"/>
            <w:r>
              <w:t>. industriais-Ativo</w:t>
            </w:r>
          </w:p>
        </w:tc>
      </w:tr>
      <w:tr w:rsidR="005D4007" w14:paraId="0537B558" w14:textId="77777777" w:rsidTr="006C7F82">
        <w:tc>
          <w:tcPr>
            <w:tcW w:w="1242" w:type="dxa"/>
            <w:vAlign w:val="bottom"/>
          </w:tcPr>
          <w:p w14:paraId="0B88A3E6" w14:textId="77777777" w:rsidR="005D4007" w:rsidRDefault="005D4007" w:rsidP="006C7F82">
            <w:r>
              <w:t>x61</w:t>
            </w:r>
          </w:p>
        </w:tc>
        <w:tc>
          <w:tcPr>
            <w:tcW w:w="7402" w:type="dxa"/>
          </w:tcPr>
          <w:p w14:paraId="140454D9" w14:textId="77777777" w:rsidR="005D4007" w:rsidRDefault="005D4007" w:rsidP="006C7F82">
            <w:r>
              <w:t>Meios de transporte-Ativo</w:t>
            </w:r>
          </w:p>
        </w:tc>
      </w:tr>
      <w:tr w:rsidR="005D4007" w14:paraId="31C57E49" w14:textId="77777777" w:rsidTr="006C7F82">
        <w:tc>
          <w:tcPr>
            <w:tcW w:w="1242" w:type="dxa"/>
            <w:vAlign w:val="bottom"/>
          </w:tcPr>
          <w:p w14:paraId="4534A066" w14:textId="77777777" w:rsidR="005D4007" w:rsidRDefault="005D4007" w:rsidP="006C7F82">
            <w:r>
              <w:t>x62</w:t>
            </w:r>
          </w:p>
        </w:tc>
        <w:tc>
          <w:tcPr>
            <w:tcW w:w="7402" w:type="dxa"/>
          </w:tcPr>
          <w:p w14:paraId="0EFA4213" w14:textId="77777777" w:rsidR="005D4007" w:rsidRDefault="005D4007" w:rsidP="006C7F82">
            <w:r>
              <w:t>Outras aquisições-Ativo</w:t>
            </w:r>
          </w:p>
        </w:tc>
      </w:tr>
      <w:tr w:rsidR="005D4007" w14:paraId="09C5CD9A" w14:textId="77777777" w:rsidTr="006C7F82">
        <w:tc>
          <w:tcPr>
            <w:tcW w:w="1242" w:type="dxa"/>
            <w:vAlign w:val="bottom"/>
          </w:tcPr>
          <w:p w14:paraId="008A96E2" w14:textId="77777777" w:rsidR="005D4007" w:rsidRDefault="005D4007" w:rsidP="006C7F82">
            <w:r>
              <w:t>x63</w:t>
            </w:r>
          </w:p>
        </w:tc>
        <w:tc>
          <w:tcPr>
            <w:tcW w:w="7402" w:type="dxa"/>
          </w:tcPr>
          <w:p w14:paraId="5FCAFFD7" w14:textId="77777777" w:rsidR="005D4007" w:rsidRDefault="005D4007" w:rsidP="006C7F82">
            <w:r>
              <w:t>Terrenos e edificações-Melhorias</w:t>
            </w:r>
          </w:p>
        </w:tc>
      </w:tr>
      <w:tr w:rsidR="005D4007" w14:paraId="1D053050" w14:textId="77777777" w:rsidTr="006C7F82">
        <w:tc>
          <w:tcPr>
            <w:tcW w:w="1242" w:type="dxa"/>
            <w:vAlign w:val="bottom"/>
          </w:tcPr>
          <w:p w14:paraId="046D3A81" w14:textId="77777777" w:rsidR="005D4007" w:rsidRDefault="005D4007" w:rsidP="006C7F82">
            <w:r>
              <w:t>x64</w:t>
            </w:r>
          </w:p>
        </w:tc>
        <w:tc>
          <w:tcPr>
            <w:tcW w:w="7402" w:type="dxa"/>
          </w:tcPr>
          <w:p w14:paraId="6D6A2B1F" w14:textId="77777777" w:rsidR="005D4007" w:rsidRDefault="005D4007" w:rsidP="006C7F82">
            <w:r>
              <w:t xml:space="preserve">Máquinas e </w:t>
            </w:r>
            <w:proofErr w:type="spellStart"/>
            <w:r>
              <w:t>equip</w:t>
            </w:r>
            <w:proofErr w:type="spellEnd"/>
            <w:r>
              <w:t>. industriais-Melhorias</w:t>
            </w:r>
          </w:p>
        </w:tc>
      </w:tr>
      <w:tr w:rsidR="005D4007" w14:paraId="6C36174F" w14:textId="77777777" w:rsidTr="006C7F82">
        <w:tc>
          <w:tcPr>
            <w:tcW w:w="1242" w:type="dxa"/>
            <w:vAlign w:val="bottom"/>
          </w:tcPr>
          <w:p w14:paraId="6B1B1DD7" w14:textId="77777777" w:rsidR="005D4007" w:rsidRDefault="005D4007" w:rsidP="006C7F82">
            <w:r>
              <w:t>x65</w:t>
            </w:r>
          </w:p>
        </w:tc>
        <w:tc>
          <w:tcPr>
            <w:tcW w:w="7402" w:type="dxa"/>
          </w:tcPr>
          <w:p w14:paraId="0A54A477" w14:textId="77777777" w:rsidR="005D4007" w:rsidRDefault="005D4007" w:rsidP="006C7F82">
            <w:r>
              <w:t>Meios de transporte-Melhorias</w:t>
            </w:r>
          </w:p>
        </w:tc>
      </w:tr>
      <w:tr w:rsidR="005D4007" w14:paraId="7167645A" w14:textId="77777777" w:rsidTr="006C7F82">
        <w:tc>
          <w:tcPr>
            <w:tcW w:w="1242" w:type="dxa"/>
            <w:vAlign w:val="bottom"/>
          </w:tcPr>
          <w:p w14:paraId="722926BC" w14:textId="77777777" w:rsidR="005D4007" w:rsidRDefault="005D4007" w:rsidP="006C7F82">
            <w:r>
              <w:t>x66</w:t>
            </w:r>
          </w:p>
        </w:tc>
        <w:tc>
          <w:tcPr>
            <w:tcW w:w="7402" w:type="dxa"/>
          </w:tcPr>
          <w:p w14:paraId="2FBFF003" w14:textId="77777777" w:rsidR="005D4007" w:rsidRDefault="005D4007" w:rsidP="006C7F82">
            <w:r>
              <w:t>Outras aquisições-Melhorias</w:t>
            </w:r>
          </w:p>
        </w:tc>
      </w:tr>
      <w:tr w:rsidR="005D4007" w14:paraId="4D35997B" w14:textId="77777777" w:rsidTr="006C7F82">
        <w:tc>
          <w:tcPr>
            <w:tcW w:w="1242" w:type="dxa"/>
            <w:vAlign w:val="bottom"/>
          </w:tcPr>
          <w:p w14:paraId="2681B28E" w14:textId="77777777" w:rsidR="005D4007" w:rsidRDefault="005D4007" w:rsidP="006C7F82">
            <w:r>
              <w:t>x67</w:t>
            </w:r>
          </w:p>
        </w:tc>
        <w:tc>
          <w:tcPr>
            <w:tcW w:w="7402" w:type="dxa"/>
          </w:tcPr>
          <w:p w14:paraId="58ABADC1" w14:textId="77777777" w:rsidR="005D4007" w:rsidRDefault="005D4007" w:rsidP="006C7F82">
            <w:r>
              <w:t>Terrenos e edificações-Baixas</w:t>
            </w:r>
          </w:p>
        </w:tc>
      </w:tr>
      <w:tr w:rsidR="005D4007" w14:paraId="3EC11790" w14:textId="77777777" w:rsidTr="006C7F82">
        <w:tc>
          <w:tcPr>
            <w:tcW w:w="1242" w:type="dxa"/>
            <w:vAlign w:val="bottom"/>
          </w:tcPr>
          <w:p w14:paraId="1C4DF1C1" w14:textId="77777777" w:rsidR="005D4007" w:rsidRDefault="005D4007" w:rsidP="006C7F82">
            <w:r>
              <w:t>x68</w:t>
            </w:r>
          </w:p>
        </w:tc>
        <w:tc>
          <w:tcPr>
            <w:tcW w:w="7402" w:type="dxa"/>
          </w:tcPr>
          <w:p w14:paraId="75404C6E" w14:textId="77777777" w:rsidR="005D4007" w:rsidRDefault="005D4007" w:rsidP="006C7F82">
            <w:r>
              <w:t xml:space="preserve">Máquinas e </w:t>
            </w:r>
            <w:proofErr w:type="spellStart"/>
            <w:r>
              <w:t>equip</w:t>
            </w:r>
            <w:proofErr w:type="spellEnd"/>
            <w:r>
              <w:t>. industriais-Baixas</w:t>
            </w:r>
          </w:p>
        </w:tc>
      </w:tr>
      <w:tr w:rsidR="005D4007" w14:paraId="21556CB1" w14:textId="77777777" w:rsidTr="006C7F82">
        <w:tc>
          <w:tcPr>
            <w:tcW w:w="1242" w:type="dxa"/>
            <w:vAlign w:val="bottom"/>
          </w:tcPr>
          <w:p w14:paraId="10B1D60B" w14:textId="77777777" w:rsidR="005D4007" w:rsidRDefault="005D4007" w:rsidP="006C7F82">
            <w:r>
              <w:t>x69</w:t>
            </w:r>
          </w:p>
        </w:tc>
        <w:tc>
          <w:tcPr>
            <w:tcW w:w="7402" w:type="dxa"/>
          </w:tcPr>
          <w:p w14:paraId="116D1899" w14:textId="77777777" w:rsidR="005D4007" w:rsidRDefault="005D4007" w:rsidP="006C7F82">
            <w:r>
              <w:t>Meios de transporte-Baixas</w:t>
            </w:r>
          </w:p>
        </w:tc>
      </w:tr>
      <w:tr w:rsidR="005D4007" w14:paraId="25E2C605" w14:textId="77777777" w:rsidTr="006C7F82">
        <w:tc>
          <w:tcPr>
            <w:tcW w:w="1242" w:type="dxa"/>
            <w:vAlign w:val="bottom"/>
          </w:tcPr>
          <w:p w14:paraId="6537843C" w14:textId="77777777" w:rsidR="005D4007" w:rsidRDefault="005D4007" w:rsidP="006C7F82">
            <w:r>
              <w:t>x70</w:t>
            </w:r>
          </w:p>
        </w:tc>
        <w:tc>
          <w:tcPr>
            <w:tcW w:w="7402" w:type="dxa"/>
          </w:tcPr>
          <w:p w14:paraId="1DD8EC02" w14:textId="77777777" w:rsidR="005D4007" w:rsidRDefault="005D4007" w:rsidP="006C7F82">
            <w:r>
              <w:t>Outras Baixas</w:t>
            </w:r>
          </w:p>
        </w:tc>
      </w:tr>
    </w:tbl>
    <w:p w14:paraId="07D377A0" w14:textId="77777777" w:rsidR="005D4007" w:rsidRPr="00923ADA" w:rsidRDefault="005D4007" w:rsidP="005D4007">
      <w:pPr>
        <w:pStyle w:val="PargrafodaLista"/>
      </w:pPr>
    </w:p>
    <w:p w14:paraId="56A0E561" w14:textId="77777777" w:rsidR="005D4007" w:rsidRDefault="005D4007" w:rsidP="005D4007"/>
    <w:p w14:paraId="758C932D" w14:textId="77777777" w:rsidR="009E30CE" w:rsidRDefault="009E30CE" w:rsidP="00102EE8"/>
    <w:p w14:paraId="2CF7167E" w14:textId="77777777" w:rsidR="009E30CE" w:rsidRDefault="009E30CE" w:rsidP="00102EE8"/>
    <w:p w14:paraId="1E269E0B" w14:textId="77777777" w:rsidR="009E30CE" w:rsidRDefault="009E30CE" w:rsidP="00102EE8"/>
    <w:p w14:paraId="4A89BD4C" w14:textId="77777777" w:rsidR="009E30CE" w:rsidRDefault="009E30CE" w:rsidP="00102EE8"/>
    <w:p w14:paraId="212FFA62" w14:textId="77777777" w:rsidR="009E30CE" w:rsidRPr="00A556DD" w:rsidRDefault="009E30CE" w:rsidP="00102EE8">
      <w:pPr>
        <w:pStyle w:val="PargrafodaLista"/>
        <w:rPr>
          <w:rFonts w:eastAsiaTheme="minorEastAsia"/>
        </w:rPr>
      </w:pPr>
      <w:r w:rsidRPr="00A352B1">
        <w:t xml:space="preserve">Anexo 1- Tradução </w:t>
      </w:r>
      <w:proofErr w:type="spellStart"/>
      <w:r w:rsidRPr="00A352B1">
        <w:t>Cnae</w:t>
      </w:r>
      <w:proofErr w:type="spellEnd"/>
      <w:r w:rsidRPr="00A352B1">
        <w:t xml:space="preserve"> 1.0 para Censo Industrial</w:t>
      </w:r>
    </w:p>
    <w:tbl>
      <w:tblPr>
        <w:tblStyle w:val="Tabelacomgrade"/>
        <w:tblW w:w="0" w:type="auto"/>
        <w:tblLook w:val="04A0" w:firstRow="1" w:lastRow="0" w:firstColumn="1" w:lastColumn="0" w:noHBand="0" w:noVBand="1"/>
      </w:tblPr>
      <w:tblGrid>
        <w:gridCol w:w="4322"/>
        <w:gridCol w:w="4322"/>
      </w:tblGrid>
      <w:tr w:rsidR="009E30CE" w:rsidRPr="007A4056" w14:paraId="2A3AE9C9" w14:textId="77777777" w:rsidTr="0002542D">
        <w:tc>
          <w:tcPr>
            <w:tcW w:w="4322" w:type="dxa"/>
          </w:tcPr>
          <w:p w14:paraId="48A5390C" w14:textId="77777777" w:rsidR="009E30CE" w:rsidRPr="007A4056" w:rsidRDefault="009E30CE" w:rsidP="00102EE8">
            <w:proofErr w:type="spellStart"/>
            <w:r w:rsidRPr="007A4056">
              <w:t>Cnae</w:t>
            </w:r>
            <w:proofErr w:type="spellEnd"/>
            <w:r w:rsidRPr="007A4056">
              <w:t xml:space="preserve"> 1.0</w:t>
            </w:r>
          </w:p>
        </w:tc>
        <w:tc>
          <w:tcPr>
            <w:tcW w:w="4322" w:type="dxa"/>
          </w:tcPr>
          <w:p w14:paraId="058A6B16" w14:textId="77777777" w:rsidR="009E30CE" w:rsidRPr="007A4056" w:rsidRDefault="009E30CE" w:rsidP="00102EE8">
            <w:r w:rsidRPr="007A4056">
              <w:t>Censo Industrial</w:t>
            </w:r>
          </w:p>
        </w:tc>
      </w:tr>
      <w:tr w:rsidR="009E30CE" w:rsidRPr="007A4056" w14:paraId="160CA291" w14:textId="77777777" w:rsidTr="0002542D">
        <w:tc>
          <w:tcPr>
            <w:tcW w:w="4322" w:type="dxa"/>
          </w:tcPr>
          <w:p w14:paraId="31277FBD" w14:textId="77777777" w:rsidR="009E30CE" w:rsidRPr="007A4056" w:rsidRDefault="009E30CE" w:rsidP="00102EE8">
            <w:r w:rsidRPr="007A4056">
              <w:rPr>
                <w:lang w:val="en-US"/>
              </w:rPr>
              <w:t xml:space="preserve">10; 11; 12; 13; 14                  </w:t>
            </w:r>
          </w:p>
        </w:tc>
        <w:tc>
          <w:tcPr>
            <w:tcW w:w="4322" w:type="dxa"/>
          </w:tcPr>
          <w:p w14:paraId="535C4695" w14:textId="77777777" w:rsidR="009E30CE" w:rsidRPr="007A4056" w:rsidRDefault="009E30CE" w:rsidP="00102EE8">
            <w:r w:rsidRPr="007A4056">
              <w:rPr>
                <w:lang w:val="en-US"/>
              </w:rPr>
              <w:t>"</w:t>
            </w:r>
            <w:proofErr w:type="spellStart"/>
            <w:r w:rsidRPr="007A4056">
              <w:rPr>
                <w:lang w:val="en-US"/>
              </w:rPr>
              <w:t>Produtos</w:t>
            </w:r>
            <w:proofErr w:type="spellEnd"/>
            <w:r w:rsidRPr="007A4056">
              <w:rPr>
                <w:lang w:val="en-US"/>
              </w:rPr>
              <w:t xml:space="preserve"> </w:t>
            </w:r>
            <w:proofErr w:type="spellStart"/>
            <w:r w:rsidRPr="007A4056">
              <w:rPr>
                <w:lang w:val="en-US"/>
              </w:rPr>
              <w:t>minerais</w:t>
            </w:r>
            <w:proofErr w:type="spellEnd"/>
            <w:r w:rsidRPr="007A4056">
              <w:rPr>
                <w:lang w:val="en-US"/>
              </w:rPr>
              <w:t>"</w:t>
            </w:r>
          </w:p>
        </w:tc>
      </w:tr>
      <w:tr w:rsidR="009E30CE" w:rsidRPr="007A4056" w14:paraId="6DE9995C" w14:textId="77777777" w:rsidTr="0002542D">
        <w:tc>
          <w:tcPr>
            <w:tcW w:w="4322" w:type="dxa"/>
          </w:tcPr>
          <w:p w14:paraId="7DC53F62" w14:textId="77777777" w:rsidR="009E30CE" w:rsidRPr="007A4056" w:rsidRDefault="009E30CE" w:rsidP="00102EE8">
            <w:pPr>
              <w:rPr>
                <w:lang w:val="en-US"/>
              </w:rPr>
            </w:pPr>
            <w:r w:rsidRPr="007A4056">
              <w:rPr>
                <w:lang w:val="en-US"/>
              </w:rPr>
              <w:t xml:space="preserve">15 ( </w:t>
            </w:r>
            <w:proofErr w:type="spellStart"/>
            <w:r w:rsidRPr="007A4056">
              <w:rPr>
                <w:lang w:val="en-US"/>
              </w:rPr>
              <w:t>exceto</w:t>
            </w:r>
            <w:proofErr w:type="spellEnd"/>
            <w:r w:rsidRPr="007A4056">
              <w:rPr>
                <w:lang w:val="en-US"/>
              </w:rPr>
              <w:t xml:space="preserve"> 159)</w:t>
            </w:r>
          </w:p>
        </w:tc>
        <w:tc>
          <w:tcPr>
            <w:tcW w:w="4322" w:type="dxa"/>
          </w:tcPr>
          <w:p w14:paraId="131D80F9" w14:textId="77777777" w:rsidR="009E30CE" w:rsidRPr="007A4056" w:rsidRDefault="009E30CE" w:rsidP="00102EE8">
            <w:pPr>
              <w:rPr>
                <w:lang w:val="en-US"/>
              </w:rPr>
            </w:pPr>
            <w:r w:rsidRPr="007A4056">
              <w:rPr>
                <w:lang w:val="en-US"/>
              </w:rPr>
              <w:t>"</w:t>
            </w:r>
            <w:proofErr w:type="spellStart"/>
            <w:r w:rsidRPr="007A4056">
              <w:rPr>
                <w:lang w:val="en-US"/>
              </w:rPr>
              <w:t>Produtos</w:t>
            </w:r>
            <w:proofErr w:type="spellEnd"/>
            <w:r w:rsidRPr="007A4056">
              <w:rPr>
                <w:lang w:val="en-US"/>
              </w:rPr>
              <w:t xml:space="preserve"> </w:t>
            </w:r>
            <w:proofErr w:type="spellStart"/>
            <w:r w:rsidRPr="007A4056">
              <w:rPr>
                <w:lang w:val="en-US"/>
              </w:rPr>
              <w:t>alimentares</w:t>
            </w:r>
            <w:proofErr w:type="spellEnd"/>
            <w:r w:rsidRPr="007A4056">
              <w:rPr>
                <w:lang w:val="en-US"/>
              </w:rPr>
              <w:t>"</w:t>
            </w:r>
          </w:p>
        </w:tc>
      </w:tr>
      <w:tr w:rsidR="009E30CE" w:rsidRPr="007A4056" w14:paraId="0C0E2143" w14:textId="77777777" w:rsidTr="0002542D">
        <w:tc>
          <w:tcPr>
            <w:tcW w:w="4322" w:type="dxa"/>
          </w:tcPr>
          <w:p w14:paraId="35AD5483" w14:textId="77777777" w:rsidR="009E30CE" w:rsidRPr="007A4056" w:rsidRDefault="009E30CE" w:rsidP="00102EE8">
            <w:pPr>
              <w:rPr>
                <w:lang w:val="en-US"/>
              </w:rPr>
            </w:pPr>
            <w:r w:rsidRPr="007A4056">
              <w:rPr>
                <w:lang w:val="en-US"/>
              </w:rPr>
              <w:t>159</w:t>
            </w:r>
          </w:p>
        </w:tc>
        <w:tc>
          <w:tcPr>
            <w:tcW w:w="4322" w:type="dxa"/>
          </w:tcPr>
          <w:p w14:paraId="558FE341" w14:textId="77777777" w:rsidR="009E30CE" w:rsidRPr="007A4056" w:rsidRDefault="009E30CE" w:rsidP="00102EE8">
            <w:pPr>
              <w:rPr>
                <w:lang w:val="en-US"/>
              </w:rPr>
            </w:pPr>
            <w:r w:rsidRPr="007A4056">
              <w:rPr>
                <w:lang w:val="en-US"/>
              </w:rPr>
              <w:t>"</w:t>
            </w:r>
            <w:proofErr w:type="spellStart"/>
            <w:r w:rsidRPr="007A4056">
              <w:rPr>
                <w:lang w:val="en-US"/>
              </w:rPr>
              <w:t>Bebidas</w:t>
            </w:r>
            <w:proofErr w:type="spellEnd"/>
            <w:r w:rsidRPr="007A4056">
              <w:rPr>
                <w:lang w:val="en-US"/>
              </w:rPr>
              <w:t>"</w:t>
            </w:r>
          </w:p>
        </w:tc>
      </w:tr>
      <w:tr w:rsidR="009E30CE" w:rsidRPr="007A4056" w14:paraId="232CC6C3" w14:textId="77777777" w:rsidTr="0002542D">
        <w:tc>
          <w:tcPr>
            <w:tcW w:w="4322" w:type="dxa"/>
          </w:tcPr>
          <w:p w14:paraId="151EC95B" w14:textId="77777777" w:rsidR="009E30CE" w:rsidRPr="007A4056" w:rsidRDefault="009E30CE" w:rsidP="00102EE8">
            <w:pPr>
              <w:rPr>
                <w:lang w:val="en-US"/>
              </w:rPr>
            </w:pPr>
            <w:r w:rsidRPr="007A4056">
              <w:rPr>
                <w:lang w:val="en-US"/>
              </w:rPr>
              <w:t>16</w:t>
            </w:r>
          </w:p>
        </w:tc>
        <w:tc>
          <w:tcPr>
            <w:tcW w:w="4322" w:type="dxa"/>
          </w:tcPr>
          <w:p w14:paraId="591F5C82" w14:textId="77777777" w:rsidR="009E30CE" w:rsidRPr="007A4056" w:rsidRDefault="009E30CE" w:rsidP="00102EE8">
            <w:pPr>
              <w:rPr>
                <w:lang w:val="en-US"/>
              </w:rPr>
            </w:pPr>
            <w:r w:rsidRPr="007A4056">
              <w:rPr>
                <w:lang w:val="en-US"/>
              </w:rPr>
              <w:t>"</w:t>
            </w:r>
            <w:proofErr w:type="spellStart"/>
            <w:r w:rsidRPr="007A4056">
              <w:rPr>
                <w:lang w:val="en-US"/>
              </w:rPr>
              <w:t>Fumo</w:t>
            </w:r>
            <w:proofErr w:type="spellEnd"/>
            <w:r w:rsidRPr="007A4056">
              <w:rPr>
                <w:lang w:val="en-US"/>
              </w:rPr>
              <w:t>"</w:t>
            </w:r>
          </w:p>
        </w:tc>
      </w:tr>
      <w:tr w:rsidR="009E30CE" w:rsidRPr="007A4056" w14:paraId="648D1857" w14:textId="77777777" w:rsidTr="0002542D">
        <w:tc>
          <w:tcPr>
            <w:tcW w:w="4322" w:type="dxa"/>
          </w:tcPr>
          <w:p w14:paraId="07D1F106" w14:textId="77777777" w:rsidR="009E30CE" w:rsidRPr="007A4056" w:rsidRDefault="009E30CE" w:rsidP="00102EE8">
            <w:pPr>
              <w:rPr>
                <w:lang w:val="en-US"/>
              </w:rPr>
            </w:pPr>
            <w:r w:rsidRPr="007A4056">
              <w:rPr>
                <w:lang w:val="en-US"/>
              </w:rPr>
              <w:t>17</w:t>
            </w:r>
          </w:p>
        </w:tc>
        <w:tc>
          <w:tcPr>
            <w:tcW w:w="4322" w:type="dxa"/>
          </w:tcPr>
          <w:p w14:paraId="1C181FEA" w14:textId="77777777" w:rsidR="009E30CE" w:rsidRPr="007A4056" w:rsidRDefault="009E30CE" w:rsidP="00102EE8">
            <w:pPr>
              <w:rPr>
                <w:lang w:val="en-US"/>
              </w:rPr>
            </w:pPr>
            <w:r w:rsidRPr="007A4056">
              <w:rPr>
                <w:lang w:val="en-US"/>
              </w:rPr>
              <w:t>"</w:t>
            </w:r>
            <w:proofErr w:type="spellStart"/>
            <w:r w:rsidRPr="007A4056">
              <w:rPr>
                <w:lang w:val="en-US"/>
              </w:rPr>
              <w:t>Têxtil</w:t>
            </w:r>
            <w:proofErr w:type="spellEnd"/>
            <w:r w:rsidRPr="007A4056">
              <w:rPr>
                <w:lang w:val="en-US"/>
              </w:rPr>
              <w:t>"</w:t>
            </w:r>
          </w:p>
        </w:tc>
      </w:tr>
      <w:tr w:rsidR="009E30CE" w:rsidRPr="007A4056" w14:paraId="5C0DBEA5" w14:textId="77777777" w:rsidTr="0002542D">
        <w:tc>
          <w:tcPr>
            <w:tcW w:w="4322" w:type="dxa"/>
          </w:tcPr>
          <w:p w14:paraId="13EBB4A0" w14:textId="77777777" w:rsidR="009E30CE" w:rsidRPr="007A4056" w:rsidRDefault="009E30CE" w:rsidP="00102EE8">
            <w:pPr>
              <w:rPr>
                <w:lang w:val="en-US"/>
              </w:rPr>
            </w:pPr>
            <w:r w:rsidRPr="007A4056">
              <w:rPr>
                <w:lang w:val="en-US"/>
              </w:rPr>
              <w:t>18; 193</w:t>
            </w:r>
          </w:p>
        </w:tc>
        <w:tc>
          <w:tcPr>
            <w:tcW w:w="4322" w:type="dxa"/>
          </w:tcPr>
          <w:p w14:paraId="547D0AA2" w14:textId="77777777" w:rsidR="009E30CE" w:rsidRPr="007A4056" w:rsidRDefault="009E30CE" w:rsidP="00102EE8">
            <w:pPr>
              <w:rPr>
                <w:lang w:val="en-US"/>
              </w:rPr>
            </w:pPr>
            <w:r w:rsidRPr="007A4056">
              <w:rPr>
                <w:lang w:val="en-US"/>
              </w:rPr>
              <w:t>"</w:t>
            </w:r>
            <w:proofErr w:type="spellStart"/>
            <w:r w:rsidRPr="007A4056">
              <w:rPr>
                <w:lang w:val="en-US"/>
              </w:rPr>
              <w:t>Vestuário</w:t>
            </w:r>
            <w:proofErr w:type="spellEnd"/>
            <w:r w:rsidRPr="007A4056">
              <w:rPr>
                <w:lang w:val="en-US"/>
              </w:rPr>
              <w:t xml:space="preserve"> e </w:t>
            </w:r>
            <w:proofErr w:type="spellStart"/>
            <w:r w:rsidRPr="007A4056">
              <w:rPr>
                <w:lang w:val="en-US"/>
              </w:rPr>
              <w:t>calçados</w:t>
            </w:r>
            <w:proofErr w:type="spellEnd"/>
            <w:r w:rsidRPr="007A4056">
              <w:rPr>
                <w:lang w:val="en-US"/>
              </w:rPr>
              <w:t>"</w:t>
            </w:r>
          </w:p>
        </w:tc>
      </w:tr>
      <w:tr w:rsidR="009E30CE" w:rsidRPr="007A4056" w14:paraId="7456661B" w14:textId="77777777" w:rsidTr="0002542D">
        <w:tc>
          <w:tcPr>
            <w:tcW w:w="4322" w:type="dxa"/>
          </w:tcPr>
          <w:p w14:paraId="165798F6" w14:textId="77777777" w:rsidR="009E30CE" w:rsidRPr="007A4056" w:rsidRDefault="009E30CE" w:rsidP="00102EE8">
            <w:r w:rsidRPr="007A4056">
              <w:rPr>
                <w:lang w:val="en-US"/>
              </w:rPr>
              <w:t xml:space="preserve">19 ( </w:t>
            </w:r>
            <w:proofErr w:type="spellStart"/>
            <w:r w:rsidRPr="007A4056">
              <w:rPr>
                <w:lang w:val="en-US"/>
              </w:rPr>
              <w:t>exceto</w:t>
            </w:r>
            <w:proofErr w:type="spellEnd"/>
            <w:r w:rsidRPr="007A4056">
              <w:rPr>
                <w:lang w:val="en-US"/>
              </w:rPr>
              <w:t xml:space="preserve"> 193)</w:t>
            </w:r>
          </w:p>
        </w:tc>
        <w:tc>
          <w:tcPr>
            <w:tcW w:w="4322" w:type="dxa"/>
          </w:tcPr>
          <w:p w14:paraId="3993C0C0" w14:textId="77777777" w:rsidR="009E30CE" w:rsidRPr="007A4056" w:rsidRDefault="009E30CE" w:rsidP="00102EE8">
            <w:pPr>
              <w:rPr>
                <w:lang w:val="en-US"/>
              </w:rPr>
            </w:pPr>
            <w:r w:rsidRPr="007A4056">
              <w:rPr>
                <w:lang w:val="en-US"/>
              </w:rPr>
              <w:t>"</w:t>
            </w:r>
            <w:proofErr w:type="spellStart"/>
            <w:r w:rsidRPr="007A4056">
              <w:rPr>
                <w:lang w:val="en-US"/>
              </w:rPr>
              <w:t>Couros</w:t>
            </w:r>
            <w:proofErr w:type="spellEnd"/>
            <w:r w:rsidRPr="007A4056">
              <w:rPr>
                <w:lang w:val="en-US"/>
              </w:rPr>
              <w:t xml:space="preserve"> e </w:t>
            </w:r>
            <w:proofErr w:type="spellStart"/>
            <w:r w:rsidRPr="007A4056">
              <w:rPr>
                <w:lang w:val="en-US"/>
              </w:rPr>
              <w:t>peles</w:t>
            </w:r>
            <w:proofErr w:type="spellEnd"/>
            <w:r w:rsidRPr="007A4056">
              <w:rPr>
                <w:lang w:val="en-US"/>
              </w:rPr>
              <w:t>"</w:t>
            </w:r>
          </w:p>
        </w:tc>
      </w:tr>
      <w:tr w:rsidR="009E30CE" w:rsidRPr="007A4056" w14:paraId="12F23310" w14:textId="77777777" w:rsidTr="0002542D">
        <w:tc>
          <w:tcPr>
            <w:tcW w:w="4322" w:type="dxa"/>
          </w:tcPr>
          <w:p w14:paraId="31980A47" w14:textId="77777777" w:rsidR="009E30CE" w:rsidRPr="007A4056" w:rsidRDefault="009E30CE" w:rsidP="00102EE8">
            <w:r w:rsidRPr="007A4056">
              <w:t>20</w:t>
            </w:r>
          </w:p>
        </w:tc>
        <w:tc>
          <w:tcPr>
            <w:tcW w:w="4322" w:type="dxa"/>
          </w:tcPr>
          <w:p w14:paraId="30CF11FF" w14:textId="77777777" w:rsidR="009E30CE" w:rsidRPr="007A4056" w:rsidRDefault="009E30CE" w:rsidP="00102EE8">
            <w:r w:rsidRPr="007A4056">
              <w:rPr>
                <w:lang w:val="en-US"/>
              </w:rPr>
              <w:t>"Madeira"</w:t>
            </w:r>
          </w:p>
        </w:tc>
      </w:tr>
      <w:tr w:rsidR="009E30CE" w:rsidRPr="007A4056" w14:paraId="0E0E32F4" w14:textId="77777777" w:rsidTr="0002542D">
        <w:tc>
          <w:tcPr>
            <w:tcW w:w="4322" w:type="dxa"/>
          </w:tcPr>
          <w:p w14:paraId="709DB4F7" w14:textId="77777777" w:rsidR="009E30CE" w:rsidRPr="007A4056" w:rsidRDefault="009E30CE" w:rsidP="00102EE8">
            <w:r w:rsidRPr="007A4056">
              <w:rPr>
                <w:lang w:val="en-US"/>
              </w:rPr>
              <w:t>21</w:t>
            </w:r>
          </w:p>
        </w:tc>
        <w:tc>
          <w:tcPr>
            <w:tcW w:w="4322" w:type="dxa"/>
          </w:tcPr>
          <w:p w14:paraId="6D3464DC" w14:textId="77777777" w:rsidR="009E30CE" w:rsidRPr="007A4056" w:rsidRDefault="009E30CE" w:rsidP="00102EE8">
            <w:pPr>
              <w:rPr>
                <w:lang w:val="en-US"/>
              </w:rPr>
            </w:pPr>
            <w:r w:rsidRPr="007A4056">
              <w:rPr>
                <w:lang w:val="en-US"/>
              </w:rPr>
              <w:t>"</w:t>
            </w:r>
            <w:proofErr w:type="spellStart"/>
            <w:r w:rsidRPr="007A4056">
              <w:rPr>
                <w:lang w:val="en-US"/>
              </w:rPr>
              <w:t>Papel</w:t>
            </w:r>
            <w:proofErr w:type="spellEnd"/>
            <w:r w:rsidRPr="007A4056">
              <w:rPr>
                <w:lang w:val="en-US"/>
              </w:rPr>
              <w:t xml:space="preserve"> e </w:t>
            </w:r>
            <w:proofErr w:type="spellStart"/>
            <w:r w:rsidRPr="007A4056">
              <w:rPr>
                <w:lang w:val="en-US"/>
              </w:rPr>
              <w:t>papelão</w:t>
            </w:r>
            <w:proofErr w:type="spellEnd"/>
            <w:r w:rsidRPr="007A4056">
              <w:rPr>
                <w:lang w:val="en-US"/>
              </w:rPr>
              <w:t>"</w:t>
            </w:r>
          </w:p>
        </w:tc>
      </w:tr>
      <w:tr w:rsidR="009E30CE" w:rsidRPr="007A4056" w14:paraId="206ADDFD" w14:textId="77777777" w:rsidTr="0002542D">
        <w:tc>
          <w:tcPr>
            <w:tcW w:w="4322" w:type="dxa"/>
          </w:tcPr>
          <w:p w14:paraId="51C564D3" w14:textId="77777777" w:rsidR="009E30CE" w:rsidRPr="007A4056" w:rsidRDefault="009E30CE" w:rsidP="00102EE8">
            <w:pPr>
              <w:rPr>
                <w:lang w:val="en-US"/>
              </w:rPr>
            </w:pPr>
            <w:r w:rsidRPr="007A4056">
              <w:rPr>
                <w:lang w:val="en-US"/>
              </w:rPr>
              <w:t>22</w:t>
            </w:r>
          </w:p>
        </w:tc>
        <w:tc>
          <w:tcPr>
            <w:tcW w:w="4322" w:type="dxa"/>
          </w:tcPr>
          <w:p w14:paraId="1CB9D69C" w14:textId="77777777" w:rsidR="009E30CE" w:rsidRPr="007A4056" w:rsidRDefault="009E30CE" w:rsidP="00102EE8">
            <w:pPr>
              <w:rPr>
                <w:lang w:val="en-US"/>
              </w:rPr>
            </w:pPr>
            <w:r w:rsidRPr="007A4056">
              <w:rPr>
                <w:lang w:val="en-US"/>
              </w:rPr>
              <w:t xml:space="preserve">"Editorial e </w:t>
            </w:r>
            <w:proofErr w:type="spellStart"/>
            <w:r w:rsidRPr="007A4056">
              <w:rPr>
                <w:lang w:val="en-US"/>
              </w:rPr>
              <w:t>gráfica</w:t>
            </w:r>
            <w:proofErr w:type="spellEnd"/>
            <w:r w:rsidRPr="007A4056">
              <w:rPr>
                <w:lang w:val="en-US"/>
              </w:rPr>
              <w:t>"</w:t>
            </w:r>
          </w:p>
        </w:tc>
      </w:tr>
      <w:tr w:rsidR="009E30CE" w:rsidRPr="007A4056" w14:paraId="72DC8660" w14:textId="77777777" w:rsidTr="0002542D">
        <w:tc>
          <w:tcPr>
            <w:tcW w:w="4322" w:type="dxa"/>
          </w:tcPr>
          <w:p w14:paraId="3ED2F90B" w14:textId="77777777" w:rsidR="009E30CE" w:rsidRPr="007A4056" w:rsidRDefault="009E30CE" w:rsidP="00102EE8">
            <w:pPr>
              <w:rPr>
                <w:lang w:val="en-US"/>
              </w:rPr>
            </w:pPr>
            <w:r w:rsidRPr="007A4056">
              <w:rPr>
                <w:lang w:val="en-US"/>
              </w:rPr>
              <w:t xml:space="preserve">23; 24 ( </w:t>
            </w:r>
            <w:proofErr w:type="spellStart"/>
            <w:r w:rsidRPr="007A4056">
              <w:rPr>
                <w:lang w:val="en-US"/>
              </w:rPr>
              <w:t>exceto</w:t>
            </w:r>
            <w:proofErr w:type="spellEnd"/>
            <w:r w:rsidRPr="007A4056">
              <w:rPr>
                <w:lang w:val="en-US"/>
              </w:rPr>
              <w:t xml:space="preserve"> 245 e 247)</w:t>
            </w:r>
          </w:p>
        </w:tc>
        <w:tc>
          <w:tcPr>
            <w:tcW w:w="4322" w:type="dxa"/>
          </w:tcPr>
          <w:p w14:paraId="3EA8F56F" w14:textId="77777777" w:rsidR="009E30CE" w:rsidRPr="007A4056" w:rsidRDefault="009E30CE" w:rsidP="00102EE8">
            <w:pPr>
              <w:rPr>
                <w:lang w:val="en-US"/>
              </w:rPr>
            </w:pPr>
            <w:r w:rsidRPr="007A4056">
              <w:rPr>
                <w:lang w:val="en-US"/>
              </w:rPr>
              <w:t>"</w:t>
            </w:r>
            <w:proofErr w:type="spellStart"/>
            <w:r w:rsidRPr="007A4056">
              <w:rPr>
                <w:lang w:val="en-US"/>
              </w:rPr>
              <w:t>Química</w:t>
            </w:r>
            <w:proofErr w:type="spellEnd"/>
            <w:r w:rsidRPr="007A4056">
              <w:rPr>
                <w:lang w:val="en-US"/>
              </w:rPr>
              <w:t>"</w:t>
            </w:r>
          </w:p>
        </w:tc>
      </w:tr>
      <w:tr w:rsidR="009E30CE" w:rsidRPr="007A4056" w14:paraId="0D8FE63C" w14:textId="77777777" w:rsidTr="0002542D">
        <w:tc>
          <w:tcPr>
            <w:tcW w:w="4322" w:type="dxa"/>
          </w:tcPr>
          <w:p w14:paraId="111C1607" w14:textId="77777777" w:rsidR="009E30CE" w:rsidRPr="007A4056" w:rsidRDefault="009E30CE" w:rsidP="00102EE8">
            <w:pPr>
              <w:rPr>
                <w:lang w:val="en-US"/>
              </w:rPr>
            </w:pPr>
            <w:r w:rsidRPr="007A4056">
              <w:rPr>
                <w:lang w:val="en-US"/>
              </w:rPr>
              <w:t xml:space="preserve">245 </w:t>
            </w:r>
          </w:p>
        </w:tc>
        <w:tc>
          <w:tcPr>
            <w:tcW w:w="4322" w:type="dxa"/>
          </w:tcPr>
          <w:p w14:paraId="7D85B579" w14:textId="77777777" w:rsidR="009E30CE" w:rsidRPr="007A4056" w:rsidRDefault="009E30CE" w:rsidP="00102EE8">
            <w:pPr>
              <w:rPr>
                <w:lang w:val="en-US"/>
              </w:rPr>
            </w:pPr>
            <w:r w:rsidRPr="007A4056">
              <w:rPr>
                <w:lang w:val="en-US"/>
              </w:rPr>
              <w:t>"</w:t>
            </w:r>
            <w:proofErr w:type="spellStart"/>
            <w:r w:rsidRPr="007A4056">
              <w:rPr>
                <w:lang w:val="en-US"/>
              </w:rPr>
              <w:t>Produtos</w:t>
            </w:r>
            <w:proofErr w:type="spellEnd"/>
            <w:r w:rsidRPr="007A4056">
              <w:rPr>
                <w:lang w:val="en-US"/>
              </w:rPr>
              <w:t xml:space="preserve"> </w:t>
            </w:r>
            <w:proofErr w:type="spellStart"/>
            <w:r w:rsidRPr="007A4056">
              <w:rPr>
                <w:lang w:val="en-US"/>
              </w:rPr>
              <w:t>farmacêuticos</w:t>
            </w:r>
            <w:proofErr w:type="spellEnd"/>
            <w:r w:rsidRPr="007A4056">
              <w:rPr>
                <w:lang w:val="en-US"/>
              </w:rPr>
              <w:t>"</w:t>
            </w:r>
          </w:p>
        </w:tc>
      </w:tr>
      <w:tr w:rsidR="009E30CE" w:rsidRPr="007A4056" w14:paraId="31788BB7" w14:textId="77777777" w:rsidTr="0002542D">
        <w:tc>
          <w:tcPr>
            <w:tcW w:w="4322" w:type="dxa"/>
          </w:tcPr>
          <w:p w14:paraId="64804843" w14:textId="77777777" w:rsidR="009E30CE" w:rsidRPr="007A4056" w:rsidRDefault="009E30CE" w:rsidP="00102EE8">
            <w:pPr>
              <w:rPr>
                <w:lang w:val="en-US"/>
              </w:rPr>
            </w:pPr>
            <w:r w:rsidRPr="007A4056">
              <w:rPr>
                <w:lang w:val="en-US"/>
              </w:rPr>
              <w:t>247</w:t>
            </w:r>
          </w:p>
        </w:tc>
        <w:tc>
          <w:tcPr>
            <w:tcW w:w="4322" w:type="dxa"/>
          </w:tcPr>
          <w:p w14:paraId="28612296" w14:textId="77777777" w:rsidR="009E30CE" w:rsidRPr="007A4056" w:rsidRDefault="009E30CE" w:rsidP="00102EE8">
            <w:pPr>
              <w:rPr>
                <w:lang w:val="en-US"/>
              </w:rPr>
            </w:pPr>
            <w:r w:rsidRPr="007A4056">
              <w:rPr>
                <w:lang w:val="en-US"/>
              </w:rPr>
              <w:t>"</w:t>
            </w:r>
            <w:proofErr w:type="spellStart"/>
            <w:r w:rsidRPr="007A4056">
              <w:rPr>
                <w:lang w:val="en-US"/>
              </w:rPr>
              <w:t>Perfumaria</w:t>
            </w:r>
            <w:proofErr w:type="spellEnd"/>
            <w:r w:rsidRPr="007A4056">
              <w:rPr>
                <w:lang w:val="en-US"/>
              </w:rPr>
              <w:t xml:space="preserve"> e </w:t>
            </w:r>
            <w:proofErr w:type="spellStart"/>
            <w:r w:rsidRPr="007A4056">
              <w:rPr>
                <w:lang w:val="en-US"/>
              </w:rPr>
              <w:t>velas</w:t>
            </w:r>
            <w:proofErr w:type="spellEnd"/>
            <w:r w:rsidRPr="007A4056">
              <w:rPr>
                <w:lang w:val="en-US"/>
              </w:rPr>
              <w:t>"</w:t>
            </w:r>
          </w:p>
        </w:tc>
      </w:tr>
      <w:tr w:rsidR="009E30CE" w:rsidRPr="007A4056" w14:paraId="4E114DA8" w14:textId="77777777" w:rsidTr="0002542D">
        <w:tc>
          <w:tcPr>
            <w:tcW w:w="4322" w:type="dxa"/>
          </w:tcPr>
          <w:p w14:paraId="7894C04C" w14:textId="77777777" w:rsidR="009E30CE" w:rsidRPr="007A4056" w:rsidRDefault="009E30CE" w:rsidP="00102EE8">
            <w:r w:rsidRPr="007A4056">
              <w:rPr>
                <w:lang w:val="en-US"/>
              </w:rPr>
              <w:t>251</w:t>
            </w:r>
          </w:p>
        </w:tc>
        <w:tc>
          <w:tcPr>
            <w:tcW w:w="4322" w:type="dxa"/>
          </w:tcPr>
          <w:p w14:paraId="7DA2151F" w14:textId="77777777" w:rsidR="009E30CE" w:rsidRPr="007A4056" w:rsidRDefault="009E30CE" w:rsidP="00102EE8">
            <w:pPr>
              <w:rPr>
                <w:lang w:val="en-US"/>
              </w:rPr>
            </w:pPr>
            <w:r w:rsidRPr="007A4056">
              <w:rPr>
                <w:lang w:val="en-US"/>
              </w:rPr>
              <w:t>"Borracha"</w:t>
            </w:r>
          </w:p>
        </w:tc>
      </w:tr>
      <w:tr w:rsidR="009E30CE" w:rsidRPr="007A4056" w14:paraId="2E8A1148" w14:textId="77777777" w:rsidTr="0002542D">
        <w:tc>
          <w:tcPr>
            <w:tcW w:w="4322" w:type="dxa"/>
          </w:tcPr>
          <w:p w14:paraId="08DD0891" w14:textId="77777777" w:rsidR="009E30CE" w:rsidRPr="007A4056" w:rsidRDefault="009E30CE" w:rsidP="00102EE8">
            <w:pPr>
              <w:rPr>
                <w:lang w:val="en-US"/>
              </w:rPr>
            </w:pPr>
            <w:r w:rsidRPr="007A4056">
              <w:rPr>
                <w:lang w:val="en-US"/>
              </w:rPr>
              <w:t>252</w:t>
            </w:r>
          </w:p>
        </w:tc>
        <w:tc>
          <w:tcPr>
            <w:tcW w:w="4322" w:type="dxa"/>
          </w:tcPr>
          <w:p w14:paraId="229E50AF" w14:textId="77777777" w:rsidR="009E30CE" w:rsidRPr="007A4056" w:rsidRDefault="009E30CE" w:rsidP="00102EE8">
            <w:pPr>
              <w:rPr>
                <w:lang w:val="en-US"/>
              </w:rPr>
            </w:pPr>
            <w:r w:rsidRPr="007A4056">
              <w:rPr>
                <w:lang w:val="en-US"/>
              </w:rPr>
              <w:t>"</w:t>
            </w:r>
            <w:proofErr w:type="spellStart"/>
            <w:r w:rsidRPr="007A4056">
              <w:rPr>
                <w:lang w:val="en-US"/>
              </w:rPr>
              <w:t>Matérias</w:t>
            </w:r>
            <w:proofErr w:type="spellEnd"/>
            <w:r w:rsidRPr="007A4056">
              <w:rPr>
                <w:lang w:val="en-US"/>
              </w:rPr>
              <w:t xml:space="preserve"> </w:t>
            </w:r>
            <w:proofErr w:type="spellStart"/>
            <w:r w:rsidRPr="007A4056">
              <w:rPr>
                <w:lang w:val="en-US"/>
              </w:rPr>
              <w:t>plásticas</w:t>
            </w:r>
            <w:proofErr w:type="spellEnd"/>
            <w:r w:rsidRPr="007A4056">
              <w:rPr>
                <w:lang w:val="en-US"/>
              </w:rPr>
              <w:t>"</w:t>
            </w:r>
          </w:p>
        </w:tc>
      </w:tr>
      <w:tr w:rsidR="009E30CE" w:rsidRPr="007A4056" w14:paraId="34C4EB9B" w14:textId="77777777" w:rsidTr="0002542D">
        <w:tc>
          <w:tcPr>
            <w:tcW w:w="4322" w:type="dxa"/>
          </w:tcPr>
          <w:p w14:paraId="01C5CA7B" w14:textId="77777777" w:rsidR="009E30CE" w:rsidRPr="007A4056" w:rsidRDefault="009E30CE" w:rsidP="00102EE8">
            <w:r w:rsidRPr="007A4056">
              <w:t>26</w:t>
            </w:r>
          </w:p>
        </w:tc>
        <w:tc>
          <w:tcPr>
            <w:tcW w:w="4322" w:type="dxa"/>
          </w:tcPr>
          <w:p w14:paraId="1BF58390" w14:textId="77777777" w:rsidR="009E30CE" w:rsidRPr="007A4056" w:rsidRDefault="009E30CE" w:rsidP="00102EE8">
            <w:r w:rsidRPr="007A4056">
              <w:rPr>
                <w:lang w:val="en-US"/>
              </w:rPr>
              <w:t>"</w:t>
            </w:r>
            <w:proofErr w:type="spellStart"/>
            <w:r w:rsidRPr="007A4056">
              <w:rPr>
                <w:lang w:val="en-US"/>
              </w:rPr>
              <w:t>Minerais</w:t>
            </w:r>
            <w:proofErr w:type="spellEnd"/>
            <w:r w:rsidRPr="007A4056">
              <w:rPr>
                <w:lang w:val="en-US"/>
              </w:rPr>
              <w:t xml:space="preserve"> </w:t>
            </w:r>
            <w:proofErr w:type="spellStart"/>
            <w:r w:rsidRPr="007A4056">
              <w:rPr>
                <w:lang w:val="en-US"/>
              </w:rPr>
              <w:t>não</w:t>
            </w:r>
            <w:proofErr w:type="spellEnd"/>
            <w:r w:rsidRPr="007A4056">
              <w:rPr>
                <w:lang w:val="en-US"/>
              </w:rPr>
              <w:t xml:space="preserve"> </w:t>
            </w:r>
            <w:proofErr w:type="spellStart"/>
            <w:r w:rsidRPr="007A4056">
              <w:rPr>
                <w:lang w:val="en-US"/>
              </w:rPr>
              <w:t>metálicos</w:t>
            </w:r>
            <w:proofErr w:type="spellEnd"/>
            <w:r w:rsidRPr="007A4056">
              <w:rPr>
                <w:lang w:val="en-US"/>
              </w:rPr>
              <w:t>"</w:t>
            </w:r>
          </w:p>
        </w:tc>
      </w:tr>
      <w:tr w:rsidR="009E30CE" w:rsidRPr="007A4056" w14:paraId="36FBF4A7" w14:textId="77777777" w:rsidTr="0002542D">
        <w:tc>
          <w:tcPr>
            <w:tcW w:w="4322" w:type="dxa"/>
          </w:tcPr>
          <w:p w14:paraId="018F5DF2" w14:textId="77777777" w:rsidR="009E30CE" w:rsidRPr="007A4056" w:rsidRDefault="009E30CE" w:rsidP="00102EE8">
            <w:r w:rsidRPr="007A4056">
              <w:t>27; 28</w:t>
            </w:r>
          </w:p>
        </w:tc>
        <w:tc>
          <w:tcPr>
            <w:tcW w:w="4322" w:type="dxa"/>
          </w:tcPr>
          <w:p w14:paraId="7413CF13" w14:textId="77777777" w:rsidR="009E30CE" w:rsidRPr="007A4056" w:rsidRDefault="009E30CE" w:rsidP="00102EE8">
            <w:r w:rsidRPr="007A4056">
              <w:rPr>
                <w:lang w:val="en-US"/>
              </w:rPr>
              <w:t>"</w:t>
            </w:r>
            <w:proofErr w:type="spellStart"/>
            <w:r w:rsidRPr="007A4056">
              <w:rPr>
                <w:lang w:val="en-US"/>
              </w:rPr>
              <w:t>Metalúrgica</w:t>
            </w:r>
            <w:proofErr w:type="spellEnd"/>
            <w:r w:rsidRPr="007A4056">
              <w:rPr>
                <w:lang w:val="en-US"/>
              </w:rPr>
              <w:t>"</w:t>
            </w:r>
          </w:p>
        </w:tc>
      </w:tr>
      <w:tr w:rsidR="009E30CE" w:rsidRPr="007A4056" w14:paraId="5EDD33F9" w14:textId="77777777" w:rsidTr="0002542D">
        <w:tc>
          <w:tcPr>
            <w:tcW w:w="4322" w:type="dxa"/>
          </w:tcPr>
          <w:p w14:paraId="7AE58D7F" w14:textId="77777777" w:rsidR="009E30CE" w:rsidRPr="007A4056" w:rsidRDefault="009E30CE" w:rsidP="00102EE8">
            <w:r w:rsidRPr="007A4056">
              <w:rPr>
                <w:lang w:val="en-US"/>
              </w:rPr>
              <w:t>29</w:t>
            </w:r>
          </w:p>
        </w:tc>
        <w:tc>
          <w:tcPr>
            <w:tcW w:w="4322" w:type="dxa"/>
          </w:tcPr>
          <w:p w14:paraId="53723161" w14:textId="77777777" w:rsidR="009E30CE" w:rsidRPr="007A4056" w:rsidRDefault="009E30CE" w:rsidP="00102EE8">
            <w:r w:rsidRPr="007A4056">
              <w:rPr>
                <w:lang w:val="en-US"/>
              </w:rPr>
              <w:t>"</w:t>
            </w:r>
            <w:proofErr w:type="spellStart"/>
            <w:r w:rsidRPr="007A4056">
              <w:rPr>
                <w:lang w:val="en-US"/>
              </w:rPr>
              <w:t>Mecânica</w:t>
            </w:r>
            <w:proofErr w:type="spellEnd"/>
            <w:r w:rsidRPr="007A4056">
              <w:rPr>
                <w:lang w:val="en-US"/>
              </w:rPr>
              <w:t>"</w:t>
            </w:r>
          </w:p>
        </w:tc>
      </w:tr>
      <w:tr w:rsidR="009E30CE" w:rsidRPr="007A4056" w14:paraId="3A0B1689" w14:textId="77777777" w:rsidTr="0002542D">
        <w:tc>
          <w:tcPr>
            <w:tcW w:w="4322" w:type="dxa"/>
          </w:tcPr>
          <w:p w14:paraId="671FBA36" w14:textId="77777777" w:rsidR="009E30CE" w:rsidRPr="007A4056" w:rsidRDefault="009E30CE" w:rsidP="00102EE8">
            <w:r w:rsidRPr="007A4056">
              <w:rPr>
                <w:lang w:val="en-US"/>
              </w:rPr>
              <w:t xml:space="preserve">30; 31; 32                            </w:t>
            </w:r>
          </w:p>
        </w:tc>
        <w:tc>
          <w:tcPr>
            <w:tcW w:w="4322" w:type="dxa"/>
          </w:tcPr>
          <w:p w14:paraId="473792E4" w14:textId="77777777" w:rsidR="009E30CE" w:rsidRPr="007A4056" w:rsidRDefault="009E30CE" w:rsidP="00102EE8">
            <w:r w:rsidRPr="007A4056">
              <w:rPr>
                <w:lang w:val="en-US"/>
              </w:rPr>
              <w:t xml:space="preserve">"Material </w:t>
            </w:r>
            <w:proofErr w:type="spellStart"/>
            <w:r w:rsidRPr="007A4056">
              <w:rPr>
                <w:lang w:val="en-US"/>
              </w:rPr>
              <w:t>elétrico</w:t>
            </w:r>
            <w:proofErr w:type="spellEnd"/>
            <w:r w:rsidRPr="007A4056">
              <w:rPr>
                <w:lang w:val="en-US"/>
              </w:rPr>
              <w:t>";</w:t>
            </w:r>
          </w:p>
        </w:tc>
      </w:tr>
      <w:tr w:rsidR="009E30CE" w:rsidRPr="007A4056" w14:paraId="1118023C" w14:textId="77777777" w:rsidTr="0002542D">
        <w:tc>
          <w:tcPr>
            <w:tcW w:w="4322" w:type="dxa"/>
          </w:tcPr>
          <w:p w14:paraId="566C5A36" w14:textId="77777777" w:rsidR="009E30CE" w:rsidRPr="007A4056" w:rsidRDefault="009E30CE" w:rsidP="00102EE8">
            <w:r w:rsidRPr="007A4056">
              <w:rPr>
                <w:lang w:val="en-US"/>
              </w:rPr>
              <w:t>34; 35</w:t>
            </w:r>
          </w:p>
        </w:tc>
        <w:tc>
          <w:tcPr>
            <w:tcW w:w="4322" w:type="dxa"/>
          </w:tcPr>
          <w:p w14:paraId="15CDBEA8" w14:textId="77777777" w:rsidR="009E30CE" w:rsidRPr="007A4056" w:rsidRDefault="009E30CE" w:rsidP="00102EE8">
            <w:r w:rsidRPr="007A4056">
              <w:rPr>
                <w:lang w:val="en-US"/>
              </w:rPr>
              <w:t xml:space="preserve">"Material de </w:t>
            </w:r>
            <w:proofErr w:type="spellStart"/>
            <w:r w:rsidRPr="007A4056">
              <w:rPr>
                <w:lang w:val="en-US"/>
              </w:rPr>
              <w:t>transporte</w:t>
            </w:r>
            <w:proofErr w:type="spellEnd"/>
            <w:r w:rsidRPr="007A4056">
              <w:rPr>
                <w:lang w:val="en-US"/>
              </w:rPr>
              <w:t>"</w:t>
            </w:r>
          </w:p>
        </w:tc>
      </w:tr>
      <w:tr w:rsidR="009E30CE" w:rsidRPr="007A4056" w14:paraId="312C372A" w14:textId="77777777" w:rsidTr="0002542D">
        <w:tc>
          <w:tcPr>
            <w:tcW w:w="4322" w:type="dxa"/>
          </w:tcPr>
          <w:p w14:paraId="611A6B0C" w14:textId="77777777" w:rsidR="009E30CE" w:rsidRPr="007A4056" w:rsidRDefault="009E30CE" w:rsidP="00102EE8">
            <w:pPr>
              <w:rPr>
                <w:lang w:val="en-US"/>
              </w:rPr>
            </w:pPr>
            <w:r w:rsidRPr="007A4056">
              <w:rPr>
                <w:lang w:val="en-US"/>
              </w:rPr>
              <w:t xml:space="preserve">33; 37; 369 </w:t>
            </w:r>
          </w:p>
        </w:tc>
        <w:tc>
          <w:tcPr>
            <w:tcW w:w="4322" w:type="dxa"/>
          </w:tcPr>
          <w:p w14:paraId="4D898E7D" w14:textId="77777777" w:rsidR="009E30CE" w:rsidRPr="007A4056" w:rsidRDefault="009E30CE" w:rsidP="00102EE8">
            <w:pPr>
              <w:rPr>
                <w:lang w:val="en-US"/>
              </w:rPr>
            </w:pPr>
            <w:r w:rsidRPr="007A4056">
              <w:rPr>
                <w:lang w:val="en-US"/>
              </w:rPr>
              <w:t>"</w:t>
            </w:r>
            <w:proofErr w:type="spellStart"/>
            <w:r w:rsidRPr="007A4056">
              <w:rPr>
                <w:lang w:val="en-US"/>
              </w:rPr>
              <w:t>Diversas</w:t>
            </w:r>
            <w:proofErr w:type="spellEnd"/>
            <w:r w:rsidRPr="007A4056">
              <w:rPr>
                <w:lang w:val="en-US"/>
              </w:rPr>
              <w:t>"</w:t>
            </w:r>
          </w:p>
        </w:tc>
      </w:tr>
      <w:tr w:rsidR="009E30CE" w:rsidRPr="007A4056" w14:paraId="7FF9E416" w14:textId="77777777" w:rsidTr="0002542D">
        <w:tc>
          <w:tcPr>
            <w:tcW w:w="4322" w:type="dxa"/>
          </w:tcPr>
          <w:p w14:paraId="084D135D" w14:textId="77777777" w:rsidR="009E30CE" w:rsidRPr="007A4056" w:rsidRDefault="009E30CE" w:rsidP="00102EE8">
            <w:r w:rsidRPr="007A4056">
              <w:rPr>
                <w:lang w:val="en-US"/>
              </w:rPr>
              <w:t>361</w:t>
            </w:r>
          </w:p>
        </w:tc>
        <w:tc>
          <w:tcPr>
            <w:tcW w:w="4322" w:type="dxa"/>
          </w:tcPr>
          <w:p w14:paraId="0FEC86BE" w14:textId="77777777" w:rsidR="009E30CE" w:rsidRPr="007A4056" w:rsidRDefault="009E30CE" w:rsidP="00102EE8">
            <w:pPr>
              <w:rPr>
                <w:lang w:val="en-US"/>
              </w:rPr>
            </w:pPr>
            <w:r w:rsidRPr="007A4056">
              <w:rPr>
                <w:lang w:val="en-US"/>
              </w:rPr>
              <w:t>"</w:t>
            </w:r>
            <w:proofErr w:type="spellStart"/>
            <w:r w:rsidRPr="007A4056">
              <w:rPr>
                <w:lang w:val="en-US"/>
              </w:rPr>
              <w:t>Mobiliário</w:t>
            </w:r>
            <w:proofErr w:type="spellEnd"/>
            <w:r w:rsidRPr="007A4056">
              <w:rPr>
                <w:lang w:val="en-US"/>
              </w:rPr>
              <w:t>"</w:t>
            </w:r>
          </w:p>
        </w:tc>
      </w:tr>
      <w:tr w:rsidR="009E30CE" w:rsidRPr="007A4056" w14:paraId="467059CC" w14:textId="77777777" w:rsidTr="0002542D">
        <w:tc>
          <w:tcPr>
            <w:tcW w:w="4322" w:type="dxa"/>
          </w:tcPr>
          <w:p w14:paraId="30B0219F" w14:textId="77777777" w:rsidR="009E30CE" w:rsidRPr="007A4056" w:rsidRDefault="009E30CE" w:rsidP="00102EE8">
            <w:r w:rsidRPr="007A4056">
              <w:t>Restante do setor de transformação e extração</w:t>
            </w:r>
          </w:p>
        </w:tc>
        <w:tc>
          <w:tcPr>
            <w:tcW w:w="4322" w:type="dxa"/>
          </w:tcPr>
          <w:p w14:paraId="70068D87" w14:textId="77777777" w:rsidR="009E30CE" w:rsidRPr="007A4056" w:rsidRDefault="009E30CE" w:rsidP="00102EE8">
            <w:pPr>
              <w:rPr>
                <w:lang w:val="en-US"/>
              </w:rPr>
            </w:pPr>
            <w:r w:rsidRPr="007A4056">
              <w:t>"Atividades de apoio"</w:t>
            </w:r>
          </w:p>
        </w:tc>
      </w:tr>
    </w:tbl>
    <w:p w14:paraId="5F31B45C" w14:textId="77777777" w:rsidR="009E30CE" w:rsidRPr="00923ADA" w:rsidRDefault="009E30CE" w:rsidP="00102EE8">
      <w:pPr>
        <w:pStyle w:val="PargrafodaLista"/>
      </w:pPr>
    </w:p>
    <w:p w14:paraId="10E111AE" w14:textId="77777777" w:rsidR="009E30CE" w:rsidRDefault="009E30CE" w:rsidP="00102EE8"/>
    <w:p w14:paraId="256FF50A" w14:textId="77777777" w:rsidR="00102EE8" w:rsidRDefault="00102EE8" w:rsidP="00102EE8"/>
    <w:p w14:paraId="53183648" w14:textId="77777777" w:rsidR="00102EE8" w:rsidRPr="000457C7" w:rsidRDefault="00102EE8" w:rsidP="00102EE8">
      <w:r>
        <w:t xml:space="preserve">Vamos reportar em anexo o estoque de capital por CNAE2 (Duas tabelas para </w:t>
      </w:r>
      <w:proofErr w:type="gramStart"/>
      <w:r>
        <w:t>industria</w:t>
      </w:r>
      <w:proofErr w:type="gramEnd"/>
      <w:r>
        <w:t xml:space="preserve"> e serviços)</w:t>
      </w:r>
    </w:p>
    <w:sectPr w:rsidR="00102EE8" w:rsidRPr="000457C7" w:rsidSect="005F453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231C9E" w14:textId="77777777" w:rsidR="005B7DA8" w:rsidRDefault="005B7DA8" w:rsidP="00102EE8">
      <w:r>
        <w:separator/>
      </w:r>
    </w:p>
  </w:endnote>
  <w:endnote w:type="continuationSeparator" w:id="0">
    <w:p w14:paraId="219F9F7E" w14:textId="77777777" w:rsidR="005B7DA8" w:rsidRDefault="005B7DA8" w:rsidP="00102E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D2B800" w14:textId="77777777" w:rsidR="005B7DA8" w:rsidRDefault="005B7DA8" w:rsidP="00102EE8">
      <w:r>
        <w:separator/>
      </w:r>
    </w:p>
  </w:footnote>
  <w:footnote w:type="continuationSeparator" w:id="0">
    <w:p w14:paraId="38388CB1" w14:textId="77777777" w:rsidR="005B7DA8" w:rsidRDefault="005B7DA8" w:rsidP="00102EE8">
      <w:r>
        <w:continuationSeparator/>
      </w:r>
    </w:p>
  </w:footnote>
  <w:footnote w:id="1">
    <w:p w14:paraId="08434EB1" w14:textId="77777777" w:rsidR="0002542D" w:rsidRDefault="0002542D" w:rsidP="00102EE8">
      <w:pPr>
        <w:pStyle w:val="Textodenotaderodap"/>
      </w:pPr>
      <w:r>
        <w:rPr>
          <w:rStyle w:val="Refdenotaderodap"/>
        </w:rPr>
        <w:footnoteRef/>
      </w:r>
      <w:r>
        <w:t xml:space="preserve"> Para uma discussão acerca dos diferentes métodos de cálculo do estoque de capital, vide OECD (2001).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46280"/>
    <w:multiLevelType w:val="hybridMultilevel"/>
    <w:tmpl w:val="12942160"/>
    <w:lvl w:ilvl="0" w:tplc="C366C2F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32419AB"/>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EE04AA2"/>
    <w:multiLevelType w:val="hybridMultilevel"/>
    <w:tmpl w:val="89FC1A02"/>
    <w:lvl w:ilvl="0" w:tplc="0416001B">
      <w:start w:val="1"/>
      <w:numFmt w:val="lowerRoman"/>
      <w:lvlText w:val="%1."/>
      <w:lvlJc w:val="righ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 w15:restartNumberingAfterBreak="0">
    <w:nsid w:val="2C284786"/>
    <w:multiLevelType w:val="hybridMultilevel"/>
    <w:tmpl w:val="F85EDEE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FA57CCE"/>
    <w:multiLevelType w:val="hybridMultilevel"/>
    <w:tmpl w:val="C316C92C"/>
    <w:lvl w:ilvl="0" w:tplc="C366C2F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0670BAD"/>
    <w:multiLevelType w:val="hybridMultilevel"/>
    <w:tmpl w:val="E1C49F38"/>
    <w:lvl w:ilvl="0" w:tplc="0416001B">
      <w:start w:val="1"/>
      <w:numFmt w:val="lowerRoman"/>
      <w:lvlText w:val="%1."/>
      <w:lvlJc w:val="righ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6" w15:restartNumberingAfterBreak="0">
    <w:nsid w:val="394D092F"/>
    <w:multiLevelType w:val="hybridMultilevel"/>
    <w:tmpl w:val="1CE014B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9DF5E8D"/>
    <w:multiLevelType w:val="multilevel"/>
    <w:tmpl w:val="FB28B0A0"/>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F3D3CA3"/>
    <w:multiLevelType w:val="hybridMultilevel"/>
    <w:tmpl w:val="1CE014B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4412456"/>
    <w:multiLevelType w:val="hybridMultilevel"/>
    <w:tmpl w:val="4FDE65F2"/>
    <w:lvl w:ilvl="0" w:tplc="514AF200">
      <w:start w:val="1"/>
      <w:numFmt w:val="decimal"/>
      <w:lvlText w:val="%1-"/>
      <w:lvlJc w:val="left"/>
      <w:pPr>
        <w:ind w:left="180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0" w15:restartNumberingAfterBreak="0">
    <w:nsid w:val="4D4C222A"/>
    <w:multiLevelType w:val="hybridMultilevel"/>
    <w:tmpl w:val="EB7A506C"/>
    <w:lvl w:ilvl="0" w:tplc="471448D8">
      <w:start w:val="1"/>
      <w:numFmt w:val="decimal"/>
      <w:lvlText w:val="%1-"/>
      <w:lvlJc w:val="left"/>
      <w:pPr>
        <w:ind w:left="1080" w:hanging="360"/>
      </w:pPr>
      <w:rPr>
        <w:rFonts w:hint="default"/>
        <w:b w:val="0"/>
        <w:sz w:val="24"/>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1" w15:restartNumberingAfterBreak="0">
    <w:nsid w:val="54631CC1"/>
    <w:multiLevelType w:val="hybridMultilevel"/>
    <w:tmpl w:val="ECDAEECC"/>
    <w:lvl w:ilvl="0" w:tplc="03005FC2">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580451E0"/>
    <w:multiLevelType w:val="hybridMultilevel"/>
    <w:tmpl w:val="AAAE40A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3" w15:restartNumberingAfterBreak="0">
    <w:nsid w:val="5D5668D5"/>
    <w:multiLevelType w:val="hybridMultilevel"/>
    <w:tmpl w:val="E1C49F38"/>
    <w:lvl w:ilvl="0" w:tplc="0416001B">
      <w:start w:val="1"/>
      <w:numFmt w:val="lowerRoman"/>
      <w:lvlText w:val="%1."/>
      <w:lvlJc w:val="righ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4" w15:restartNumberingAfterBreak="0">
    <w:nsid w:val="62E11B90"/>
    <w:multiLevelType w:val="multilevel"/>
    <w:tmpl w:val="34DC35F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66B3325B"/>
    <w:multiLevelType w:val="hybridMultilevel"/>
    <w:tmpl w:val="37F06E72"/>
    <w:lvl w:ilvl="0" w:tplc="04160003">
      <w:start w:val="1"/>
      <w:numFmt w:val="bullet"/>
      <w:lvlText w:val="o"/>
      <w:lvlJc w:val="left"/>
      <w:pPr>
        <w:ind w:left="2160" w:hanging="360"/>
      </w:pPr>
      <w:rPr>
        <w:rFonts w:ascii="Courier New" w:hAnsi="Courier New" w:cs="Courier New"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16" w15:restartNumberingAfterBreak="0">
    <w:nsid w:val="67F26ACB"/>
    <w:multiLevelType w:val="hybridMultilevel"/>
    <w:tmpl w:val="9FC4D0DE"/>
    <w:lvl w:ilvl="0" w:tplc="0416001B">
      <w:start w:val="1"/>
      <w:numFmt w:val="lowerRoman"/>
      <w:lvlText w:val="%1."/>
      <w:lvlJc w:val="right"/>
      <w:pPr>
        <w:ind w:left="773" w:hanging="360"/>
      </w:pPr>
    </w:lvl>
    <w:lvl w:ilvl="1" w:tplc="04160019" w:tentative="1">
      <w:start w:val="1"/>
      <w:numFmt w:val="lowerLetter"/>
      <w:lvlText w:val="%2."/>
      <w:lvlJc w:val="left"/>
      <w:pPr>
        <w:ind w:left="1493" w:hanging="360"/>
      </w:pPr>
    </w:lvl>
    <w:lvl w:ilvl="2" w:tplc="0416001B" w:tentative="1">
      <w:start w:val="1"/>
      <w:numFmt w:val="lowerRoman"/>
      <w:lvlText w:val="%3."/>
      <w:lvlJc w:val="right"/>
      <w:pPr>
        <w:ind w:left="2213" w:hanging="180"/>
      </w:pPr>
    </w:lvl>
    <w:lvl w:ilvl="3" w:tplc="0416000F" w:tentative="1">
      <w:start w:val="1"/>
      <w:numFmt w:val="decimal"/>
      <w:lvlText w:val="%4."/>
      <w:lvlJc w:val="left"/>
      <w:pPr>
        <w:ind w:left="2933" w:hanging="360"/>
      </w:pPr>
    </w:lvl>
    <w:lvl w:ilvl="4" w:tplc="04160019" w:tentative="1">
      <w:start w:val="1"/>
      <w:numFmt w:val="lowerLetter"/>
      <w:lvlText w:val="%5."/>
      <w:lvlJc w:val="left"/>
      <w:pPr>
        <w:ind w:left="3653" w:hanging="360"/>
      </w:pPr>
    </w:lvl>
    <w:lvl w:ilvl="5" w:tplc="0416001B" w:tentative="1">
      <w:start w:val="1"/>
      <w:numFmt w:val="lowerRoman"/>
      <w:lvlText w:val="%6."/>
      <w:lvlJc w:val="right"/>
      <w:pPr>
        <w:ind w:left="4373" w:hanging="180"/>
      </w:pPr>
    </w:lvl>
    <w:lvl w:ilvl="6" w:tplc="0416000F" w:tentative="1">
      <w:start w:val="1"/>
      <w:numFmt w:val="decimal"/>
      <w:lvlText w:val="%7."/>
      <w:lvlJc w:val="left"/>
      <w:pPr>
        <w:ind w:left="5093" w:hanging="360"/>
      </w:pPr>
    </w:lvl>
    <w:lvl w:ilvl="7" w:tplc="04160019" w:tentative="1">
      <w:start w:val="1"/>
      <w:numFmt w:val="lowerLetter"/>
      <w:lvlText w:val="%8."/>
      <w:lvlJc w:val="left"/>
      <w:pPr>
        <w:ind w:left="5813" w:hanging="360"/>
      </w:pPr>
    </w:lvl>
    <w:lvl w:ilvl="8" w:tplc="0416001B" w:tentative="1">
      <w:start w:val="1"/>
      <w:numFmt w:val="lowerRoman"/>
      <w:lvlText w:val="%9."/>
      <w:lvlJc w:val="right"/>
      <w:pPr>
        <w:ind w:left="6533" w:hanging="180"/>
      </w:pPr>
    </w:lvl>
  </w:abstractNum>
  <w:abstractNum w:abstractNumId="17" w15:restartNumberingAfterBreak="0">
    <w:nsid w:val="69FB1FC9"/>
    <w:multiLevelType w:val="hybridMultilevel"/>
    <w:tmpl w:val="96B671C2"/>
    <w:lvl w:ilvl="0" w:tplc="514AF200">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8" w15:restartNumberingAfterBreak="0">
    <w:nsid w:val="7CEA7977"/>
    <w:multiLevelType w:val="hybridMultilevel"/>
    <w:tmpl w:val="BE92963A"/>
    <w:lvl w:ilvl="0" w:tplc="784C939E">
      <w:start w:val="15"/>
      <w:numFmt w:val="bullet"/>
      <w:lvlText w:val=""/>
      <w:lvlJc w:val="left"/>
      <w:pPr>
        <w:ind w:left="720" w:hanging="360"/>
      </w:pPr>
      <w:rPr>
        <w:rFonts w:ascii="Symbol" w:eastAsiaTheme="minorEastAsia"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0"/>
  </w:num>
  <w:num w:numId="4">
    <w:abstractNumId w:val="17"/>
  </w:num>
  <w:num w:numId="5">
    <w:abstractNumId w:val="9"/>
  </w:num>
  <w:num w:numId="6">
    <w:abstractNumId w:val="12"/>
  </w:num>
  <w:num w:numId="7">
    <w:abstractNumId w:val="5"/>
  </w:num>
  <w:num w:numId="8">
    <w:abstractNumId w:val="16"/>
  </w:num>
  <w:num w:numId="9">
    <w:abstractNumId w:val="2"/>
  </w:num>
  <w:num w:numId="10">
    <w:abstractNumId w:val="13"/>
  </w:num>
  <w:num w:numId="11">
    <w:abstractNumId w:val="1"/>
  </w:num>
  <w:num w:numId="12">
    <w:abstractNumId w:val="15"/>
  </w:num>
  <w:num w:numId="13">
    <w:abstractNumId w:val="18"/>
  </w:num>
  <w:num w:numId="14">
    <w:abstractNumId w:val="7"/>
  </w:num>
  <w:num w:numId="15">
    <w:abstractNumId w:val="8"/>
  </w:num>
  <w:num w:numId="16">
    <w:abstractNumId w:val="11"/>
  </w:num>
  <w:num w:numId="17">
    <w:abstractNumId w:val="6"/>
  </w:num>
  <w:num w:numId="18">
    <w:abstractNumId w:val="3"/>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35247"/>
    <w:rsid w:val="0002542D"/>
    <w:rsid w:val="00041D95"/>
    <w:rsid w:val="000457C7"/>
    <w:rsid w:val="00051920"/>
    <w:rsid w:val="0005441B"/>
    <w:rsid w:val="000C3D81"/>
    <w:rsid w:val="000F69DA"/>
    <w:rsid w:val="00102EE8"/>
    <w:rsid w:val="0010349C"/>
    <w:rsid w:val="00131998"/>
    <w:rsid w:val="0014588C"/>
    <w:rsid w:val="00173BB7"/>
    <w:rsid w:val="001D7893"/>
    <w:rsid w:val="001E4BC4"/>
    <w:rsid w:val="001E5E5C"/>
    <w:rsid w:val="001E6504"/>
    <w:rsid w:val="001F4F54"/>
    <w:rsid w:val="0020676C"/>
    <w:rsid w:val="00211991"/>
    <w:rsid w:val="00212D16"/>
    <w:rsid w:val="002244EC"/>
    <w:rsid w:val="002429F8"/>
    <w:rsid w:val="00254A6C"/>
    <w:rsid w:val="00264276"/>
    <w:rsid w:val="0027334E"/>
    <w:rsid w:val="002914F5"/>
    <w:rsid w:val="002E064D"/>
    <w:rsid w:val="0031331D"/>
    <w:rsid w:val="00325C69"/>
    <w:rsid w:val="00364C69"/>
    <w:rsid w:val="00375454"/>
    <w:rsid w:val="003B286A"/>
    <w:rsid w:val="00446086"/>
    <w:rsid w:val="005136B3"/>
    <w:rsid w:val="005568CA"/>
    <w:rsid w:val="005B7DA8"/>
    <w:rsid w:val="005D4007"/>
    <w:rsid w:val="005F2177"/>
    <w:rsid w:val="005F4533"/>
    <w:rsid w:val="005F5690"/>
    <w:rsid w:val="00616108"/>
    <w:rsid w:val="006608B4"/>
    <w:rsid w:val="00681C41"/>
    <w:rsid w:val="00682167"/>
    <w:rsid w:val="00686760"/>
    <w:rsid w:val="006A0E26"/>
    <w:rsid w:val="006A6AA9"/>
    <w:rsid w:val="007255D5"/>
    <w:rsid w:val="00734F79"/>
    <w:rsid w:val="00735247"/>
    <w:rsid w:val="00791E38"/>
    <w:rsid w:val="007A4056"/>
    <w:rsid w:val="007B0576"/>
    <w:rsid w:val="007D4A5F"/>
    <w:rsid w:val="00820569"/>
    <w:rsid w:val="008400B0"/>
    <w:rsid w:val="00857467"/>
    <w:rsid w:val="00896CC2"/>
    <w:rsid w:val="008A5D70"/>
    <w:rsid w:val="008C4256"/>
    <w:rsid w:val="00907E87"/>
    <w:rsid w:val="00913237"/>
    <w:rsid w:val="00923ADA"/>
    <w:rsid w:val="00953B1E"/>
    <w:rsid w:val="00970230"/>
    <w:rsid w:val="0098395D"/>
    <w:rsid w:val="009962D4"/>
    <w:rsid w:val="00996C21"/>
    <w:rsid w:val="009A7FE7"/>
    <w:rsid w:val="009E30CE"/>
    <w:rsid w:val="009E3AD0"/>
    <w:rsid w:val="009E7458"/>
    <w:rsid w:val="00A34665"/>
    <w:rsid w:val="00A352B1"/>
    <w:rsid w:val="00A556DD"/>
    <w:rsid w:val="00A8686E"/>
    <w:rsid w:val="00AD76F9"/>
    <w:rsid w:val="00B11782"/>
    <w:rsid w:val="00B1455E"/>
    <w:rsid w:val="00B45532"/>
    <w:rsid w:val="00B474D8"/>
    <w:rsid w:val="00B66FB8"/>
    <w:rsid w:val="00B707A3"/>
    <w:rsid w:val="00B840EC"/>
    <w:rsid w:val="00BE6F25"/>
    <w:rsid w:val="00C1196E"/>
    <w:rsid w:val="00C164E5"/>
    <w:rsid w:val="00C3623B"/>
    <w:rsid w:val="00C65354"/>
    <w:rsid w:val="00C6566B"/>
    <w:rsid w:val="00C86323"/>
    <w:rsid w:val="00C92902"/>
    <w:rsid w:val="00CA1EC3"/>
    <w:rsid w:val="00CB6174"/>
    <w:rsid w:val="00CC26A2"/>
    <w:rsid w:val="00CC3346"/>
    <w:rsid w:val="00CC40A1"/>
    <w:rsid w:val="00D06AAA"/>
    <w:rsid w:val="00D13039"/>
    <w:rsid w:val="00D54DEF"/>
    <w:rsid w:val="00E43616"/>
    <w:rsid w:val="00EC07BC"/>
    <w:rsid w:val="00ED7C7C"/>
    <w:rsid w:val="00EE750E"/>
    <w:rsid w:val="00EF2DDF"/>
    <w:rsid w:val="00F15E1F"/>
    <w:rsid w:val="00F167EA"/>
    <w:rsid w:val="00F84958"/>
    <w:rsid w:val="00FC6EC6"/>
    <w:rsid w:val="00FE6777"/>
    <w:rsid w:val="00FF26E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09D6C"/>
  <w15:docId w15:val="{EF01DEB9-5A54-483F-AD81-7072D708A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EE8"/>
    <w:pPr>
      <w:jc w:val="both"/>
    </w:pPr>
    <w:rPr>
      <w:sz w:val="24"/>
      <w:szCs w:val="24"/>
    </w:rPr>
  </w:style>
  <w:style w:type="paragraph" w:styleId="Ttulo1">
    <w:name w:val="heading 1"/>
    <w:basedOn w:val="Normal"/>
    <w:next w:val="Normal"/>
    <w:link w:val="Ttulo1Char"/>
    <w:uiPriority w:val="9"/>
    <w:qFormat/>
    <w:rsid w:val="00896C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5D400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E6F25"/>
    <w:pPr>
      <w:ind w:left="720"/>
      <w:contextualSpacing/>
    </w:pPr>
  </w:style>
  <w:style w:type="character" w:styleId="TextodoEspaoReservado">
    <w:name w:val="Placeholder Text"/>
    <w:basedOn w:val="Fontepargpadro"/>
    <w:uiPriority w:val="99"/>
    <w:semiHidden/>
    <w:rsid w:val="00616108"/>
    <w:rPr>
      <w:color w:val="808080"/>
    </w:rPr>
  </w:style>
  <w:style w:type="paragraph" w:styleId="Textodebalo">
    <w:name w:val="Balloon Text"/>
    <w:basedOn w:val="Normal"/>
    <w:link w:val="TextodebaloChar"/>
    <w:uiPriority w:val="99"/>
    <w:semiHidden/>
    <w:unhideWhenUsed/>
    <w:rsid w:val="0061610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16108"/>
    <w:rPr>
      <w:rFonts w:ascii="Tahoma" w:hAnsi="Tahoma" w:cs="Tahoma"/>
      <w:sz w:val="16"/>
      <w:szCs w:val="16"/>
    </w:rPr>
  </w:style>
  <w:style w:type="table" w:styleId="Tabelacomgrade">
    <w:name w:val="Table Grid"/>
    <w:basedOn w:val="Tabelanormal"/>
    <w:uiPriority w:val="59"/>
    <w:rsid w:val="00CB61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link w:val="TtuloChar"/>
    <w:qFormat/>
    <w:rsid w:val="00254A6C"/>
    <w:pPr>
      <w:spacing w:after="0" w:line="240" w:lineRule="auto"/>
      <w:jc w:val="center"/>
    </w:pPr>
    <w:rPr>
      <w:rFonts w:ascii="Times New Roman" w:eastAsia="Times New Roman" w:hAnsi="Times New Roman" w:cs="Times New Roman"/>
      <w:b/>
      <w:bCs/>
      <w:lang w:eastAsia="pt-BR"/>
    </w:rPr>
  </w:style>
  <w:style w:type="character" w:customStyle="1" w:styleId="TtuloChar">
    <w:name w:val="Título Char"/>
    <w:basedOn w:val="Fontepargpadro"/>
    <w:link w:val="Ttulo"/>
    <w:rsid w:val="00254A6C"/>
    <w:rPr>
      <w:rFonts w:ascii="Times New Roman" w:eastAsia="Times New Roman" w:hAnsi="Times New Roman" w:cs="Times New Roman"/>
      <w:b/>
      <w:bCs/>
      <w:sz w:val="24"/>
      <w:szCs w:val="24"/>
      <w:lang w:eastAsia="pt-BR"/>
    </w:rPr>
  </w:style>
  <w:style w:type="paragraph" w:styleId="Textodenotaderodap">
    <w:name w:val="footnote text"/>
    <w:basedOn w:val="Normal"/>
    <w:link w:val="TextodenotaderodapChar"/>
    <w:uiPriority w:val="99"/>
    <w:semiHidden/>
    <w:rsid w:val="00254A6C"/>
    <w:pPr>
      <w:spacing w:after="0" w:line="240" w:lineRule="auto"/>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uiPriority w:val="99"/>
    <w:semiHidden/>
    <w:rsid w:val="00254A6C"/>
    <w:rPr>
      <w:rFonts w:ascii="Times New Roman" w:eastAsia="Times New Roman" w:hAnsi="Times New Roman" w:cs="Times New Roman"/>
      <w:sz w:val="20"/>
      <w:szCs w:val="20"/>
      <w:lang w:eastAsia="pt-BR"/>
    </w:rPr>
  </w:style>
  <w:style w:type="character" w:styleId="Refdenotaderodap">
    <w:name w:val="footnote reference"/>
    <w:basedOn w:val="Fontepargpadro"/>
    <w:uiPriority w:val="99"/>
    <w:semiHidden/>
    <w:rsid w:val="00254A6C"/>
    <w:rPr>
      <w:vertAlign w:val="superscript"/>
    </w:rPr>
  </w:style>
  <w:style w:type="paragraph" w:styleId="Legenda">
    <w:name w:val="caption"/>
    <w:basedOn w:val="Normal"/>
    <w:next w:val="Normal"/>
    <w:qFormat/>
    <w:rsid w:val="00254A6C"/>
    <w:pPr>
      <w:spacing w:before="120" w:after="120" w:line="240" w:lineRule="auto"/>
    </w:pPr>
    <w:rPr>
      <w:rFonts w:ascii="Times New Roman" w:eastAsia="Times New Roman" w:hAnsi="Times New Roman" w:cs="Times New Roman"/>
      <w:b/>
      <w:bCs/>
      <w:sz w:val="20"/>
      <w:szCs w:val="20"/>
      <w:lang w:eastAsia="pt-BR"/>
    </w:rPr>
  </w:style>
  <w:style w:type="character" w:customStyle="1" w:styleId="Ttulo1Char">
    <w:name w:val="Título 1 Char"/>
    <w:basedOn w:val="Fontepargpadro"/>
    <w:link w:val="Ttulo1"/>
    <w:uiPriority w:val="9"/>
    <w:rsid w:val="00896CC2"/>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semiHidden/>
    <w:rsid w:val="005D400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CAE06C-5C60-4D4A-A2DD-0D66536E1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2243</TotalTime>
  <Pages>14</Pages>
  <Words>3726</Words>
  <Characters>20126</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IBGE</Company>
  <LinksUpToDate>false</LinksUpToDate>
  <CharactersWithSpaces>23805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Sigilo</dc:creator>
  <cp:lastModifiedBy>Patrick Franco</cp:lastModifiedBy>
  <cp:revision>22</cp:revision>
  <dcterms:created xsi:type="dcterms:W3CDTF">2018-02-19T20:12:00Z</dcterms:created>
  <dcterms:modified xsi:type="dcterms:W3CDTF">2021-01-14T00:39:00Z</dcterms:modified>
</cp:coreProperties>
</file>