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97E80" w14:textId="77777777" w:rsidR="008E0010" w:rsidRPr="00594F5E" w:rsidRDefault="00000000">
      <w:pPr>
        <w:pStyle w:val="Subttulo"/>
        <w:jc w:val="center"/>
        <w:rPr>
          <w:lang w:val="pt-BR"/>
        </w:rPr>
      </w:pPr>
      <w:r w:rsidRPr="00594F5E">
        <w:rPr>
          <w:lang w:val="pt-BR"/>
        </w:rPr>
        <w:t>CENTRO UNIVERSITÁRIO CATÓLICA DE SANTA CATARINA</w:t>
      </w:r>
    </w:p>
    <w:p w14:paraId="6256EF61" w14:textId="77777777" w:rsidR="008E0010" w:rsidRPr="00594F5E" w:rsidRDefault="00000000">
      <w:pPr>
        <w:pStyle w:val="Subttulo"/>
        <w:jc w:val="center"/>
        <w:rPr>
          <w:lang w:val="pt-BR"/>
        </w:rPr>
      </w:pPr>
      <w:r w:rsidRPr="00594F5E">
        <w:rPr>
          <w:lang w:val="pt-BR"/>
        </w:rPr>
        <w:t>Engenharia de Software  •  Segurança da Informação</w:t>
      </w:r>
    </w:p>
    <w:p w14:paraId="3C2A583F" w14:textId="77777777" w:rsidR="008E0010" w:rsidRPr="00594F5E" w:rsidRDefault="00000000">
      <w:pPr>
        <w:pStyle w:val="Ttulo"/>
        <w:jc w:val="center"/>
        <w:rPr>
          <w:lang w:val="pt-BR"/>
        </w:rPr>
      </w:pPr>
      <w:r w:rsidRPr="00594F5E">
        <w:rPr>
          <w:lang w:val="pt-BR"/>
        </w:rPr>
        <w:t>RELATÓRIO DE ENTREGA</w:t>
      </w:r>
      <w:r w:rsidRPr="00594F5E">
        <w:rPr>
          <w:lang w:val="pt-BR"/>
        </w:rPr>
        <w:br/>
        <w:t>MÓDULO DE ASSINATURA DIGITAL</w:t>
      </w:r>
    </w:p>
    <w:p w14:paraId="3F8833F7" w14:textId="77777777" w:rsidR="008E0010" w:rsidRPr="00594F5E" w:rsidRDefault="00000000">
      <w:pPr>
        <w:jc w:val="center"/>
        <w:rPr>
          <w:lang w:val="pt-BR"/>
        </w:rPr>
      </w:pPr>
      <w:r w:rsidRPr="00594F5E">
        <w:rPr>
          <w:lang w:val="pt-BR"/>
        </w:rPr>
        <w:t>Trabalho N2 — Relatórios de despesas com assinatura digital e verificação criptográfica</w:t>
      </w:r>
    </w:p>
    <w:p w14:paraId="673E64B8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Professor: Claudinei Dias (Ney)</w:t>
      </w:r>
    </w:p>
    <w:p w14:paraId="5FAAC673" w14:textId="63966209" w:rsidR="008E0010" w:rsidRPr="00594F5E" w:rsidRDefault="00000000">
      <w:pPr>
        <w:rPr>
          <w:lang w:val="pt-BR"/>
        </w:rPr>
      </w:pPr>
      <w:r w:rsidRPr="00594F5E">
        <w:rPr>
          <w:lang w:val="pt-BR"/>
        </w:rPr>
        <w:t>Integrantes: Patrick Gusmão, Lucas Moreira, Bruno Costa e Enzo Oliveira.</w:t>
      </w:r>
    </w:p>
    <w:p w14:paraId="358C214A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Joinville – SC | Outubro de 2026</w:t>
      </w:r>
    </w:p>
    <w:p w14:paraId="5BE5E2DB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Repositório: https://github.com/patrickgusmao10/assinatura-digital</w:t>
      </w:r>
    </w:p>
    <w:p w14:paraId="1D3CD6A2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Demonstração: https://patrickgusmao10.github.io/assinatura-digital/</w:t>
      </w:r>
    </w:p>
    <w:p w14:paraId="4202CDFB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br w:type="page"/>
      </w:r>
    </w:p>
    <w:p w14:paraId="00A4FAD1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lastRenderedPageBreak/>
        <w:t>1. Apresentação e objetivo</w:t>
      </w:r>
    </w:p>
    <w:p w14:paraId="5436D53A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Este trabalho apresenta a implementação de um módulo de assinatura digital voltado ao processo de prestação de contas de despesas corporativas. A solução foi pensada para um cenário cotidiano: o colaborador registra uma despesa e anexa os comprovantes; o gerente analisa o lançamento, aprova ou rejeita a solicitação e, nos casos aprovados, realiza a assinatura digital. Depois disso, o próprio sistema oferece uma verificação independente das informações assinadas, da integridade dos anexos e do vínculo da chave ao signatário.</w:t>
      </w:r>
    </w:p>
    <w:p w14:paraId="569EFFD7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objetivo do enunciado é desenvolver um sistema que preserve autenticidade, integridade e não repúdio, apoiado por práticas de segurança da informação, criptografia, banco de dados e implantação web. O projeto concretiza esses conceitos em um fluxo funcional, com interfaces distintas, persistência, notificações e controles de acesso. A análise aqui apresentada parte do enunciado N2, dos arquivos de código enviados, do README e das 14 evidências visuais anexadas.</w:t>
      </w:r>
    </w:p>
    <w:p w14:paraId="2CC9C462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2. Requisitos da atividade e correspondência com a implementação</w:t>
      </w:r>
    </w:p>
    <w:p w14:paraId="537F9EF2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enunciado solicita ambiente com Docker e políticas de segurança, banco MongoDB ou Firebase preferencialmente em nuvem, frontend React/Next.js com Material-UI e Tailwind, backend Node.js/Express com autenticação JWT, uso de bibliotecas criptográficas, contramedidas para ameaças web e publicação HTTPS. Exige, ainda, nove páginas funcionais e o envio de notificações por e-mail.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8E0010" w14:paraId="757BB447" w14:textId="77777777" w:rsidTr="008E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62017E5B" w14:textId="77777777" w:rsidR="008E0010" w:rsidRDefault="00000000">
            <w:r>
              <w:t>Eixo do enunciado</w:t>
            </w:r>
          </w:p>
        </w:tc>
        <w:tc>
          <w:tcPr>
            <w:tcW w:w="4824" w:type="dxa"/>
            <w:vAlign w:val="center"/>
          </w:tcPr>
          <w:p w14:paraId="6E595E18" w14:textId="77777777" w:rsidR="008E00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Implementação localizada no projeto</w:t>
            </w:r>
          </w:p>
        </w:tc>
      </w:tr>
      <w:tr w:rsidR="008E0010" w14:paraId="5539232D" w14:textId="77777777" w:rsidTr="008E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25C007D9" w14:textId="77777777" w:rsidR="008E0010" w:rsidRDefault="00000000">
            <w:r>
              <w:t>Ambiente em contêineres</w:t>
            </w:r>
          </w:p>
        </w:tc>
        <w:tc>
          <w:tcPr>
            <w:tcW w:w="4824" w:type="dxa"/>
            <w:vAlign w:val="center"/>
          </w:tcPr>
          <w:p w14:paraId="52F9D3A4" w14:textId="77777777" w:rsidR="008E0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docker-compose.yml, Dockerfiles de backend e frontend, MongoDB e MailHog.</w:t>
            </w:r>
          </w:p>
        </w:tc>
      </w:tr>
      <w:tr w:rsidR="008E0010" w:rsidRPr="00594F5E" w14:paraId="7A28F1A2" w14:textId="77777777" w:rsidTr="008E00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C076512" w14:textId="77777777" w:rsidR="008E0010" w:rsidRDefault="00000000">
            <w:r>
              <w:t>Persistência</w:t>
            </w:r>
          </w:p>
        </w:tc>
        <w:tc>
          <w:tcPr>
            <w:tcW w:w="4824" w:type="dxa"/>
            <w:vAlign w:val="center"/>
          </w:tcPr>
          <w:p w14:paraId="12BD1059" w14:textId="77777777" w:rsidR="008E0010" w:rsidRPr="005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MongoDB/Mongoose; modelos User, Expense e AuditLog; evidências do Atlas.</w:t>
            </w:r>
          </w:p>
        </w:tc>
      </w:tr>
      <w:tr w:rsidR="008E0010" w:rsidRPr="00594F5E" w14:paraId="758BD51F" w14:textId="77777777" w:rsidTr="008E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FCAC2C0" w14:textId="77777777" w:rsidR="008E0010" w:rsidRDefault="00000000">
            <w:r>
              <w:t>Interface</w:t>
            </w:r>
          </w:p>
        </w:tc>
        <w:tc>
          <w:tcPr>
            <w:tcW w:w="4824" w:type="dxa"/>
            <w:vAlign w:val="center"/>
          </w:tcPr>
          <w:p w14:paraId="709DECA1" w14:textId="77777777" w:rsidR="008E0010" w:rsidRPr="005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Next.js 14, React, Material-UI e Tailwind; nove telas funcionais.</w:t>
            </w:r>
          </w:p>
        </w:tc>
      </w:tr>
      <w:tr w:rsidR="008E0010" w:rsidRPr="00594F5E" w14:paraId="27A9E23B" w14:textId="77777777" w:rsidTr="008E00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107BF130" w14:textId="77777777" w:rsidR="008E0010" w:rsidRDefault="00000000">
            <w:r>
              <w:t>Backend/autenticação</w:t>
            </w:r>
          </w:p>
        </w:tc>
        <w:tc>
          <w:tcPr>
            <w:tcW w:w="4824" w:type="dxa"/>
            <w:vAlign w:val="center"/>
          </w:tcPr>
          <w:p w14:paraId="7DE079B4" w14:textId="77777777" w:rsidR="008E0010" w:rsidRPr="005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Express, JWT, cookies httpOnly, controle de papéis, validação Zod.</w:t>
            </w:r>
          </w:p>
        </w:tc>
      </w:tr>
      <w:tr w:rsidR="008E0010" w14:paraId="628AC6E4" w14:textId="77777777" w:rsidTr="008E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3B58C461" w14:textId="77777777" w:rsidR="008E0010" w:rsidRDefault="00000000">
            <w:r>
              <w:t>Criptografia</w:t>
            </w:r>
          </w:p>
        </w:tc>
        <w:tc>
          <w:tcPr>
            <w:tcW w:w="4824" w:type="dxa"/>
            <w:vAlign w:val="center"/>
          </w:tcPr>
          <w:p w14:paraId="57729A00" w14:textId="77777777" w:rsidR="008E0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 Cryptography API (crypto.subtle), RSA-PSS 3072, SHA-256, AES-256-GCM e scrypt.</w:t>
            </w:r>
          </w:p>
        </w:tc>
      </w:tr>
      <w:tr w:rsidR="008E0010" w:rsidRPr="00594F5E" w14:paraId="6EAB816A" w14:textId="77777777" w:rsidTr="008E00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0FD1151" w14:textId="77777777" w:rsidR="008E0010" w:rsidRDefault="00000000">
            <w:r>
              <w:t>Segurança web</w:t>
            </w:r>
          </w:p>
        </w:tc>
        <w:tc>
          <w:tcPr>
            <w:tcW w:w="4824" w:type="dxa"/>
            <w:vAlign w:val="center"/>
          </w:tcPr>
          <w:p w14:paraId="078E06E7" w14:textId="77777777" w:rsidR="008E0010" w:rsidRPr="005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Helmet, CSP, controles CSRF, sanitização NoSQL, limitação de login e validação de uploads.</w:t>
            </w:r>
          </w:p>
        </w:tc>
      </w:tr>
      <w:tr w:rsidR="008E0010" w14:paraId="2F95E412" w14:textId="77777777" w:rsidTr="008E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490BF5F" w14:textId="77777777" w:rsidR="008E0010" w:rsidRDefault="00000000">
            <w:r>
              <w:t>Publicação</w:t>
            </w:r>
          </w:p>
        </w:tc>
        <w:tc>
          <w:tcPr>
            <w:tcW w:w="4824" w:type="dxa"/>
            <w:vAlign w:val="center"/>
          </w:tcPr>
          <w:p w14:paraId="000A8B7D" w14:textId="77777777" w:rsidR="008E001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GitHub Pages (frontend HTTPS), Render (API) e MongoDB Atlas.</w:t>
            </w:r>
          </w:p>
        </w:tc>
      </w:tr>
      <w:tr w:rsidR="008E0010" w:rsidRPr="00594F5E" w14:paraId="6E0B56EE" w14:textId="77777777" w:rsidTr="008E00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245B6015" w14:textId="77777777" w:rsidR="008E0010" w:rsidRDefault="00000000">
            <w:r>
              <w:t>Notificações</w:t>
            </w:r>
          </w:p>
        </w:tc>
        <w:tc>
          <w:tcPr>
            <w:tcW w:w="4824" w:type="dxa"/>
            <w:vAlign w:val="center"/>
          </w:tcPr>
          <w:p w14:paraId="6081C910" w14:textId="77777777" w:rsidR="008E0010" w:rsidRPr="005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Nodemailer e ambiente de ensaio MailHog.</w:t>
            </w:r>
          </w:p>
        </w:tc>
      </w:tr>
    </w:tbl>
    <w:p w14:paraId="4412ECC9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3. Arquitetura e organização do sistema</w:t>
      </w:r>
    </w:p>
    <w:p w14:paraId="2512AC78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aplicação foi dividida em frontend, backend e camada de dados. O frontend usa Next.js com exportação estática, o que permite sua distribuição pelo GitHub Pages. A API Node.js/Express concentra as regras de negócio, a autenticação, o processamento de recibos, a assinatura e a verificação criptográfica. O MongoDB mantém usuários, despesas e registros de auditoria; os arquivos anexados são armazenados no diretório de uploads configurado para a API, e cada anexo tem seu resumo criptográfico registrado na despesa.</w:t>
      </w:r>
    </w:p>
    <w:p w14:paraId="586F3C14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lastRenderedPageBreak/>
        <w:t>No ambiente local, o Docker Compose define os serviços mongo, backend, frontend e mailhog. O backend compartilha uma rede interna com o MongoDB; o frontend é servido pelo nginx; o MailHog permite acompanhar os e-mails sem enviá-los a destinatários externos durante os testes. Em produção, o frontend aparece publicado pelo GitHub Pages, a API pela Render e o banco está demonstrado no MongoDB Atlas. A arquitetura de produção, portanto, é diferente do arranjo completo de contêineres local.</w:t>
      </w:r>
    </w:p>
    <w:p w14:paraId="3E60A5DB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4. Processo de negócio: da despesa à conferência</w:t>
      </w:r>
    </w:p>
    <w:p w14:paraId="1CC78D31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fluxo inicia com o cadastro de uma despesa por um funcionário autenticado. Ele informa título, descrição, categoria e valor, anexando pelo menos um comprovante compatível com PDF, PNG ou JPG. O sistema grava a solicitação no estado pending, associa o responsável pelo envio e notifica os envolvidos. O gerente consulta os documentos pendentes e pode rejeitar a despesa ou aprová-la. Somente após a aprovação o documento passa ao estado validated, ficando apto à assinatura.</w:t>
      </w:r>
    </w:p>
    <w:p w14:paraId="2E8040FB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Na etapa de assinatura, o gerente confirma novamente sua senha, condição necessária para obter a chave privada protegida. O backend constrói uma representação canônica dos dados relevantes, incluindo informações da despesa, referência ao solicitante, dados da validação, signatário, data e hashes dos recibos. A assinatura produz um resultado criptográfico armazenado com os metadados, e a despesa muda para signed. O gerente pode então executar a verificação, que apresenta o resultado global e o resultado individual das quatro verificações.</w:t>
      </w:r>
    </w:p>
    <w:tbl>
      <w:tblPr>
        <w:tblStyle w:val="SombreamentoClaro-nfase1"/>
        <w:tblW w:w="0" w:type="auto"/>
        <w:jc w:val="center"/>
        <w:tblLook w:val="04A0" w:firstRow="1" w:lastRow="0" w:firstColumn="1" w:lastColumn="0" w:noHBand="0" w:noVBand="1"/>
      </w:tblPr>
      <w:tblGrid>
        <w:gridCol w:w="4824"/>
        <w:gridCol w:w="4824"/>
      </w:tblGrid>
      <w:tr w:rsidR="008E0010" w14:paraId="7D6D4010" w14:textId="77777777" w:rsidTr="008E00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949AF29" w14:textId="77777777" w:rsidR="008E0010" w:rsidRDefault="00000000">
            <w:r>
              <w:t>Estado</w:t>
            </w:r>
          </w:p>
        </w:tc>
        <w:tc>
          <w:tcPr>
            <w:tcW w:w="4824" w:type="dxa"/>
            <w:vAlign w:val="center"/>
          </w:tcPr>
          <w:p w14:paraId="6AD1606E" w14:textId="77777777" w:rsidR="008E001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Interpretação</w:t>
            </w:r>
          </w:p>
        </w:tc>
      </w:tr>
      <w:tr w:rsidR="008E0010" w:rsidRPr="00594F5E" w14:paraId="53283C41" w14:textId="77777777" w:rsidTr="008E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633F996D" w14:textId="77777777" w:rsidR="008E0010" w:rsidRDefault="00000000">
            <w:r>
              <w:t>pending</w:t>
            </w:r>
          </w:p>
        </w:tc>
        <w:tc>
          <w:tcPr>
            <w:tcW w:w="4824" w:type="dxa"/>
            <w:vAlign w:val="center"/>
          </w:tcPr>
          <w:p w14:paraId="19EDCEEE" w14:textId="77777777" w:rsidR="008E0010" w:rsidRPr="005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Recebido; aguardando análise do gerente.</w:t>
            </w:r>
          </w:p>
        </w:tc>
      </w:tr>
      <w:tr w:rsidR="008E0010" w14:paraId="5B7085CB" w14:textId="77777777" w:rsidTr="008E00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499C6181" w14:textId="77777777" w:rsidR="008E0010" w:rsidRDefault="00000000">
            <w:r>
              <w:t>validated</w:t>
            </w:r>
          </w:p>
        </w:tc>
        <w:tc>
          <w:tcPr>
            <w:tcW w:w="4824" w:type="dxa"/>
            <w:vAlign w:val="center"/>
          </w:tcPr>
          <w:p w14:paraId="0F556E2E" w14:textId="77777777" w:rsidR="008E001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Aprovado; apto à assinatura.</w:t>
            </w:r>
          </w:p>
        </w:tc>
      </w:tr>
      <w:tr w:rsidR="008E0010" w:rsidRPr="00594F5E" w14:paraId="0EA26BD5" w14:textId="77777777" w:rsidTr="008E00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6C9A799" w14:textId="77777777" w:rsidR="008E0010" w:rsidRDefault="00000000">
            <w:r>
              <w:t>rejected</w:t>
            </w:r>
          </w:p>
        </w:tc>
        <w:tc>
          <w:tcPr>
            <w:tcW w:w="4824" w:type="dxa"/>
            <w:vAlign w:val="center"/>
          </w:tcPr>
          <w:p w14:paraId="012F4CD0" w14:textId="77777777" w:rsidR="008E0010" w:rsidRPr="00594F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Rejeitado na validação; não segue para assinatura.</w:t>
            </w:r>
          </w:p>
        </w:tc>
      </w:tr>
      <w:tr w:rsidR="008E0010" w:rsidRPr="00594F5E" w14:paraId="54ED15C8" w14:textId="77777777" w:rsidTr="008E001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4" w:type="dxa"/>
            <w:vAlign w:val="center"/>
          </w:tcPr>
          <w:p w14:paraId="080F7A90" w14:textId="77777777" w:rsidR="008E0010" w:rsidRDefault="00000000">
            <w:r>
              <w:t>signed</w:t>
            </w:r>
          </w:p>
        </w:tc>
        <w:tc>
          <w:tcPr>
            <w:tcW w:w="4824" w:type="dxa"/>
            <w:vAlign w:val="center"/>
          </w:tcPr>
          <w:p w14:paraId="54DD9D6C" w14:textId="77777777" w:rsidR="008E0010" w:rsidRPr="00594F5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pt-BR"/>
              </w:rPr>
            </w:pPr>
            <w:r w:rsidRPr="00594F5E">
              <w:rPr>
                <w:lang w:val="pt-BR"/>
              </w:rPr>
              <w:t>Assinado e disponível para conferência.</w:t>
            </w:r>
          </w:p>
        </w:tc>
      </w:tr>
    </w:tbl>
    <w:p w14:paraId="26697E36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5. Funcionalidades e telas entregues</w:t>
      </w:r>
    </w:p>
    <w:p w14:paraId="381BAE51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login.js —</w:t>
      </w:r>
      <w:r w:rsidRPr="00594F5E">
        <w:rPr>
          <w:lang w:val="pt-BR"/>
        </w:rPr>
        <w:t xml:space="preserve"> Entrada de usuários mediante e-mail e senha; apresentação de erros de autenticação.</w:t>
      </w:r>
    </w:p>
    <w:p w14:paraId="18FB24F5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dashboard.js —</w:t>
      </w:r>
      <w:r w:rsidRPr="00594F5E">
        <w:rPr>
          <w:lang w:val="pt-BR"/>
        </w:rPr>
        <w:t xml:space="preserve"> Visão geral, atalhos, totais por situação e documentos recentes.</w:t>
      </w:r>
    </w:p>
    <w:p w14:paraId="75C58213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employees.js —</w:t>
      </w:r>
      <w:r w:rsidRPr="00594F5E">
        <w:rPr>
          <w:lang w:val="pt-BR"/>
        </w:rPr>
        <w:t xml:space="preserve"> Cadastro, consulta, alteração e exclusão/desativação de funcionários pelo gerente.</w:t>
      </w:r>
    </w:p>
    <w:p w14:paraId="351C0026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submitExpense.js —</w:t>
      </w:r>
      <w:r w:rsidRPr="00594F5E">
        <w:rPr>
          <w:lang w:val="pt-BR"/>
        </w:rPr>
        <w:t xml:space="preserve"> Cadastro de despesas com anexos e validações de preenchimento.</w:t>
      </w:r>
    </w:p>
    <w:p w14:paraId="0E3E855A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pendingExpenses.js —</w:t>
      </w:r>
      <w:r w:rsidRPr="00594F5E">
        <w:rPr>
          <w:lang w:val="pt-BR"/>
        </w:rPr>
        <w:t xml:space="preserve"> Fila de validação e de assinatura.</w:t>
      </w:r>
    </w:p>
    <w:p w14:paraId="0F8E957B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validateExpense.js —</w:t>
      </w:r>
      <w:r w:rsidRPr="00594F5E">
        <w:rPr>
          <w:lang w:val="pt-BR"/>
        </w:rPr>
        <w:t xml:space="preserve"> Consulta da despesa e aprovação ou rejeição com observação.</w:t>
      </w:r>
    </w:p>
    <w:p w14:paraId="6C09439B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signExpense.js —</w:t>
      </w:r>
      <w:r w:rsidRPr="00594F5E">
        <w:rPr>
          <w:lang w:val="pt-BR"/>
        </w:rPr>
        <w:t xml:space="preserve"> Confirmação por senha e assinatura digital do documento validado.</w:t>
      </w:r>
    </w:p>
    <w:p w14:paraId="3A738CCB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signedExpenses.js —</w:t>
      </w:r>
      <w:r w:rsidRPr="00594F5E">
        <w:rPr>
          <w:lang w:val="pt-BR"/>
        </w:rPr>
        <w:t xml:space="preserve"> Relação de documentos assinados disponíveis para conferência.</w:t>
      </w:r>
    </w:p>
    <w:p w14:paraId="7DED0868" w14:textId="77777777" w:rsidR="008E0010" w:rsidRPr="00594F5E" w:rsidRDefault="00000000">
      <w:pPr>
        <w:rPr>
          <w:lang w:val="pt-BR"/>
        </w:rPr>
      </w:pPr>
      <w:r w:rsidRPr="00594F5E">
        <w:rPr>
          <w:b/>
          <w:lang w:val="pt-BR"/>
        </w:rPr>
        <w:t>verifySignature.js —</w:t>
      </w:r>
      <w:r w:rsidRPr="00594F5E">
        <w:rPr>
          <w:lang w:val="pt-BR"/>
        </w:rPr>
        <w:t xml:space="preserve"> Resultado de autenticidade, integridade dos dados, integridade dos recibos e vínculo do signatário.</w:t>
      </w:r>
    </w:p>
    <w:p w14:paraId="0968749F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lastRenderedPageBreak/>
        <w:t>6. Mecanismo criptográfico: funcionamento e garantias</w:t>
      </w:r>
    </w:p>
    <w:p w14:paraId="074EAE8A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Na criação de cada usuário, a implementação gera um par de chaves assimétricas RSA-PSS de 3072 bits com SHA-256 por meio de crypto.subtle. A chave pública e sua impressão digital são persistidas, enquanto a chave privada exportada é cifrada com AES-256-GCM. A chave utilizada nessa cifragem é derivada da senha do usuário por scrypt, com sal aleatório. Dessa maneira, o banco não precisa armazenar a chave privada em texto aberto.</w:t>
      </w:r>
    </w:p>
    <w:p w14:paraId="708A8F24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Ao assinar, o gerente fornece a senha, que é conferida com o hash bcrypt. A chave privada é decifrada temporariamente em memória e utilizada para assinar os bytes do conteúdo canônico. A canonicalização ordena as chaves dos objetos e evita que diferenças irrelevantes na ordem de propriedades produzam representações diferentes. Os recibos participam indiretamente do conteúdo assinado por meio de seus hashes SHA-256, de nome e tamanho. A assinatura é gravada em Base64, acompanhada da chave pública, fingerprint, algoritmo e data.</w:t>
      </w:r>
    </w:p>
    <w:p w14:paraId="0EA23BF6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Na conferência, o código realiza quatro testes. Primeiro, verifica a assinatura RSA-PSS sobre o conteúdo originalmente assinado; segundo, recompõe o payload a partir do documento atual e confere se permanece idêntico; terceiro, lê cada arquivo armazenado e recalcula seu SHA-256; quarto, compara a chave pública e a impressão digital com as do usuário registrado como signatário. O resultado global só é válido quando todos são verdadeiros.</w:t>
      </w:r>
    </w:p>
    <w:p w14:paraId="00E304CB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É importante distinguir a prova técnica de vínculo entre conta e chave das consequências jurídicas do não repúdio. O sistema fornece evidências criptográficas e de associação ao usuário, mas não demonstra, por si só, certificação ICP-Brasil, carimbo de tempo de uma autoridade confiável ou validade jurídica universal. Da mesma forma, a verificação de RSA-PSS pode continuar positiva quando um campo atual da despesa muda: isso apenas mostra que os bytes originalmente assinados continuam autenticáveis; o teste de integridade dos dados correntes falha corretamente.</w:t>
      </w:r>
    </w:p>
    <w:p w14:paraId="203B8A9B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7. Controles de segurança implementados</w:t>
      </w:r>
    </w:p>
    <w:p w14:paraId="27413241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segurança é tratada em várias camadas. As senhas são protegidas por bcrypt com custo 12; o JWT tem duração de duas horas e é enviado em cookie httpOnly. Nas operações que alteram dados, a API exige um token CSRF em cabeçalho. Para evitar acessos indevidos, as rotas usam autenticação e, nas ações administrativas, autorização de gerente. Há ainda a regra que impede um gerente de validar ou assinar uma despesa enviada por ele mesmo, preservando a segregação de funções.</w:t>
      </w:r>
    </w:p>
    <w:p w14:paraId="0B31B3B5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API utiliza Helmet com diretivas de segurança HTTP, CORS configurável e sanitização de operadores NoSQL. Os dados de entrada são verificados com Zod; o upload restringe tipos, quantidade e tamanho de arquivos e compara os primeiros bytes do conteúdo aos formatos declarados. O login aplica limite de dez tentativas em quinze minutos. No Docker, as políticas incluem remoção de privilégios adicionais, capabilities reduzidas, limites de recursos e, para o backend, sistema de arquivos somente leitura com diretório temporário e volume específico para uploads.</w:t>
      </w:r>
    </w:p>
    <w:p w14:paraId="0CC7D88C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API mantém registros de auditoria em AuditLog, incluindo criação e alteração de usuários, processamento de despesas, tentativas de autenticação, assinatura e verificação. Trata-se de rastreabilidade operacional valiosa, embora o modelo de auditoria apresentado não inclua uma cadeia de integridade à prova de alterações dos próprios logs.</w:t>
      </w:r>
    </w:p>
    <w:p w14:paraId="69CB2E03" w14:textId="77777777" w:rsidR="008E0010" w:rsidRDefault="00000000">
      <w:pPr>
        <w:pStyle w:val="Ttulo1"/>
      </w:pPr>
      <w:r>
        <w:lastRenderedPageBreak/>
        <w:t>8. Evidências funcionais — operação e assinatura</w:t>
      </w:r>
    </w:p>
    <w:p w14:paraId="32B125A9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7ED51E35" wp14:editId="50F4DC8D">
            <wp:extent cx="6080760" cy="32320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- tela inici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2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8A3A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01 — Tela inicial de autenticação. Fonte: evidência fornecida pelo grupo (2026).</w:t>
      </w:r>
    </w:p>
    <w:p w14:paraId="5009B800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entrada apresenta os campos de e-mail e senha e constitui o ponto de acesso controlado ao módulo. A credencial não é usada diretamente como assinatura: a aplicação primeiro autentica o usuário e mantém a sessão protegida.</w:t>
      </w:r>
    </w:p>
    <w:p w14:paraId="1FE4A52E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5CBDEC75" wp14:editId="7D25192B">
            <wp:extent cx="6080760" cy="26046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- painel ger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604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8CA3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02 — Painel geral da aplicação. Fonte: evidência fornecida pelo grupo (2026).</w:t>
      </w:r>
    </w:p>
    <w:p w14:paraId="4D9D0229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dashboard reúne cadastro de despesas, funcionários, pendências e documentos assinados. A evidência mostra uma despesa registrada e marcada como assinada, permitindo ao gerente acompanhar o ciclo sem navegar por rotas técnicas.</w:t>
      </w:r>
    </w:p>
    <w:p w14:paraId="1B68BA89" w14:textId="77777777" w:rsidR="008E0010" w:rsidRDefault="00000000">
      <w:pPr>
        <w:spacing w:before="180"/>
        <w:jc w:val="center"/>
      </w:pPr>
      <w:r>
        <w:rPr>
          <w:noProof/>
        </w:rPr>
        <w:lastRenderedPageBreak/>
        <w:drawing>
          <wp:inline distT="0" distB="0" distL="0" distR="0" wp14:anchorId="13439091" wp14:editId="220DCD97">
            <wp:extent cx="6080760" cy="29785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- assinatura valid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7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D2DE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03 — Verificação de uma assinatura válida. Fonte: evidência fornecida pelo grupo (2026).</w:t>
      </w:r>
    </w:p>
    <w:p w14:paraId="024E51DD" w14:textId="77777777" w:rsidR="008E0010" w:rsidRDefault="00000000">
      <w:r w:rsidRPr="00594F5E">
        <w:rPr>
          <w:lang w:val="pt-BR"/>
        </w:rPr>
        <w:t xml:space="preserve">A tela demonstra resultado positivo para autenticidade RSA-PSS, integridade dos dados, hashes SHA-256 dos recibos e vínculo da chave com o signatário. </w:t>
      </w:r>
      <w:r>
        <w:t>Os identificadores criptográficos e metadados ficam visíveis para conferência.</w:t>
      </w:r>
    </w:p>
    <w:p w14:paraId="11A73C24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0694D534" wp14:editId="16C3D9F9">
            <wp:extent cx="6080760" cy="134597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- mailh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34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F50A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04 — Notificações capturadas pelo MailHog. Fonte: evidência fornecida pelo grupo (2026).</w:t>
      </w:r>
    </w:p>
    <w:p w14:paraId="3A5767CF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caixa de testes registra quatro mensagens ligadas às etapas da despesa: recebimento, pendência, validação e assinatura. A evidência comprova a integração do fluxo de negócio com o disparo simulado de notificações.</w:t>
      </w:r>
    </w:p>
    <w:p w14:paraId="46364E9C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728DF421" wp14:editId="4ADB8B8D">
            <wp:extent cx="6080760" cy="15558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- detalhes validaçã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155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28B6B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05 — Conteúdo de e-mail de assinatura. Fonte: evidência fornecida pelo grupo (2026).</w:t>
      </w:r>
    </w:p>
    <w:p w14:paraId="415B4C0E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detalhe de uma notificação confirma que o colaborador foi informado da assinatura, incluindo o título da despesa, a identificação do responsável e o instante da operação.</w:t>
      </w:r>
    </w:p>
    <w:p w14:paraId="66819A2A" w14:textId="77777777" w:rsidR="008E0010" w:rsidRDefault="00000000">
      <w:pPr>
        <w:pStyle w:val="Ttulo1"/>
      </w:pPr>
      <w:r>
        <w:lastRenderedPageBreak/>
        <w:t>9. Evidências funcionais — teste de integridade</w:t>
      </w:r>
    </w:p>
    <w:p w14:paraId="15041860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638579E9" wp14:editId="12A2C9BF">
            <wp:extent cx="6080760" cy="29500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- inconsistência na assinatur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5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C98E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06 — Alteração intencional detectada pelo verificador. Fonte: evidência fornecida pelo grupo (2026).</w:t>
      </w:r>
    </w:p>
    <w:p w14:paraId="666C2CA4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valor de uma despesa previamente assinada foi modificado diretamente na coleção do MongoDB, de R$ 85,50 para R$ 9.999,00. O sistema não aceitou os dados alterados como íntegros: a verificação global passou a inválida, embora a autenticidade da assinatura original permanecesse positiva.</w:t>
      </w:r>
    </w:p>
    <w:p w14:paraId="5EF98A89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0A225FA9" wp14:editId="63BC7D81">
            <wp:extent cx="6080760" cy="299760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- inconsistência desfeita via banco CM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9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48662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07 — Restauração do valor e nova verificação. Fonte: evidência fornecida pelo grupo (2026).</w:t>
      </w:r>
    </w:p>
    <w:p w14:paraId="2DE4248F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Após o retorno do valor a R$ 85,50 por meio do terminal, o verificador voltou a indicar documento válido. O teste evidencia que a integridade é calculada com base no estado atual comparado aos dados assinados e não em um indicador estático de sucesso.</w:t>
      </w:r>
    </w:p>
    <w:p w14:paraId="245B5C51" w14:textId="77777777" w:rsidR="008E0010" w:rsidRDefault="00000000">
      <w:pPr>
        <w:pStyle w:val="Ttulo1"/>
      </w:pPr>
      <w:r>
        <w:lastRenderedPageBreak/>
        <w:t>10. Evidências de infraestrutura e publicação</w:t>
      </w:r>
    </w:p>
    <w:p w14:paraId="5FF14526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5127B706" wp14:editId="7BA53000">
            <wp:extent cx="6080760" cy="32225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- atls db onlin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A5B6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08 — Cluster MongoDB Atlas em execução. Fonte: evidência fornecida pelo grupo (2026).</w:t>
      </w:r>
    </w:p>
    <w:p w14:paraId="224007F8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painel do Atlas mostra o cluster configurado e disponível na nuvem. Essa escolha atende à orientação de utilizar banco gerenciado, reduzindo a necessidade de operação direta da infraestrutura física de persistência.</w:t>
      </w:r>
    </w:p>
    <w:p w14:paraId="0D7E6833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0B2F7381" wp14:editId="366EC6F3">
            <wp:extent cx="6080760" cy="32352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- banco on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1B5C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09 — Collections da base assinatura. Fonte: evidência fornecida pelo grupo (2026).</w:t>
      </w:r>
    </w:p>
    <w:p w14:paraId="78D6600D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explorador exibe as coleções auditlogs, expenses e users. A captura registra a estrutura do banco em nuvem, mas mostra, naquele instante, zero documentos em expenses e auditlogs; por isso, não deve ser interpretada como comprovação de persistência da despesa demonstrada nas telas locais.</w:t>
      </w:r>
    </w:p>
    <w:p w14:paraId="532FC570" w14:textId="77777777" w:rsidR="008E0010" w:rsidRDefault="00000000">
      <w:pPr>
        <w:spacing w:before="180"/>
        <w:jc w:val="center"/>
      </w:pPr>
      <w:r>
        <w:rPr>
          <w:noProof/>
        </w:rPr>
        <w:lastRenderedPageBreak/>
        <w:drawing>
          <wp:inline distT="0" distB="0" distL="0" distR="0" wp14:anchorId="52D31CC3" wp14:editId="08033F6F">
            <wp:extent cx="6080760" cy="32606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 ip access li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6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371F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10 — Configuração de acesso de rede no Atlas. Fonte: evidência fornecida pelo grupo (2026).</w:t>
      </w:r>
    </w:p>
    <w:p w14:paraId="6B6D8D81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evidência apresenta o cadastro de uma regra 0.0.0.0/0 para possibilitar conexões de uma API em nuvem. Embora facilite o teste e a implantação em um serviço com saída dinâmica, essa faixa permite conexões de qualquer IPv4 e deve ser restringida sempre que possível.</w:t>
      </w:r>
    </w:p>
    <w:p w14:paraId="64DA879F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7FA52996" wp14:editId="7E395C65">
            <wp:extent cx="6080760" cy="3200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 api liv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BF0C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11 — Implantação da API pela Render. Fonte: evidência fornecida pelo grupo (2026).</w:t>
      </w:r>
    </w:p>
    <w:p w14:paraId="285AF27F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painel apresenta deploy bem-sucedido e inicialização do serviço Node.js na porta 4000, além do endereço público. A instância gratuita pode reduzir sua disponibilidade temporariamente por inatividade, sem que isso signifique falha permanente da implantação.</w:t>
      </w:r>
    </w:p>
    <w:p w14:paraId="4415C263" w14:textId="77777777" w:rsidR="008E0010" w:rsidRDefault="00000000">
      <w:pPr>
        <w:spacing w:before="180"/>
        <w:jc w:val="center"/>
      </w:pPr>
      <w:r>
        <w:rPr>
          <w:noProof/>
        </w:rPr>
        <w:lastRenderedPageBreak/>
        <w:drawing>
          <wp:inline distT="0" distB="0" distL="0" distR="0" wp14:anchorId="799A8719" wp14:editId="383DC664">
            <wp:extent cx="6080760" cy="28550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 conexão segur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8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F180D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12 — Frontend disponível via GitHub Pages com HTTPS. Fonte: evidência fornecida pelo grupo (2026).</w:t>
      </w:r>
    </w:p>
    <w:p w14:paraId="50DA5428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página de login está acessível pelo domínio github.io e o navegador indica conexão segura e certificado válido. Essa evidência documenta o uso de TLS no acesso web; não substitui testes de segurança da API e de suas integrações.</w:t>
      </w:r>
    </w:p>
    <w:p w14:paraId="62DB6D87" w14:textId="77777777" w:rsidR="008E0010" w:rsidRDefault="00000000">
      <w:pPr>
        <w:spacing w:before="180"/>
        <w:jc w:val="center"/>
      </w:pPr>
      <w:r>
        <w:rPr>
          <w:noProof/>
        </w:rPr>
        <w:drawing>
          <wp:inline distT="0" distB="0" distL="0" distR="0" wp14:anchorId="34F0AAFE" wp14:editId="0FDCA2C0">
            <wp:extent cx="6080760" cy="293892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 muitas tentativas senh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93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BC92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13 — Bloqueio temporário após repetidas tentativas de login. Fonte: evidência fornecida pelo grupo (2026).</w:t>
      </w:r>
    </w:p>
    <w:p w14:paraId="521FEF6D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aplicação exibe a mensagem de espera de quinze minutos após excesso de tentativas. A evidência corresponde à regra de limitação de tentativas configurada no backend para reduzir ataques de força bruta.</w:t>
      </w:r>
    </w:p>
    <w:p w14:paraId="2E30FFE4" w14:textId="77777777" w:rsidR="008E0010" w:rsidRDefault="00000000">
      <w:pPr>
        <w:spacing w:before="180"/>
        <w:jc w:val="center"/>
      </w:pPr>
      <w:r>
        <w:rPr>
          <w:noProof/>
        </w:rPr>
        <w:lastRenderedPageBreak/>
        <w:drawing>
          <wp:inline distT="0" distB="0" distL="0" distR="0" wp14:anchorId="1E5C5660" wp14:editId="576A644F">
            <wp:extent cx="6080760" cy="32606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 painel do dock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26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98C2" w14:textId="77777777" w:rsidR="008E0010" w:rsidRPr="00594F5E" w:rsidRDefault="00000000">
      <w:pPr>
        <w:pStyle w:val="Legenda"/>
        <w:jc w:val="center"/>
        <w:rPr>
          <w:lang w:val="pt-BR"/>
        </w:rPr>
      </w:pPr>
      <w:r w:rsidRPr="00594F5E">
        <w:rPr>
          <w:lang w:val="pt-BR"/>
        </w:rPr>
        <w:t>Figura 14 — Serviços em execução no Docker Desktop. Fonte: evidência fornecida pelo grupo (2026).</w:t>
      </w:r>
    </w:p>
    <w:p w14:paraId="25521688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tela do Docker Desktop registra o agrupamento de contêineres da aplicação local. Combinada ao arquivo docker-compose.yml, comprova a preparação de um ambiente reproduzível para desenvolvimento e testes.</w:t>
      </w:r>
    </w:p>
    <w:p w14:paraId="593720E4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11. Avaliação de atendimento e limites da demonstração</w:t>
      </w:r>
    </w:p>
    <w:p w14:paraId="32F5C197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combinação entre código-fonte e evidências permite sustentar que os componentes exigidos pelo enunciado foram desenvolvidos: páginas nomeadas, controle de funcionários e despesas, autenticação, assinatura, verificação, notificações e mecanismos básicos de proteção de infraestrutura. O teste de adulteração é especialmente relevante porque confirma comportamento negativo esperado, não apenas o cenário feliz de uma assinatura válida.</w:t>
      </w:r>
    </w:p>
    <w:p w14:paraId="191093E0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Algumas observações merecem transparência. As telas de assinatura demonstradas utilizam execução local, enquanto as capturas de Atlas e Render apresentam a infraestrutura hospedada; elas não demonstram, isoladamente, o ciclo completo de uma despesa persistida e assinada em produção. A configuração de acesso de rede 0.0.0.0/0 requer revisão antes de uso real. E o emprego de chaves próprias do sistema não deve ser confundido automaticamente com assinatura digital certificada pela ICP-Brasil.</w:t>
      </w:r>
    </w:p>
    <w:p w14:paraId="2C05BFEF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t>12. Conclusão</w:t>
      </w:r>
    </w:p>
    <w:p w14:paraId="73A0F934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O projeto vai além de uma interface que apenas indica “documento assinado”. Ele relaciona a ação de assinatura a uma chave assimétrica protegida por senha, fixa criptograficamente os dados e os comprovantes e disponibiliza uma conferência que consegue revelar mudanças posteriores. A separação entre submissão, validação, assinatura e verificação torna o processo compreensível, auditável e alinhado a um cenário empresarial concreto.</w:t>
      </w:r>
    </w:p>
    <w:p w14:paraId="018547BD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 entrega demonstra a aplicação articulada de conceitos de Segurança da Informação, engenharia de software, web e operação em nuvem. O sistema oferece uma base consistente para evolução futura, como endurecimento das regras de rede, testes automatizados, armazenamento de recibos durável em nuvem, gerenciamento de chaves mais robusto e eventual integração a serviços de certificação digital apropriados.</w:t>
      </w:r>
    </w:p>
    <w:p w14:paraId="711DDD46" w14:textId="77777777" w:rsidR="008E0010" w:rsidRPr="00594F5E" w:rsidRDefault="00000000">
      <w:pPr>
        <w:pStyle w:val="Ttulo1"/>
        <w:rPr>
          <w:lang w:val="pt-BR"/>
        </w:rPr>
      </w:pPr>
      <w:r w:rsidRPr="00594F5E">
        <w:rPr>
          <w:lang w:val="pt-BR"/>
        </w:rPr>
        <w:lastRenderedPageBreak/>
        <w:t>Referências e materiais analisados</w:t>
      </w:r>
    </w:p>
    <w:p w14:paraId="21BEA870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DIAS, Claudinei. N2 – Trabalho: Assinatura Digital. Enunciado da disciplina de Segurança da Informação, 2026 (arquivo fornecido).</w:t>
      </w:r>
    </w:p>
    <w:p w14:paraId="2A50A62F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GUSMÃO, Patrick et al. Assinatura Digital – Relatórios de Despesa. Código-fonte e README, 2026. https://github.com/patrickgusmao10/assinatura-digital (acesso em 26 out. 2026).</w:t>
      </w:r>
    </w:p>
    <w:p w14:paraId="73041637" w14:textId="77777777" w:rsidR="008E0010" w:rsidRPr="00594F5E" w:rsidRDefault="00000000">
      <w:pPr>
        <w:rPr>
          <w:lang w:val="pt-BR"/>
        </w:rPr>
      </w:pPr>
      <w:r w:rsidRPr="00594F5E">
        <w:rPr>
          <w:lang w:val="pt-BR"/>
        </w:rPr>
        <w:t>Arquivos fornecidos: assinatura-digital.zip e evidências visuais 1 a 14, 2026.</w:t>
      </w:r>
    </w:p>
    <w:sectPr w:rsidR="008E0010" w:rsidRPr="00594F5E" w:rsidSect="00034616">
      <w:headerReference w:type="default" r:id="rId22"/>
      <w:footerReference w:type="default" r:id="rId23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0A6EC" w14:textId="77777777" w:rsidR="00CA3375" w:rsidRDefault="00CA3375">
      <w:pPr>
        <w:spacing w:after="0" w:line="240" w:lineRule="auto"/>
      </w:pPr>
      <w:r>
        <w:separator/>
      </w:r>
    </w:p>
  </w:endnote>
  <w:endnote w:type="continuationSeparator" w:id="0">
    <w:p w14:paraId="3862186E" w14:textId="77777777" w:rsidR="00CA3375" w:rsidRDefault="00CA3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5ADE" w14:textId="77777777" w:rsidR="008E0010" w:rsidRPr="00594F5E" w:rsidRDefault="00000000">
    <w:pPr>
      <w:pStyle w:val="Rodap"/>
      <w:jc w:val="center"/>
      <w:rPr>
        <w:lang w:val="pt-BR"/>
      </w:rPr>
    </w:pPr>
    <w:r w:rsidRPr="00594F5E">
      <w:rPr>
        <w:lang w:val="pt-BR"/>
      </w:rPr>
      <w:t>Relatório de entrega  •  Módulo de Assinatura Digital  •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766A5" w14:textId="77777777" w:rsidR="00CA3375" w:rsidRDefault="00CA3375">
      <w:pPr>
        <w:spacing w:after="0" w:line="240" w:lineRule="auto"/>
      </w:pPr>
      <w:r>
        <w:separator/>
      </w:r>
    </w:p>
  </w:footnote>
  <w:footnote w:type="continuationSeparator" w:id="0">
    <w:p w14:paraId="65EFAFFE" w14:textId="77777777" w:rsidR="00CA3375" w:rsidRDefault="00CA3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B376E" w14:textId="77777777" w:rsidR="008E0010" w:rsidRDefault="00000000">
    <w:pPr>
      <w:pStyle w:val="Legenda"/>
      <w:jc w:val="right"/>
    </w:pPr>
    <w:r>
      <w:t>SEGURANÇA DA INFORMAÇÃO  /  ENTREGA N2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683343">
    <w:abstractNumId w:val="8"/>
  </w:num>
  <w:num w:numId="2" w16cid:durableId="1517185519">
    <w:abstractNumId w:val="6"/>
  </w:num>
  <w:num w:numId="3" w16cid:durableId="450364553">
    <w:abstractNumId w:val="5"/>
  </w:num>
  <w:num w:numId="4" w16cid:durableId="1585146657">
    <w:abstractNumId w:val="4"/>
  </w:num>
  <w:num w:numId="5" w16cid:durableId="1323657153">
    <w:abstractNumId w:val="7"/>
  </w:num>
  <w:num w:numId="6" w16cid:durableId="2003775772">
    <w:abstractNumId w:val="3"/>
  </w:num>
  <w:num w:numId="7" w16cid:durableId="585458115">
    <w:abstractNumId w:val="2"/>
  </w:num>
  <w:num w:numId="8" w16cid:durableId="512039374">
    <w:abstractNumId w:val="1"/>
  </w:num>
  <w:num w:numId="9" w16cid:durableId="160218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C43"/>
    <w:rsid w:val="0029639D"/>
    <w:rsid w:val="00326F90"/>
    <w:rsid w:val="00594F5E"/>
    <w:rsid w:val="008E0010"/>
    <w:rsid w:val="00AA1D8D"/>
    <w:rsid w:val="00B47730"/>
    <w:rsid w:val="00CA33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06E95"/>
  <w14:defaultImageDpi w14:val="300"/>
  <w15:docId w15:val="{0FCE7CF6-B024-4C0E-8887-7A03BED4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color w:val="26303F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84B80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84B80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184B80"/>
      <w:sz w:val="2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before="280" w:after="120" w:line="240" w:lineRule="auto"/>
      <w:contextualSpacing/>
    </w:pPr>
    <w:rPr>
      <w:rFonts w:asciiTheme="majorHAnsi" w:eastAsiaTheme="majorEastAsia" w:hAnsiTheme="majorHAnsi" w:cstheme="majorBidi"/>
      <w:b/>
      <w:color w:val="184B80"/>
      <w:spacing w:val="5"/>
      <w:kern w:val="28"/>
      <w:sz w:val="5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2560</Words>
  <Characters>13828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Gusmão</cp:lastModifiedBy>
  <cp:revision>2</cp:revision>
  <dcterms:created xsi:type="dcterms:W3CDTF">2013-12-23T23:15:00Z</dcterms:created>
  <dcterms:modified xsi:type="dcterms:W3CDTF">2026-10-26T18:12:00Z</dcterms:modified>
  <cp:category/>
</cp:coreProperties>
</file>