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Monitoring Coverage Runbook: Study CP-101 (fictional)</w:t>
      </w:r>
    </w:p>
    <w:p>
      <w:pPr>
        <w:spacing w:after="120" w:line="270"/>
      </w:pPr>
      <w:r>
        <w:rPr>
          <w:b/>
          <w:bCs/>
        </w:rPr>
        <w:t xml:space="preserve">Purpose.</w:t>
      </w:r>
      <w:r>
        <w:t xml:space="preserve"> Keep trial monitoring running and self-escalating while the job's owner (here, the lead biostatistician) is away, whether for planned leave, an unplanned absence or a handoff. This one page tells the covering colleague (the </w:t>
      </w:r>
      <w:r>
        <w:rPr>
          <w:i/>
          <w:iCs/>
        </w:rPr>
        <w:t xml:space="preserve">support</w:t>
      </w:r>
      <w:r>
        <w:t xml:space="preserve">) and the study lead exactly what arrives, what it means, and who does what. It is handed over before the absence and committed to version control.</w:t>
      </w:r>
    </w:p>
    <w:p>
      <w:pPr>
        <w:pBdr>
          <w:left w:val="single" w:color="1E2761" w:sz="18" w:space="10"/>
        </w:pBdr>
        <w:shd w:fill="EEF2FA" w:val="clear"/>
        <w:spacing w:after="100" w:before="100"/>
        <w:ind w:left="300"/>
      </w:pPr>
      <w:r>
        <w:rPr>
          <w:b/>
          <w:bCs/>
          <w:i/>
          <w:iCs/>
          <w:color w:val="555F77"/>
        </w:rPr>
        <w:t xml:space="preserve">The one honest rule.</w:t>
      </w:r>
      <w:r>
        <w:rPr>
          <w:i/>
          <w:iCs/>
          <w:color w:val="555F77"/>
        </w:rPr>
        <w:t xml:space="preserve"> Every email below reports that a </w:t>
      </w:r>
      <w:r>
        <w:rPr>
          <w:b/>
          <w:bCs/>
          <w:i/>
          <w:iCs/>
          <w:color w:val="555F77"/>
        </w:rPr>
        <w:t xml:space="preserve">number crossed a pre-specified line</w:t>
      </w:r>
      <w:r>
        <w:rPr>
          <w:i/>
          <w:iCs/>
          <w:color w:val="555F77"/>
        </w:rPr>
        <w:t xml:space="preserve">. That is a </w:t>
      </w:r>
      <w:r>
        <w:rPr>
          <w:i/>
          <w:iCs/>
          <w:color w:val="555F77"/>
        </w:rPr>
        <w:t xml:space="preserve">prompt to look</w:t>
      </w:r>
      <w:r>
        <w:rPr>
          <w:i/>
          <w:iCs/>
          <w:color w:val="555F77"/>
        </w:rPr>
        <w:t xml:space="preserve">, </w:t>
      </w:r>
      <w:r>
        <w:rPr>
          <w:b/>
          <w:bCs/>
          <w:i/>
          <w:iCs/>
          <w:color w:val="555F77"/>
        </w:rPr>
        <w:t xml:space="preserve">not</w:t>
      </w:r>
      <w:r>
        <w:rPr>
          <w:i/>
          <w:iCs/>
          <w:color w:val="555F77"/>
        </w:rPr>
        <w:t xml:space="preserve"> a clinical interpretation. The covering biostatistician, the medical monitor, and the DSMB/SRC make every judgment. The system only </w:t>
      </w:r>
      <w:r>
        <w:rPr>
          <w:b/>
          <w:bCs/>
          <w:i/>
          <w:iCs/>
          <w:color w:val="555F77"/>
        </w:rPr>
        <w:t xml:space="preserve">detects, pages, and packages</w:t>
      </w:r>
      <w:r>
        <w:rPr>
          <w:i/>
          <w:iCs/>
          <w:color w:val="555F77"/>
        </w:rPr>
        <w:t xml:space="preserve">.</w:t>
      </w:r>
    </w:p>
    <w:p>
      <w:pPr>
        <w:pStyle w:val="Heading2"/>
      </w:pPr>
      <w:r>
        <w:t xml:space="preserve">What runs, and when (all under service account </w:t>
      </w:r>
      <w:r>
        <w:rPr>
          <w:rFonts w:ascii="Consolas" w:cs="Consolas" w:eastAsia="Consolas" w:hAnsi="Consolas"/>
        </w:rPr>
        <w:t xml:space="preserve">svc_trialmon</w:t>
      </w:r>
      <w:r>
        <w:t xml:space="preserve">, not a personal login)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Job</w:t>
            </w:r>
          </w:p>
        </w:tc>
        <w:tc>
          <w:tcPr>
            <w:tcW w:type="dxa" w:w="312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  <w:tc>
          <w:tcPr>
            <w:tcW w:type="dxa" w:w="312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312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sz w:val="17"/>
                <w:szCs w:val="17"/>
              </w:rPr>
              <w:t xml:space="preserve">Data refresh + </w:t>
            </w:r>
            <w:r>
              <w:rPr>
                <w:b/>
                <w:bCs/>
                <w:sz w:val="17"/>
                <w:szCs w:val="17"/>
              </w:rPr>
              <w:t xml:space="preserve">freshness gate</w:t>
            </w:r>
            <w:r>
              <w:rPr>
                <w:sz w:val="17"/>
                <w:szCs w:val="17"/>
              </w:rPr>
              <w:t xml:space="preserve"> + integrity</w:t>
            </w:r>
          </w:p>
        </w:tc>
        <w:tc>
          <w:tcPr>
            <w:tcW w:type="dxa" w:w="312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sz w:val="17"/>
                <w:szCs w:val="17"/>
              </w:rPr>
              <w:t xml:space="preserve">02:00 daily</w:t>
            </w:r>
          </w:p>
        </w:tc>
        <w:tc>
          <w:tcPr>
            <w:tcW w:type="dxa" w:w="312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sz w:val="17"/>
                <w:szCs w:val="17"/>
              </w:rPr>
              <w:t xml:space="preserve">confirms every feed updated; raises a flag if a source went stale</w:t>
            </w:r>
          </w:p>
        </w:tc>
      </w:tr>
      <w:tr>
        <w:tc>
          <w:tcPr>
            <w:tcW w:type="dxa" w:w="312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3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sz w:val="17"/>
                <w:szCs w:val="17"/>
              </w:rPr>
              <w:t xml:space="preserve">Safety scan</w:t>
            </w:r>
          </w:p>
        </w:tc>
        <w:tc>
          <w:tcPr>
            <w:tcW w:type="dxa" w:w="312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3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sz w:val="17"/>
                <w:szCs w:val="17"/>
              </w:rPr>
              <w:t xml:space="preserve">06:00 daily</w:t>
            </w:r>
          </w:p>
        </w:tc>
        <w:tc>
          <w:tcPr>
            <w:tcW w:type="dxa" w:w="312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3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sz w:val="17"/>
                <w:szCs w:val="17"/>
              </w:rPr>
              <w:t xml:space="preserve">AE/SAE · Hy's-Law/eDISH · QTcF · labs · cohort DLT tally</w:t>
            </w:r>
          </w:p>
        </w:tc>
      </w:tr>
      <w:tr>
        <w:tc>
          <w:tcPr>
            <w:tcW w:type="dxa" w:w="312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b/>
                <w:bCs/>
                <w:sz w:val="17"/>
                <w:szCs w:val="17"/>
              </w:rPr>
              <w:t xml:space="preserve">Routine digest → support</w:t>
            </w:r>
          </w:p>
        </w:tc>
        <w:tc>
          <w:tcPr>
            <w:tcW w:type="dxa" w:w="312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sz w:val="17"/>
                <w:szCs w:val="17"/>
              </w:rPr>
              <w:t xml:space="preserve">07:00 daily</w:t>
            </w:r>
          </w:p>
        </w:tc>
        <w:tc>
          <w:tcPr>
            <w:tcW w:type="dxa" w:w="312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sz w:val="17"/>
                <w:szCs w:val="17"/>
              </w:rPr>
              <w:t xml:space="preserve">GREEN/AMBER summary + </w:t>
            </w:r>
            <w:r>
              <w:rPr>
                <w:b/>
                <w:bCs/>
                <w:sz w:val="17"/>
                <w:szCs w:val="17"/>
              </w:rPr>
              <w:t xml:space="preserve">heartbeat</w:t>
            </w:r>
          </w:p>
        </w:tc>
      </w:tr>
      <w:tr>
        <w:tc>
          <w:tcPr>
            <w:tcW w:type="dxa" w:w="312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3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sz w:val="17"/>
                <w:szCs w:val="17"/>
              </w:rPr>
              <w:t xml:space="preserve">Weekly status pack → support · one-pager → study lead</w:t>
            </w:r>
          </w:p>
        </w:tc>
        <w:tc>
          <w:tcPr>
            <w:tcW w:type="dxa" w:w="312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3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sz w:val="17"/>
                <w:szCs w:val="17"/>
              </w:rPr>
              <w:t xml:space="preserve">Fri 16:00</w:t>
            </w:r>
          </w:p>
        </w:tc>
        <w:tc>
          <w:tcPr>
            <w:tcW w:type="dxa" w:w="312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3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sz w:val="17"/>
                <w:szCs w:val="17"/>
              </w:rPr>
              <w:t xml:space="preserve">enrollment, escalation status, disposition</w:t>
            </w:r>
          </w:p>
        </w:tc>
      </w:tr>
      <w:tr>
        <w:tc>
          <w:tcPr>
            <w:tcW w:type="dxa" w:w="312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b/>
                <w:bCs/>
                <w:sz w:val="17"/>
                <w:szCs w:val="17"/>
              </w:rPr>
              <w:t xml:space="preserve">Threshold ALERT</w:t>
            </w:r>
          </w:p>
        </w:tc>
        <w:tc>
          <w:tcPr>
            <w:tcW w:type="dxa" w:w="312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sz w:val="17"/>
                <w:szCs w:val="17"/>
              </w:rPr>
              <w:t xml:space="preserve">on event</w:t>
            </w:r>
          </w:p>
        </w:tc>
        <w:tc>
          <w:tcPr>
            <w:tcW w:type="dxa" w:w="312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sz w:val="17"/>
                <w:szCs w:val="17"/>
              </w:rPr>
              <w:t xml:space="preserve">KRI/QTL/DLT/SAE → urgent email + escalation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What the colors mean, and who does what</w:t>
      </w:r>
    </w:p>
    <w:p>
      <w:pPr>
        <w:pStyle w:val="ListParagraph"/>
        <w:numPr>
          <w:ilvl w:val="0"/>
          <w:numId w:val="1"/>
        </w:numPr>
        <w:spacing w:after="40" w:line="250"/>
      </w:pPr>
      <w:r>
        <w:t xml:space="preserve">🟢 </w:t>
      </w:r>
      <w:r>
        <w:rPr>
          <w:b/>
          <w:bCs/>
        </w:rPr>
        <w:t xml:space="preserve">GREEN</w:t>
      </w:r>
      <w:r>
        <w:t xml:space="preserve">: all checks within limits. </w:t>
      </w:r>
      <w:r>
        <w:rPr>
          <w:b/>
          <w:bCs/>
        </w:rPr>
        <w:t xml:space="preserve">No action.</w:t>
      </w:r>
      <w:r>
        <w:t xml:space="preserve"> (The heartbeat still confirms the run happened on fresh data.)</w:t>
      </w:r>
    </w:p>
    <w:p>
      <w:pPr>
        <w:pStyle w:val="ListParagraph"/>
        <w:numPr>
          <w:ilvl w:val="0"/>
          <w:numId w:val="1"/>
        </w:numPr>
        <w:spacing w:after="40" w:line="250"/>
      </w:pPr>
      <w:r>
        <w:t xml:space="preserve">🟡 </w:t>
      </w:r>
      <w:r>
        <w:rPr>
          <w:b/>
          <w:bCs/>
        </w:rPr>
        <w:t xml:space="preserve">AMBER</w:t>
      </w:r>
      <w:r>
        <w:t xml:space="preserve">: an operational / quality KRI crossed (e.g. enrollment below plan, query backlog, a deviation trend). </w:t>
      </w:r>
      <w:r>
        <w:rPr>
          <w:b/>
          <w:bCs/>
        </w:rPr>
        <w:t xml:space="preserve">Support reviews and acts</w:t>
      </w:r>
      <w:r>
        <w:t xml:space="preserve"> (e.g. raise a site action with the PM). Stays in the routine channel; the study lead's Friday one-pager shows </w:t>
      </w:r>
      <w:r>
        <w:rPr>
          <w:i/>
          <w:iCs/>
        </w:rPr>
        <w:t xml:space="preserve">flagged → being handled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40" w:line="250"/>
      </w:pPr>
      <w:r>
        <w:t xml:space="preserve">🔴 </w:t>
      </w:r>
      <w:r>
        <w:rPr>
          <w:b/>
          <w:bCs/>
        </w:rPr>
        <w:t xml:space="preserve">RED</w:t>
      </w:r>
      <w:r>
        <w:t xml:space="preserve">: a safety threshold (DLT-defining grade, SAE, Hy's-Law lab pattern, QTcF crossing, stopping-rule count). </w:t>
      </w:r>
      <w:r>
        <w:rPr>
          <w:b/>
          <w:bCs/>
        </w:rPr>
        <w:t xml:space="preserve">Support acknowledges within 30 minutes, then CONTACTS THE MEDICAL MONITOR.</w:t>
      </w:r>
      <w:r>
        <w:t xml:space="preserve"> The evidence packet is attached; do not wait to assemble data.</w:t>
      </w:r>
    </w:p>
    <w:p>
      <w:pPr>
        <w:pStyle w:val="Heading2"/>
      </w:pPr>
      <w:r>
        <w:t xml:space="preserve">Escalation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Name / contact</w:t>
            </w:r>
          </w:p>
        </w:tc>
        <w:tc>
          <w:tcPr>
            <w:tcW w:type="dxa" w:w="312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</w:tr>
      <w:tr>
        <w:tc>
          <w:tcPr>
            <w:tcW w:type="dxa" w:w="312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sz w:val="17"/>
                <w:szCs w:val="17"/>
              </w:rPr>
              <w:t xml:space="preserve">Support (primary)</w:t>
            </w:r>
          </w:p>
        </w:tc>
        <w:tc>
          <w:tcPr>
            <w:tcW w:type="dxa" w:w="312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i/>
                <w:iCs/>
                <w:sz w:val="17"/>
                <w:szCs w:val="17"/>
              </w:rPr>
              <w:t xml:space="preserve">[covering biostatistician]</w:t>
            </w:r>
          </w:p>
        </w:tc>
        <w:tc>
          <w:tcPr>
            <w:tcW w:type="dxa" w:w="312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sz w:val="17"/>
                <w:szCs w:val="17"/>
              </w:rPr>
              <w:t xml:space="preserve">all emails; acts on AMBER; acknowledges RED ≤30 min</w:t>
            </w:r>
          </w:p>
        </w:tc>
      </w:tr>
      <w:tr>
        <w:tc>
          <w:tcPr>
            <w:tcW w:type="dxa" w:w="312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3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sz w:val="17"/>
                <w:szCs w:val="17"/>
              </w:rPr>
              <w:t xml:space="preserve">Support (backup)</w:t>
            </w:r>
          </w:p>
        </w:tc>
        <w:tc>
          <w:tcPr>
            <w:tcW w:type="dxa" w:w="312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3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i/>
                <w:iCs/>
                <w:sz w:val="17"/>
                <w:szCs w:val="17"/>
              </w:rPr>
              <w:t xml:space="preserve">[second biostatistician / PM]</w:t>
            </w:r>
          </w:p>
        </w:tc>
        <w:tc>
          <w:tcPr>
            <w:tcW w:type="dxa" w:w="312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3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sz w:val="17"/>
                <w:szCs w:val="17"/>
              </w:rPr>
              <w:t xml:space="preserve">if primary doesn't acknowledge a RED within the SLA</w:t>
            </w:r>
          </w:p>
        </w:tc>
      </w:tr>
      <w:tr>
        <w:tc>
          <w:tcPr>
            <w:tcW w:type="dxa" w:w="312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sz w:val="17"/>
                <w:szCs w:val="17"/>
              </w:rPr>
              <w:t xml:space="preserve">Role alias</w:t>
            </w:r>
          </w:p>
        </w:tc>
        <w:tc>
          <w:tcPr>
            <w:tcW w:type="dxa" w:w="312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biostat-cover@…</w:t>
            </w:r>
          </w:p>
        </w:tc>
        <w:tc>
          <w:tcPr>
            <w:tcW w:type="dxa" w:w="312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sz w:val="17"/>
                <w:szCs w:val="17"/>
              </w:rPr>
              <w:t xml:space="preserve">every RED also lands here, so it never depends on one inbox</w:t>
            </w:r>
          </w:p>
        </w:tc>
      </w:tr>
      <w:tr>
        <w:tc>
          <w:tcPr>
            <w:tcW w:type="dxa" w:w="312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3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sz w:val="17"/>
                <w:szCs w:val="17"/>
              </w:rPr>
              <w:t xml:space="preserve">Medical monitor</w:t>
            </w:r>
          </w:p>
        </w:tc>
        <w:tc>
          <w:tcPr>
            <w:tcW w:type="dxa" w:w="312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3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i/>
                <w:iCs/>
                <w:sz w:val="17"/>
                <w:szCs w:val="17"/>
              </w:rPr>
              <w:t xml:space="preserve">Dr. R. Okafor, +1-…</w:t>
            </w:r>
          </w:p>
        </w:tc>
        <w:tc>
          <w:tcPr>
            <w:tcW w:type="dxa" w:w="312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3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sz w:val="17"/>
                <w:szCs w:val="17"/>
              </w:rPr>
              <w:t xml:space="preserve">called by support on any RED (safety adjudication)</w:t>
            </w:r>
          </w:p>
        </w:tc>
      </w:tr>
      <w:tr>
        <w:tc>
          <w:tcPr>
            <w:tcW w:type="dxa" w:w="312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sz w:val="17"/>
                <w:szCs w:val="17"/>
              </w:rPr>
              <w:t xml:space="preserve">Project manager</w:t>
            </w:r>
          </w:p>
        </w:tc>
        <w:tc>
          <w:tcPr>
            <w:tcW w:type="dxa" w:w="312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i/>
                <w:iCs/>
                <w:sz w:val="17"/>
                <w:szCs w:val="17"/>
              </w:rPr>
              <w:t xml:space="preserve">[PM]</w:t>
            </w:r>
          </w:p>
        </w:tc>
        <w:tc>
          <w:tcPr>
            <w:tcW w:type="dxa" w:w="312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sz w:val="17"/>
                <w:szCs w:val="17"/>
              </w:rPr>
              <w:t xml:space="preserve">cc on AMBER/RED; owns operational actions</w:t>
            </w:r>
          </w:p>
        </w:tc>
      </w:tr>
      <w:tr>
        <w:tc>
          <w:tcPr>
            <w:tcW w:type="dxa" w:w="312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3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sz w:val="17"/>
                <w:szCs w:val="17"/>
              </w:rPr>
              <w:t xml:space="preserve">Lead (away)</w:t>
            </w:r>
          </w:p>
        </w:tc>
        <w:tc>
          <w:tcPr>
            <w:tcW w:type="dxa" w:w="312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3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i/>
                <w:iCs/>
                <w:sz w:val="17"/>
                <w:szCs w:val="17"/>
              </w:rPr>
              <w:t xml:space="preserve">[contact only for true emergencies]</w:t>
            </w:r>
          </w:p>
        </w:tc>
        <w:tc>
          <w:tcPr>
            <w:tcW w:type="dxa" w:w="312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3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sz w:val="17"/>
                <w:szCs w:val="17"/>
              </w:rPr>
              <w:t xml:space="preserve">reachable per the agreed emergency protocol only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If you receive </w:t>
      </w:r>
      <w:r>
        <w:rPr>
          <w:b/>
          <w:bCs/>
        </w:rPr>
        <w:t xml:space="preserve">no</w:t>
      </w:r>
      <w:r>
        <w:t xml:space="preserve"> email (the dead-man's switch)</w:t>
      </w:r>
    </w:p>
    <w:p>
      <w:pPr>
        <w:spacing w:after="120" w:line="270"/>
      </w:pPr>
      <w:r>
        <w:t xml:space="preserve">"No news" is </w:t>
      </w:r>
      <w:r>
        <w:rPr>
          <w:b/>
          <w:bCs/>
        </w:rPr>
        <w:t xml:space="preserve">never</w:t>
      </w:r>
      <w:r>
        <w:t xml:space="preserve"> "all clear." A successful run always sends </w:t>
      </w:r>
      <w:r>
        <w:rPr>
          <w:i/>
          <w:iCs/>
        </w:rPr>
        <w:t xml:space="preserve">something</w:t>
      </w:r>
      <w:r>
        <w:t xml:space="preserve">, at minimum a GREEN digest with a heartbeat. </w:t>
      </w:r>
      <w:r>
        <w:rPr>
          <w:b/>
          <w:bCs/>
        </w:rPr>
        <w:t xml:space="preserve">If the 07:00 digest does not arrive by 09:00</w:t>
      </w:r>
      <w:r>
        <w:t xml:space="preserve">, the independent watcher should already have paged; if it hasn't, treat the monitoring system as </w:t>
      </w:r>
      <w:r>
        <w:rPr>
          <w:b/>
          <w:bCs/>
        </w:rPr>
        <w:t xml:space="preserve">down</w:t>
      </w:r>
      <w:r>
        <w:t xml:space="preserve"> and notify IT/the backup immediately. A silent system is a RED condition.</w:t>
      </w:r>
    </w:p>
    <w:p>
      <w:pPr>
        <w:pStyle w:val="Heading2"/>
      </w:pPr>
      <w:r>
        <w:t xml:space="preserve">Reportable vs signal-only</w:t>
      </w:r>
    </w:p>
    <w:p>
      <w:pPr>
        <w:spacing w:after="120" w:line="270"/>
      </w:pPr>
      <w:r>
        <w:t xml:space="preserve">Everything in these emails is </w:t>
      </w:r>
      <w:r>
        <w:rPr>
          <w:b/>
          <w:bCs/>
        </w:rPr>
        <w:t xml:space="preserve">signal-only</w:t>
      </w:r>
      <w:r>
        <w:t xml:space="preserve"> (single-program, human-confirmed): it surfaces validated outputs early. Anything that will be </w:t>
      </w:r>
      <w:r>
        <w:rPr>
          <w:b/>
          <w:bCs/>
        </w:rPr>
        <w:t xml:space="preserve">formally reported</w:t>
      </w:r>
      <w:r>
        <w:t xml:space="preserve"> (an SRC/DSMB pack, a sponsor deliverable, a submission figure) is still </w:t>
      </w:r>
      <w:r>
        <w:rPr>
          <w:b/>
          <w:bCs/>
        </w:rPr>
        <w:t xml:space="preserve">independently double-programmed and QC'd</w:t>
      </w:r>
      <w:r>
        <w:t xml:space="preserve"> exactly as normal before it goes out. The monitor never relaxes that standard.</w:t>
      </w:r>
    </w:p>
    <w:p>
      <w:pPr>
        <w:spacing w:after="120" w:line="270"/>
      </w:pPr>
      <w:r>
        <w:rPr>
          <w:i/>
          <w:iCs/>
        </w:rPr>
        <w:t xml:space="preserve">Deterministic SAS/R, run inside the study's validated environment. Not executed here (no SAS license); the study team validates it as a study program. No AI, no new vendor, no PHI in email bodies. Companion to the SAS/R Trial-Monitoring Automation wiki.</w:t>
      </w:r>
    </w:p>
    <w:sectPr>
      <w:pgSz w:w="12240" w:h="15840" w:orient="portrait"/>
      <w:pgMar w:top="1180" w:right="1180" w:bottom="1180" w:left="11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340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Georgia" w:cs="Georgia" w:eastAsia="Georgia" w:hAnsi="Georgia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pBdr>
        <w:bottom w:val="single" w:color="C7CFE2" w:sz="4" w:space="4"/>
      </w:pBdr>
      <w:spacing w:after="120" w:before="240"/>
      <w:outlineLvl w:val="1"/>
    </w:pPr>
    <w:rPr>
      <w:rFonts w:ascii="Georgia" w:cs="Georgia" w:eastAsia="Georgia" w:hAnsi="Georgia"/>
      <w:b/>
      <w:bCs/>
      <w:color w:val="1E2761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31407A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Monitoring Coverage Runbook: Study CP-101 (fictional)</dc:title>
  <dc:creator>Patrick Iben</dc:creator>
  <cp:lastModifiedBy>Un-named</cp:lastModifiedBy>
  <cp:revision>1</cp:revision>
  <dcterms:created xsi:type="dcterms:W3CDTF">2026-10-25T03:26:47.503Z</dcterms:created>
  <dcterms:modified xsi:type="dcterms:W3CDTF">2026-10-25T03:26:47.508Z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