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Early-Phase Clinical Pharmacology — Biostatistics Deliverables Pipeline</w:t>
      </w:r>
    </w:p>
    <w:p>
      <w:pPr>
        <w:spacing w:after="120" w:line="270"/>
      </w:pPr>
      <w:r>
        <w:rPr>
          <w:b/>
          <w:bCs/>
        </w:rPr>
        <w:t xml:space="preserve">Protocol review → CSR draft · every document, dataset, and statistical output · with the hybrid-AI routing overlay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Scope &amp; how to read this.</w:t>
      </w:r>
      <w:r>
        <w:rPr>
          <w:i/>
          <w:iCs/>
          <w:color w:val="555F77"/>
        </w:rPr>
        <w:t xml:space="preserve"> This is the complete biometrics deliverables map for a Phase 1 clinical-pharmacology study (e.g., First-in-Human SAD/MAD with PK/PD, NCA + popPK, safety). 136 deliverables across five stages, each with its owner, inputs, outputs, governing standard, QC method, and how AI is (or is not) used. The at-a-glance tables are below; the </w:t>
      </w:r>
      <w:r>
        <w:rPr>
          <w:b/>
          <w:bCs/>
          <w:i/>
          <w:iCs/>
          <w:color w:val="555F77"/>
        </w:rPr>
        <w:t xml:space="preserve">full register with every field is the companion `.xlsx`</w:t>
      </w:r>
      <w:r>
        <w:rPr>
          <w:i/>
          <w:iCs/>
          <w:color w:val="555F77"/>
        </w:rPr>
        <w:t xml:space="preserve">, and the </w:t>
      </w:r>
      <w:r>
        <w:rPr>
          <w:b/>
          <w:bCs/>
          <w:i/>
          <w:iCs/>
          <w:color w:val="555F77"/>
        </w:rPr>
        <w:t xml:space="preserve">one-page visual is the `.pdf` map</w:t>
      </w:r>
      <w:r>
        <w:rPr>
          <w:i/>
          <w:iCs/>
          <w:color w:val="555F77"/>
        </w:rPr>
        <w:t xml:space="preserve">. Standards are current as of mid-2026 (CDISC SDTMIG v3.4 / ADaMIG v1.3 / Define-XML v2.1; ICH E3, E6(R3), E9/E9(R1), M11; 21 CFR Part 11; ISPE GAMP 5).</w:t>
      </w:r>
    </w:p>
    <w:p>
      <w:pPr>
        <w:pStyle w:val="Heading2"/>
      </w:pPr>
      <w:r>
        <w:t xml:space="preserve">How the pipeline flows</w:t>
      </w:r>
    </w:p>
    <w:p>
      <w:pPr>
        <w:spacing w:after="120" w:line="270"/>
      </w:pPr>
      <w:r>
        <w:t xml:space="preserve">Five sequential stages, each closed by a gate. A </w:t>
      </w:r>
      <w:r>
        <w:rPr>
          <w:b/>
          <w:bCs/>
        </w:rPr>
        <w:t xml:space="preserve">CDISC data-standards track</w:t>
      </w:r>
      <w:r>
        <w:t xml:space="preserve"> (SDTM → ADaM → Define-XML + reviewer guides) runs through Stages 3–5, and a </w:t>
      </w:r>
      <w:r>
        <w:rPr>
          <w:b/>
          <w:bCs/>
        </w:rPr>
        <w:t xml:space="preserve">hybrid-AI governance track</w:t>
      </w:r>
      <w:r>
        <w:t xml:space="preserve"> (data-classification routing, model-freeze records, engine-of-record register) runs across all five.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S1 — Study Design &amp; Protocol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Biostatistics shapes the design: estimands, endpoints, sample-size rationale, randomization, and the statistical sections of the protocol.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Protocol approved / finalized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S2 — Planning &amp; Specifications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Everything is specified before data: the SAP, TLF shells, ADaM/SDTM specs, the randomization schedule, the data-review and QC plans.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SAP &amp; specifications final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S3 — Data &amp; CDISC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Raw data becomes standardized, conformant, traceable CDISC datasets (SDTM → ADaM) with reviewer guides and Define-XML, under full data integrity controls.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Database lock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S4 — Analysis &amp; QC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TLFs and PK/PD analyses are produced and independently double-programmed; reported numbers come from validated engines (Phoenix WinNonlin for NCA), never an LLM.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All outputs QC-passed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S5 — Reporting &amp; CSR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Results become the CSR — statistical methods and results text, in-text tables/figures, appendices, the submission package, and cross-document consistency.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CSR draft delivered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S1 — Study Design &amp; Protocol</w:t>
      </w:r>
    </w:p>
    <w:p>
      <w:pPr>
        <w:spacing w:after="120" w:line="270"/>
      </w:pPr>
      <w:r>
        <w:t xml:space="preserve">Biostatistics shapes the design: estimands, endpoints, sample-size rationale, randomization, and the statistical sections of the protocol.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Biostatistics input to protocol — design rationale &amp; study design selection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M11 (CeSHarP protocol template) design section; ICH E9 (design principles, bias control); ICH E6(R3) GCP; FDA/EMA FIH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peer review; cross-check design vs objectives/estimands; medical/clin-pharm/regulatory review; protocol team consensus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Objectives → estimands → endpoints alignment (ICH E9(R1) estimand framework)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E9(R1) estimand addendum; ICH E9; ICH M11 (estimand placement in protocol);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review of estimand completeness (all 5 attributes, every ICE addressed); clinical &amp; clin-pharm alignment review; consistency check objectives↔estimands↔endpoints↔analysis sets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considerations / analysis-overview section of protocol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 statistical-considerations section; ICH E3 (consistency with future CSR methods);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by independent biostatistician; alignment check vs estimands and vs planned SAP scope; cross-functional protocol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populations / analysis-set definitions (protocol-level)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M11; CDISC ADaMIG v1.3 (population-flag conventions, e.g., SAFFL/PKFL);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set definitions for mutual consistency and estimand linkage; clin-pharm review of PK-evaluable exclusion rules; traceability check to ADSL flag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Sample-size / power justification (or documented rationale for no formal sizing in FIH)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(sample size &amp; assumptions); ICH M11; FDA BA/BE &amp; food-effect guidance; EMA bioequivalence/early-phase guidance; ICH E9(R1) (sizing tied to estimand)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re-derivation/double-check of sample-size or precision calculation (independent code/program run); review of assumptions vs source data; documentation of method and seed/software version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design &amp; specification (incl. sentinel dosing &amp; active:placebo allocation)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(randomization &amp; blinding); ICH E6(R3) GCP; ICH M11; 21 CFR Part 11 (controlled, audit-trailed list generation); sponsor randomization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review of design spec; verification that block/ratio/sentinel logic enforces intended allocation; segregation-of-duties check (spec author ≠ schedule generator); blinding-integrity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DSMB/SRC/SEC charter — statistical decision rules &amp; dose-escalation criteria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(data monitoring, decision rules); ICH E6(R3) GCP; FDA guidance on Data Monitoring Committees; FIH guidance (escalation/stopping); ICH M11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decision-rule logic for unambiguity and safety conservatism; consistency check vs protocol dose levels and stopping rules; committee/regulatory review; (if model-based) operating-characteristics simulation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Dose-escalation operating-characteristics simulation (design-stage)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FDA adaptive-design &amp; FIH guidance; reproducibility per 21 CFR Part 11 (versioned, seeded code); sponsor simulation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re-run/replication of simulation with documented seed &amp; environment; code review; scenario-grid completeness review; sanity-check of OC against design intuition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Interim / adaptive-design elements specification (if any)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FDA Adaptive Designs for Clinical Trials guidance; EMA reflection paper on adaptive designs; ICH M11;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statistical review of adaptation rules &amp; error-rate control; simulation of operating characteristics; firewall/independence review; documentation of 'N/A' decision where no adaptation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precision / variability assumptions memo (CV%, BLQ/LLOQ &amp; sampling-scheme adequacy)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FDA/EMA PK and BA/BE guidance; sponsor NCA/PK SOP; reproducible assumptions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Joint biostatistician–PK scientist review; cross-check sampling adequacy vs predicted t1/2; sensitivity of precision to CV% assumptions; documentation of assumption sources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Biostatistician protocol review &amp;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M11; ICH E6(R3) GCP; 21 CFR Part 11 (electronic signature &amp; audit trail); sponsor protocol-approval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Comment-tracking &amp; resolution log; independent (second-biostatistician) consistency check on objectives↔estimands↔endpoints; signed/audited approval; amendment version control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Emergency unblinding / code-break plan (design-stage definition)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GCP; ICH E9 (blinding integrity); 21 CFR Part 11 (audit trail of unblinding); pharmacovigilance regs; sponsor unblinding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firewall &amp; segregation-of-duties; verification unblinding pathway is auditable and minimally disruptive to the blind; cross-check vs DSMB charter and randomization spec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Sample-Size Re-Estimation (BSSR) Plan — design-stage provision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E6(R3) GCP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review and sign-off; no unblinded data touched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Estimand-to-design traceability &amp; assumptions log (intercurrent-event strategy register)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E9(R1) estimand framework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+ medical reviewer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Protocol approved / finalized.</w:t>
      </w:r>
      <w:r>
        <w:rPr>
          <w:i/>
          <w:iCs/>
        </w:rPr>
        <w:t xml:space="preserve"> 14 deliverables.</w:t>
      </w:r>
    </w:p>
    <w:p>
      <w:pPr>
        <w:pStyle w:val="Heading2"/>
      </w:pPr>
      <w:r>
        <w:t xml:space="preserve">S2 — Planning &amp; Specifications</w:t>
      </w:r>
    </w:p>
    <w:p>
      <w:pPr>
        <w:spacing w:after="120" w:line="270"/>
      </w:pPr>
      <w:r>
        <w:t xml:space="preserve">Everything is specified before data: the SAP, TLF shells, ADaM/SDTM specs, the randomization schedule, the data-review and QC plans.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Analysis Plan (SAP)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+ E9(R1) estimands, ICH E3 (alignment with CSR), ICH E6(R3) GCP, ICH M11; version-controlled, dated, signed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Senior biostatistician peer review; cross-check vs protocol &amp; estimands; documented sign-off; formal version control of amendments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SAP Amendment &amp; Version-Control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E9, ICH E3, ICH E6(R3), 21 CFR Part 11 (audit trail),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each change; timestamp vs lock/unblinding verified; Part 11 audit trail retained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Analysis-Set / Population Definitions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 (population flags), ICH E9(R1), CDISC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reviewer confirms flag logic vs SAP; double-programmed in ADSL; reconciled at blinded 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Shells / Mock-Up Shells (Tables, Listings, Figures)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(in-text/appendix structure), sponsor output standards, CDISC CT for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Peer/medical-writer/clinical review of shells; titles/footnotes vs SAP; dummy-data render test for layout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Inventory / Table of Contents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sponsor standards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Cross-check vs SAP analyses (no orphan/missing outputs); peer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Specifications (ADSL)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v2.1, traceability to SDTM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peer review; downstream independent double-programming of ADSL; Pinnacle 21 ADaM conformance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(ADPC — PK Concentrations)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v2.1, ICH PK reporting practice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PK plan (BLQ/time rules); independent double-programming of ADPC; reconciliation to SDTM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(ADPP — PK Parameters)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 (PK parameters),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parameter list; ADPP reconciled to validated Phoenix output; independent double-programming of structure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(ADAE — Adverse Events)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 (OCCDS), MedDRA,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of TEAE logic; independent double-programming; reconcile vs SDTM AE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Specifications (ADLB / ADVS / ADEG — Labs, Vitals, ECG)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of baseline/window/unit logic; independent double-programming; SDTM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(ADPD — Pharmacodynamics)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PD plan; independent double-programming; SDTM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Mapping Specification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SDTMIG/CT; Pinnacle 21 rule mapping; traceability check raw-&gt;SDTM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Annotated CRF (aCRF) — Preparation &amp;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Define-XML v2.1, CDISC aCRF conventions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Page-by-page review vs mapping spec; consistency with Define-XML origin; peer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Programming Specifications / Derivation Specs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Define-XML v2.1 (value-level), CDISC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spec review; basis for double-programming reconciliation; traceability to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Analysis Plan (NCA detail)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PK reporting practice, regulatory NCA guidance, Phoenix WinNonlin (validated NCA engine)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biostatistician review; rules cross-checked vs SAP; Phoenix template qualified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popPK / Exposure-Response Modelling Analysis Plan (PMAP)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Regulatory popPK/E-R guidance, ICH E9(R1), software validation; NONMEM/Monolix as analysis engines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model-qualification criteria pre-specified; run records reproducible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NONMEM/Monolix Analysis Dataset Specification (PK/PD modelling dataset)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popPK dataset conventions, traceability to ADaM, software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ADaM source; structure/covariate completeness verified; reproducibility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Schedule Generation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 (audit trail, access control),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QC of allocation vs spec (ratios/blocks/strata); seed/reproducibility verified; secured storage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Specification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protocol; IRT UAT alignment; documented approval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Unblinding / Code-Break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 (audit trail),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SOP/charter alignment review; role/firewall verification; emergency-unblinding log tested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Review Plan / Blinded Data-Review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(pre-unblinding decisions), ICH E6(R3),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decisions recorded with timestamp before unblinding; consistency with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Define-XML Planning / Metadata Strategy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Define-XML v2.1, CDISC SDTMIG v3.4 / ADaMIG v1.3,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Metadata completeness vs specs; Pinnacle 21 define checks; value-level metadata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Controlled Terminology Plan / CT Version Pinning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Terminology, SDTMIG v3.4, ADaMIG v1.3,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Version-pin verification; Pinnacle 21 CT checks; extensible-codelist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Validation / QC Plan (Independent Double-Programming Strategy)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11, ALCOA++, CDISC conformance; sponsor validation SOPs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Risk-based assignment reviewed/approved; double-programming mandatory for key outputs; audit-ready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Data-Classification &amp; Routing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sponsor AI/data-governance policy; HIPAA (API+BAA, not consumer)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Governance review of routing assignments; zero-egress verification for local tier; retention/audit-trail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Pseudo / Dummy Data for Shell Testing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structures (for realism), sponsor standards; non-PHI by construction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Structure conformance to ADaM specs; coverage of edge cases (BLQ, missing, windows)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Data-Transfer Specifications (DTS / interface review)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(target), 21 CFR Part 11, ALCOA++, sponsor DM SOPs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Test-transfer review; key/format/unit verification; reconciliation procedure agreed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Dose-Escalation / Operating-Characteristics Simulation Plan &amp; Outputs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+ E9(R1), reproducibility/software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assumptions/code; seed/reproducibility documented; results sanity-checked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Interim Analysis Plan / DSMB statistical output specifications &amp; firewall (SAP-level)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unblinded statistician +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E6(R3); FDA/EMA DSMB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unblinded statistician; firewall enforced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Bioanalytical data-transfer &amp; PK sample reconciliation specification (LC-MS/MS lab interface)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 programming + bioanalytical lab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PC domain; FDA Bioanalytical Method Validation guidance;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Double-check vs lab dictionary; PK scientist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Value-Level Metadata (VLM) specification for Define-XML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 programming / metadata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Define-XML v2.1; CDISC ADaMIG v1.3 / SDTMIG v3.4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datasets; Pinnacle 21 Define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Software / computing environment validation &amp; installation qualification (IQ/OQ)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Biometrics systems / QA + statistical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GAMP 5;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review; reported numbers always from validated engines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SAP &amp; specifications final.</w:t>
      </w:r>
      <w:r>
        <w:rPr>
          <w:i/>
          <w:iCs/>
        </w:rPr>
        <w:t xml:space="preserve"> 32 deliverables.</w:t>
      </w:r>
    </w:p>
    <w:p>
      <w:pPr>
        <w:pStyle w:val="Heading2"/>
      </w:pPr>
      <w:r>
        <w:t xml:space="preserve">S3 — Data &amp; CDISC</w:t>
      </w:r>
    </w:p>
    <w:p>
      <w:pPr>
        <w:spacing w:after="120" w:line="270"/>
      </w:pPr>
      <w:r>
        <w:t xml:space="preserve">Raw data becomes standardized, conformant, traceable CDISC datasets (SDTM → ADaM) with reviewer guides and Define-XML, under full data integrity controls.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EDC / raw data extracts &amp; Data Transfer Agreement (DTA) interface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(biostat/stat programmer co-reviewer)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CDISC CT for code lists; sponsor DTA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Transfer-spec conformance check on each load; record counts &amp; checksum reconciliation; test-transfer (dry-run) before first production transfer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 review of edit checks / data queries / data-review listings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/ Stat programmer (with Data mgmt)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GCP, 21 CFR Part 11, ALCOA++; Data 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listing logic; query resolution tracked to closure; reconciliation against SAP-defined critical variables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Annotated CRF (aCRF)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Define-XML v2.1, Controlled Terminology; CDISC aCRF conventions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against final CRF and SDTM specs; Pinnacle 21 / Define linkage check that every annotated origin resolves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DM (Demographics)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conformance; reconciliation to raw and randomization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PC (Pharmacokinetic Concentrations)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Define-XML v2.1, value-level metadata; CT for units/analytes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bioanalytical transfer (record count, value, BLQ flags); nominal-vs-actual time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PP (Pharmacokinetic Parameters)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(PP domain), CT for PK parameters (PKPARMCD), Define-XML v2.1, RELREC linkage to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output (the engine of record); independent double-programming of the SDTM structure; Pinnacle 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EX (Exposure)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Define-XML v2.1,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randomization and to PC time-after-dose derivation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AE (Adverse Events)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(MedDRA 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 (versioned), Define-XML v2.1,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MedDRA coding QC; reconciliation to safety database/SAE recon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LB (Laboratory)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CT/LOINC, Define-XML v2.1 value-level metadata, unit standardization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lab transfer; unit conversion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VS (Vital Signs)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EG (ECG)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PK/cardiac-safety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v2.1; time-matched to PC for C-QTc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ECG core-lab transfer; PK time-matching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DS (Disposition)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enrollment/randomization counts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MH (Medical History)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CM (Concomitant/Prior Medications)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(WHODrug 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WHODrug (versioned),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 — PD/DV and other supporting domains (PD/PE/SU/QS, DV, CO, SE/TA/TV/TE trial design, SUPPQUAL, RELREC)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PD/PK scientists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(Findings/Events/Special-Purpose/Trial-Design/SUPP/RELREC),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RELREC integrity check (PC&lt;-&gt;PP); deviation-classification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Define-XML (define.xml + stylesheet)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SDTMIG v3.4,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peer review; origin/aCRF cross-link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Reviewer Guide (cSDRG)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cSDRG template, CDISC SDTMIG v3.4,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 and Pinnacle 21 explanations;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ADSL (Participant-Level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SDTM,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ADaM checks; population-flag reconciliation to disposition/randomization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ADPC (PK Concentrations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(BDS / PK ADaM), Define-XML v2.1, traceability to PC/EX,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time-after-dose &amp; BLQ-rule QC; reconciliation to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ADPP (PK Parameters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PP/Phoenix, CT (PK params)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(engine of record); independent double-programming; Pinnacle 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ADAE (Adverse Events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OCCDS, MedDRA, Define-XML v2.1, traceability to AE,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TRTEMFL logic QC; reconciliation to SDTM AE &amp; SAE database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ADLB (Laboratory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 value-level metadata, traceability to LB,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&amp; category-derivation QC; reconciliation to LB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ADVS (Vital Signs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VS,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QC; reconciliation to VS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ADEG (ECG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cardiac-safety/PK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EG/PC, CT; ICH E14/concentration-QTc practice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QTc category &amp; time-matching QC; reconciliation to EG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 — ADPD and other analysis datasets (ADPD, ADCM, ADMH, deviation/exposure analysis as applicable)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PD/PK scientists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BDS/OCCDS, Define-XML v2.1, traceability to SDTM,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PK-PD linkage &amp; baseline/change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Define-XML (define.xml + stylesheet)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ADaMIG v1.3,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derivation-method review; traceability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Reviewer Guide (ADRG)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ADRG template, CDISC ADaMIG v1.3,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Define-XML, SAP and Pinnacle 21 explanations;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CDISC conformance / validation (Pinnacle 21) report — SDTM &amp; ADaM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rules, SDTMIG v3.4, ADaMIG v1.3, Define-XML v2.1, FDA/PMDA validator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Pinnacle 21 engine; documented triage/disposition of every finding; reviewer-guide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bioanalytical sample reconciliation (concentration data load &amp; BLQ handling)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/ Stat programmer (with bioanalytical lab &amp; Data mgmt)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FDA/ICH M10 bioanalytical method validation, 21 CFR Part 11, ALCOA++; PK analysis plan BLQ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100% sample-accountability reconciliation; independent check of BLQ/LLOQ flagging; record-count/value match to transfer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data review outputs (data-review listings &amp; blinded review meeting package)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(with Data mgmt, Clinical, PK)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E9/E9(R1), ICH E6(R3); Data Review Plan;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listings; documented blinded decisions (minutes) prior to unblinding; reconciliation to SAP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Dry-run / test datasets &amp; dry-run TLF execution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Sponsor validation/QC plan; CDISC SDTMIG v3.4/ADaMIG v1.3; 21 CFR Part 11 (program version control)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on dry-run; shell-vs-output reconciliation; defect tracking to closure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cleaning / soft lock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(with Lead biostatistician sign-off)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11, ALCOA++; sponsor lock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Lock checklist completion; cross-functional reconciliation sign-off; audit-trail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Database hard lock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(cross-functional sign-off incl. Lead biostatistician)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 (audit trail/e-records), ALCOA++; sponsor lock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Formal hard-lock checklist &amp; multi-party sign-off; audit-trail/lock verification; snapshot integrity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Traceability (raw -&gt; SDTM -&gt; ADaM) matrix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v3.4/ADaMIG v1.3/Define-XML v2.1 traceability principles; ICH E6(R3),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Cross-link verification raw&lt;-&gt;SDTM&lt;-&gt;ADaM; peer review; consistency with define/reviewer guides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Controlled Terminology &amp; coding-dictionary version management (CDISC CT, MedDRA, WHODrug)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/ Stat programmer (CDISC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 (versioned), MedDRA, WHODrug; Define-XML v2.1;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Version-lock verification; CT-conformance via Pinnacle 21; coding QC against locked dictionaries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data-classification routing log &amp; engine-of-record register (Stage 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(biometrics AI governance owner)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sponsor AI-governance SOP; hybrid-AI routing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Periodic governance review; routing-vs-classification reconciliation; model-freeze/version verification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QC / verification report (schedule vs IXRS/EDC reconciliation)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statistician (not the schedule generator)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double-check; segregation of duties from generator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Emergency unblinding / code-break event log &amp;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Unblinded pharmacovigilance / IXRS admin + biostat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 audit trail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verification; segregation from blinded team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Protocol-deviation classification &amp; reconciliation log (important vs non-important)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Clinical ops + biostat (blinded review)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E6(R3); ICH E9(R1) (impact on populations/estimands)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Blinded review meeting; medical/biostat adjudication documented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Analysis-population derivation &amp; participant-disposition reconciliation (population-flag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+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(ADSL population flags); ICH E9(R1)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blinded allocation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Review Meeting minutes &amp; blinded data-review sign-off (pre-lock)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Cross-functional (DM, biostat, clinical, PK) — blinded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ALCOA++;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Attendees confirm minutes; signatures retained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Database lock authorization &amp; 21 CFR Part 11 audit-trail review / system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management + QA + biostat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review of audit trail; independent lock approval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sampling-time deviation &amp; actual-vs-nominal time reconciliation (PK timing dataset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PC/PP domains; FDA PK guidance;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source; PK scientist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Database lock.</w:t>
      </w:r>
      <w:r>
        <w:rPr>
          <w:i/>
          <w:iCs/>
        </w:rPr>
        <w:t xml:space="preserve"> 43 deliverables.</w:t>
      </w:r>
    </w:p>
    <w:p>
      <w:pPr>
        <w:pStyle w:val="Heading2"/>
      </w:pPr>
      <w:r>
        <w:t xml:space="preserve">S4 — Analysis &amp; QC</w:t>
      </w:r>
    </w:p>
    <w:p>
      <w:pPr>
        <w:spacing w:after="120" w:line="270"/>
      </w:pPr>
      <w:r>
        <w:t xml:space="preserve">TLFs and PK/PD analyses are produced and independently double-programmed; reported numbers come from validated engines (Phoenix WinNonlin for NCA), never an LLM.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environment qualification &amp; program setup (folder structure, validated software versions, run/seed control)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 (computerized systems / software validation); CSV/IQ-OQ-PQ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Installation/operational qualification records; environment qualification checklist; version log; reviewer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Disposition tables (screening, randomization, dosed, completed/discontinued; analysis-set attribution)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(ADSL);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 against shells; population counts cross-checked to ADSL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Demographics &amp; baseline characteristics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v1.3; CDISC CT;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descriptive stats verified against ADSL/raw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Exposure / dosing &amp; treatment-compliance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SDTMIG v3.4 (EX); ADaMIG v1.3;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dosing records cross-checked to EX/EC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Protocol-deviation summary tables (with importance classification)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E6(R3); SDTMIG v3.4 (DV);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classification reviewed at blinded 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concentration summary tables + mean concentration-time figures (linear &amp; semi-log)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(ADPC); SDTMIG v3.4 (PC); SAP / PK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BLQ handling verified; figures QC'd vs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NCA execution in validated Phoenix WinNonlin (PK parameter derivation)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NCA in Phoenix WinNonlin; ICH E3; ADaMIG v1.3 (ADPP); SAP / PK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is the validated engine of record; independent re-derivation of key parameters (second analyst / second tool) + reconciliation; lambda_z selection reviewed; run records archived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parameter (NCA) summary tables (Cmax, Tmax, AUC, t1/2, CL/F, Vz/F)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(ADPP);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the summary table + reconciliation; values traceable to validated Phoenix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Dose-proportionality &amp; accumulation analyses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SAP / PK analysis plan; relevant FDA/EMA dose-proportionality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model specification reviewed; outputs traced to validated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Food-effect / DDI / relative BA-BE statistical analysis (ANOVA, 90% CI, GMR) —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FDA/EMA BE &amp; food-effect &amp; DDI guidances;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mixed-model/GMR/90% CI + reconciliation; model statement (fixed/random effects) reviewed; values traced to validated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Concentration-QTc (C-QTc) / QT-QTc analysis —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E14 + E14 Q&amp;A (Q&amp;A 5/6); ICH E3; ADaMIG v1.3 (ADEG);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re-modelling / double-programming + reconciliation; C-QTc model assumptions reviewed; run records archived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popPK / exposure-response modelling (NONMEM/Monolix) with run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NONMEM/Monolix; popPK analysis plan; FDA/EMA popPK &amp; exposure-response guidance;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Run records (control streams/seeds/logs) archived; independent review of model code &amp; assumptions; key results reproduced; VPC/GOF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 — TEAEs (overview, by SOC/PT, severity, relationship, by dose)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MedDRA; ADaMIG v1.3 (ADAE);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TEAE flag/derivation verified; counts cross-checked to ADAE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 — deaths, SAEs, and AEs leading to discontinuation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E2A/E6(R3); MedDRA;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SAE/death flags reconciled with safety database/PV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 — clinical laboratory analyses (summary, change-from-baseline, shift tables, outliers, Hy's law)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CDISC CT; ADaMIG v1.3 (ADLB);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reference-range/grade derivations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 — vital signs, ECG (12-lead parameters), physical exam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E14 (ECG categorical); ADaMIG v1.3 (ADVS/ADEG);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baseline/CFB and outlier criteria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PD endpoint analyses (biomarker / target-engagement summaries and PK/PD)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(ADPD);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derivations/units verified; PK/PD models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Immunogenicity / anti-drug antibody (ADA) analyses —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FDA/EMA immunogenicity guidance; CDISC IS;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TE-ADA derivation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Exploratory / post-hoc analyses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E9; SAP (exploratory designation)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Risk-based QC (key exploratory outputs double-programmed); exploratory flagging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analysis execution (run-all production of SAP-specified analyses)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E3; 21 CFR Part 11; ALCOA++;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Log review (no errors/warnings); output-vs-shell check; independent double-programming reconciliation gate before release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Independent double-programming QC + reconciliation (discrepancy resolution)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11; ALCOA++; validation/QC plan;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This IS the QC step — independent double-programming + documented reconciliation; lead biostatistician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validation / QC documentation &amp; discrepancy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validation/QC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Completeness/consistency review of QC records; lead biostatistician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/ blind data-review meeting &amp; documented decisions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E6(R3); ICH E3; SAP / Data 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Decisions documented before unblinding; cross-functional sign-off; decisions locked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Unblinding / code-break execution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 (audit trail/access); unblinding/code-break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Authorization &amp; timing documented; access-controlled execution; audit trail; segregation of duties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Pharmacometrics / popPK analysis report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FDA/EMA popPK &amp; exposure-response guidance; ICH E3; modelling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model &amp; report; key results reproduced; run-record completeness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QC documentation / validation records package (analysis stage)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validation/QC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Completeness/traceability review; lead biostatistician sign-off; archived per retention policy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governance log for analysis stage (data-classification routing, engine-of-record, model-freeze &amp; prompt/output retention)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 (audit trail/records); ALCOA++; internal hybrid-AI governance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Routing/engine-of-record verified per output; freeze hashes recorded; retention completeness checked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Phoenix WinNonlin NCA parameter-derivation QC / independent NCA verification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independent PK QC reviewer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WinNonlin (validated NCA); FDA PK guidance;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PK reviewer; documented parameter verification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Pharmacometrics model qualification &amp; validation records (covariate selection, GOF, VPC, bootstrap, run log)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+ independent reviewer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NONMEM/Monolix; FDA popPK guidance;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reproducible run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Risk-based QC plan execution &amp; QC-level assignment matrix (per-output QC tiering)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Statistical programming QC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risk-based quality management; ICH E8(R1)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QC lead sign-off; mandatory independent double-programming for RED outputs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Concentration-QTc (C-QTc) model assumption-check &amp; QC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/ cardiac-safety 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E14 / E14-S7B Q&amp;A; FDA C-QTc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cardiac-safety statistician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All outputs QC-passed.</w:t>
      </w:r>
      <w:r>
        <w:rPr>
          <w:i/>
          <w:iCs/>
        </w:rPr>
        <w:t xml:space="preserve"> 31 deliverables.</w:t>
      </w:r>
    </w:p>
    <w:p>
      <w:pPr>
        <w:pStyle w:val="Heading2"/>
      </w:pPr>
      <w:r>
        <w:t xml:space="preserve">S5 — Reporting &amp; CSR</w:t>
      </w:r>
    </w:p>
    <w:p>
      <w:pPr>
        <w:spacing w:after="120" w:line="270"/>
      </w:pPr>
      <w:r>
        <w:t xml:space="preserve">Results become the CSR — statistical methods and results text, in-text tables/figures, appendices, the submission package, and cross-document consistency.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Statistical Methods section (Section 9.7 / 11) per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9.7/11 structure), ICH E9 + E9(R1) estimands, CDISC ADaMIG v1.3 (population/derivation traceability)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by second biostatistician against final SAP; cross-check that every method maps to a reported output; medical-writer editorial QC; SAP-vs-CSR methods reconciliation checklist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Results — in-text (in-body) summary tables and figures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10–12 Results), CDISC ADaMIG v1.3 (source datasets), Phoenix WinNonlin (NCA engine of record)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or 1:1 reconciliation of every in-text value against the corresponding full TLF and source ADaM; numerical-consistency check; QC log signed 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Biostatistician contribution to and review of the CSR draft (Results text, consistency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E9/E9(R1), 21 CFR Part 11 (review records/audit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Documented number-by-number consistency check (CSR-vs-TLF-vs-ADaM); second-reviewer spot-check; tracked-changes/comment resolution log retained as a controlled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Appendix 16.1.9 — Documentation of statistical methods incl. final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(Appendix 16.1.9), ICH E9/E9(R1), 21 CFR Part 11 / ALCOA++ (versioning, 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Completeness/version reconciliation (approved versions only); cross-check SAP content vs CSR Methods; QA review of appendix assembly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Appendix 16.2 — Data listings (by-participant)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16.2), CDISC SDTMIG v3.4 / ADaMIG v1.3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or QC review of each listing; reconciliation against summary TLFs; QC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appendices — Define-XML + reviewer guides (cSDRG/ADRG) and annotated CRF as submission appendices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cSDRG/ADRG templates, CDISC Controlled Terminology, FDA/PMDA submission requirements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conformance re-run on final datasets; reviewer-guide completeness check; define-vs-dataset consistency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Patient narrative data support (safety narratives)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12.3.2 / narratives), ICH E6(R3) GCP, 21 CFR Part 11,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Narrative-to-source data reconciliation per participant; independent check of the trigger list (all deaths/SAEs captured); QC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Participant (patient) profiles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CDISC SDTMIG v3.4 / ADaMIG v1.3,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Spot-check profiles vs source listings; independent review of profile program; reconciliation against ADaM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Submission datasets + analysis programs as regulatory deliverables (with ADRG/cSDRG)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ADaMIG v1.3, Define-XML v2.1, Controlled Terminology; FDA Study Data Technical Conformance Guide;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Final Pinnacle 21 conformance; independent double-programming evidence retained; program executability/QC review; traceability raw→SDTM→ADaM→TLF confirmed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Traceability matrix (raw → SDTM → ADaM → TLF/CSR)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(traceability), Define-XML v2.1 value-level metadata, ICH E3, 21 CFR Part 11 /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verification that each CSR/TLF number traces to a derivation and source; gap review; QA audit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QC of CSR-vs-TLF-vs-dataset numerical consistency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E9, 21 CFR Part 11 / ALCOA++ (QC records, 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reviewer performs the check; discrepancy log tracked to closure; second-level QA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input to clinical study synopsis and briefing documents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(synopsis), ICH E9/E9(R1), ICH M11 alignment for protocol/briefing context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Consistency check vs CSR body and TLFs (numbers identical); peer/medical review;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Statistical/biometrics sign-off and CSR release for submission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E6(R3) GCP, 21 CFR Part 11 / ALCOA++ (e-signatures, audit trail), CDISC submission standards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Final QA review; confirmation all discrepancy logs closed; e-signature with audit trail; engine-of-record and model-freeze records attached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eCTD Module 5 submission package assembly &amp; study-data standards conformance (study data reviewer's guide bundle, study-tagging)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Regulatory + biometrics submission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 Study Data Technical Conformance Guide; eCTD;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Submission-readiness review; Pinnacle 21 package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Data Reviewer's Guide of record finalization &amp; cross-document consistency (SAP↔Define↔ADRG↔CSR)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+ metadata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v1.3; Define-XML v2.1; cSDRG/ADRG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sign-off; documented discrepancy closure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governance dossier — model-freeze records, engine-of-record register, and prompt/output retention archive (submission-level)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Biometrics AI-governance lead + QA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internal hybrid-AI policy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audit; segregation confirms LLM out of reported-number path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CSR draft delivered.</w:t>
      </w:r>
      <w:r>
        <w:rPr>
          <w:i/>
          <w:iCs/>
        </w:rPr>
        <w:t xml:space="preserve"> 16 deliverables.</w:t>
      </w:r>
    </w:p>
    <w:p>
      <w:pPr>
        <w:pStyle w:val="Heading2"/>
      </w:pPr>
      <w:r>
        <w:t xml:space="preserve">CDISC dataset &amp; metadata inventory</w:t>
      </w:r>
    </w:p>
    <w:p>
      <w:pPr>
        <w:spacing w:after="120" w:line="270"/>
      </w:pPr>
      <w:r>
        <w:t xml:space="preserve">The standardized-data spine that makes the study submission-ready (SDTM → ADaM → Define-XML, with conformance and reviewer guides).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DM (Demographics)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conformance; reconciliation to raw and randomization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PC (Pharmacokinetic Concentrations)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Define-XML v2.1, value-level metadata; CT for units/analytes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bioanalytical transfer (record count, value, BLQ flags); nominal-vs-actual time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PP (Pharmacokinetic Parameters)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(PP domain), CT for PK parameters (PKPARMCD), Define-XML v2.1, RELREC linkage to PC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output (the engine of record); independent double-programming of the SDTM structure; Pinnacle 21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EX (Exposure)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Define-XML v2.1,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randomization and to PC time-after-dose derivation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AE (Adverse Events)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 (versioned), Define-XML v2.1,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MedDRA coding QC; reconciliation to safety database/SAE recon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LB (Laboratory)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CT/LOINC, Define-XML v2.1 value-level metadata, unit standardization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lab transfer; unit conversion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S3-10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VS (Vital Signs)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EG (ECG)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v2.1; time-matched to PC for C-QTc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ECG core-lab transfer; PK time-matching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DS (Disposition)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enrollment/randomization counts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MH (Medical History)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CM (Concomitant/Prior Medications)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WHODrug (versioned),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 — PD/DV and other supporting domains (PD/PE/SU/QS, DV, CO, SE/TA/TV/TE trial design, SUPPQUAL, RELREC)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(Findings/Events/Special-Purpose/Trial-Design/SUPP/RELREC),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RELREC integrity check (PC&lt;-&gt;PP); deviation-classification reconciliation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Define-XML (define.xml + stylesheet)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SDTMIG v3.4,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peer review; origin/aCRF cross-link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Reviewer Guide (cSDRG)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cSDRG template, CDISC SDTMIG v3.4,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 and Pinnacle 21 explanations;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ADSL (Participant-Level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SDTM,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ADaM checks; population-flag reconciliation to disposition/randomization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ADPC (PK Concentrations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(BDS / PK ADaM), Define-XML v2.1, traceability to PC/EX,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time-after-dose &amp; BLQ-rule QC; reconciliation to PC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S3-20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ADPP (PK Parameters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PP/Phoenix, CT (PK params)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(engine of record); independent double-programming; Pinnacle 21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ADAE (Adverse Events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OCCDS, MedDRA, Define-XML v2.1, traceability to AE,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TRTEMFL logic QC; reconciliation to SDTM AE &amp; SAE database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ADLB (Laboratory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 value-level metadata, traceability to LB,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&amp; category-derivation QC; reconciliation to LB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ADVS (Vital Signs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VS,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QC; reconciliation to VS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ADEG (ECG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EG/PC, CT; ICH E14/concentration-QTc practice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QTc category &amp; time-matching QC; reconciliation to EG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 — ADPD and other analysis datasets (ADPD, ADCM, ADMH, deviation/exposure analysis as applicable)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BDS/OCCDS, Define-XML v2.1, traceability to SDTM,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PK-PD linkage &amp; baseline/change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Define-XML (define.xml + stylesheet)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ADaMIG v1.3,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derivation-method review; traceability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Reviewer Guide (ADRG)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ADRG template, CDISC ADaMIG v1.3,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Define-XML, SAP and Pinnacle 21 explanations;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/ validation (Pinnacle 21) report — SDTM &amp; ADaM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rules, SDTMIG v3.4, ADaMIG v1.3, Define-XML v2.1, FDA/PMDA validator rules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Pinnacle 21 engine; documented triage/disposition of every finding; reviewer-guide reconciliation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Dry-run / test datasets &amp; dry-run TLF execution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Sponsor validation/QC plan; CDISC SDTMIG v3.4/ADaMIG v1.3; 21 CFR Part 11 (program version control)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on dry-run; shell-vs-output reconciliation; defect tracking to closure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Traceability (raw -&gt; SDTM -&gt; ADaM) matrix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v3.4/ADaMIG v1.3/Define-XML v2.1 traceability principles; ICH E6(R3), ALCOA++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Cross-link verification raw&lt;-&gt;SDTM&lt;-&gt;ADaM; peer review; consistency with define/reviewer guides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Controlled Terminology &amp; coding-dictionary version management (CDISC CT, MedDRA, WHODrug)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 (versioned), MedDRA, WHODrug; Define-XML v2.1; 21 CFR Part 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Version-lock verification; CT-conformance via Pinnacle 21; coding QC against locked dictionaries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sampling-time deviation &amp; actual-vs-nominal time reconciliation (PK timing dataset QC)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PC/PP domains; FDA PK guidance; ALCOA++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source; PK scientist sign-off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TLF &amp; analysis-output inventory (Stage 4)</w:t>
      </w:r>
    </w:p>
    <w:p>
      <w:pPr>
        <w:spacing w:after="120" w:line="270"/>
      </w:pPr>
      <w:r>
        <w:t xml:space="preserve">Tables, listings, and figures by domain, plus the PK/PD analyses. Reported numbers are produced by validated engines, then independently double-programmed.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Disposition tables (screening, randomization, dosed, completed/discontinued; analysis-set attribution)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 against shells; population counts cross-checked to ADSL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Demographics &amp; baseline characteristics tables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descriptive stats verified against ADSL/raw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Exposure / dosing &amp; treatment-compliance tables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dosing records cross-checked to EX/EC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Protocol-deviation summary tables (with importance classification)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classification reviewed at blinded data review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concentration summary tables + mean concentration-time figures (linear &amp; semi-log)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BLQ handling verified; figures QC'd vs tables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NCA execution in validated Phoenix WinNonlin (PK parameter derivation)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is the validated engine of record; independent re-derivation of key parameters (second analyst / second tool) + reconciliation; lambda_z selection reviewed; run records archived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parameter (NCA) summary tables (Cmax, Tmax, AUC, t1/2, CL/F, Vz/F)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the summary table + reconciliation; values traceable to validated Phoenix ADPP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Dose-proportionality &amp; accumulation analyses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model specification reviewed; outputs traced to validated ADPP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Concentration-QTc (C-QTc) / QT-QTc analysis — if applicable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re-modelling / double-programming + reconciliation; C-QTc model assumptions reviewed; run records archived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popPK / exposure-response modelling (NONMEM/Monolix) with run records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Run records (control streams/seeds/logs) archived; independent review of model code &amp; assumptions; key results reproduced; VPC/GOF reviewed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 — TEAEs (overview, by SOC/PT, severity, relationship, by dose)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TEAE flag/derivation verified; counts cross-checked to ADAE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 — deaths, SAEs, and AEs leading to discontinuation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SAE/death flags reconciled with safety database/PV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 — clinical laboratory analyses (summary, change-from-baseline, shift tables, outliers, Hy's law)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reference-range/grade derivations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 — vital signs, ECG (12-lead parameters), physical exam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baseline/CFB and outlier criteria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Immunogenicity / anti-drug antibody (ADA) analyses — if applicable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TE-ADA derivation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TLF validation / QC documentation &amp; discrepancy log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Completeness/consistency review of QC records; lead biostatistician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Pharmacometrics / popPK analysis report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model &amp; report; key results reproduced; run-record completeness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WinNonlin NCA parameter-derivation QC / independent NCA verification record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independent PK QC reviewer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PK reviewer; documented parameter verification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Pharmacometrics model qualification &amp; validation records (covariate selection, GOF, VPC, bootstrap, run log)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+ independent reviewer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reproducible run records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Concentration-QTc (C-QTc) model assumption-check &amp; QC record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/ cardiac-safety statistician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cardiac-safety statistician review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The hybrid-AI routing overlay</w:t>
      </w:r>
    </w:p>
    <w:p>
      <w:pPr>
        <w:spacing w:after="120" w:line="270"/>
      </w:pPr>
      <w:r>
        <w:t xml:space="preserve">Every deliverable is risk-tiered (</w:t>
      </w:r>
      <w:r>
        <w:rPr>
          <w:b/>
          <w:bCs/>
        </w:rPr>
        <w:t xml:space="preserve">Model Risk = influence × consequence</w:t>
      </w:r>
      <w:r>
        <w:t xml:space="preserve">) and routed by data sensitivity. The pattern from the hybrid AI strategy applies here, deliverable by deliverable.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AI does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🟢 GREEN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Drafts, scaffolds, documentation, summaries on de-identified text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Cloud Claude (API + BAA) or local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🟡 AMBER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Dataset/TLF code; AI as </w:t>
            </w:r>
            <w:r>
              <w:rPr>
                <w:b/>
                <w:bCs/>
                <w:sz w:val="17"/>
                <w:szCs w:val="17"/>
              </w:rPr>
              <w:t xml:space="preserve">one side</w:t>
            </w:r>
            <w:r>
              <w:rPr>
                <w:sz w:val="17"/>
                <w:szCs w:val="17"/>
              </w:rPr>
              <w:t xml:space="preserve"> of double-programming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Local frozen model (participant-level) / cloud (de-identified)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🔴 RED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Nothing autonomous</w:t>
            </w:r>
            <w:r>
              <w:rPr>
                <w:sz w:val="17"/>
                <w:szCs w:val="17"/>
              </w:rPr>
              <w:t xml:space="preserve"> — validated engine produces the number; LLM out of the path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engine (Phoenix WinNonlin / SAS / NONMEM) only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b/>
          <w:bCs/>
        </w:rPr>
        <w:t xml:space="preserve">The three hard rules (override everything):</w:t>
      </w:r>
      <w:r>
        <w:t xml:space="preserve"> (1) PHI / unblinded / randomization data never leaves — always the local frozen model; (2) every </w:t>
      </w:r>
      <w:r>
        <w:rPr>
          <w:b/>
          <w:bCs/>
        </w:rPr>
        <w:t xml:space="preserve">reported number</w:t>
      </w:r>
      <w:r>
        <w:t xml:space="preserve"> comes from a validated engine, never an LLM; (3) de-identification is the only thing that unlocks the cloud path (Claude API under BAA — never a consumer Copilot/Max seat).</w:t>
      </w:r>
    </w:p>
    <w:p>
      <w:pPr>
        <w:pStyle w:val="Heading2"/>
      </w:pPr>
      <w:r>
        <w:t xml:space="preserve">Validation &amp; governance (cross-cutting)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Independent double-programming</w:t>
      </w:r>
      <w:r>
        <w:t xml:space="preserve"> of every submission-grade output; the AI may replace at most one side, never both.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21 CFR Part 11 + ALCOA++</w:t>
      </w:r>
      <w:r>
        <w:t xml:space="preserve">: secure, attributable, time-stamped audit trails; e-signatures; reproducibility.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Engine-of-record</w:t>
      </w:r>
      <w:r>
        <w:t xml:space="preserve"> recorded per deliverable; reported numbers always from a validated, qualified engine.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Model-freeze records</w:t>
      </w:r>
      <w:r>
        <w:t xml:space="preserve"> for the local open-weight model (fixed weights + config + seed = a re-runnable validation artifact); change control on any model update.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Data-classification routing log</w:t>
      </w:r>
      <w:r>
        <w:t xml:space="preserve"> and </w:t>
      </w:r>
      <w:r>
        <w:rPr>
          <w:b/>
          <w:bCs/>
        </w:rPr>
        <w:t xml:space="preserve">zero-egress attestation</w:t>
      </w:r>
      <w:r>
        <w:t xml:space="preserve"> for sensitive data; consolidated into a submission-level hybrid-AI governance dossier.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Software / environment qualification</w:t>
      </w:r>
      <w:r>
        <w:t xml:space="preserve"> (IQ/OQ/PQ) for SAS/R, Phoenix WinNonlin, NONMEM/Monolix, Pinnacle 21.</w:t>
      </w:r>
    </w:p>
    <w:p>
      <w:pPr>
        <w:pStyle w:val="Heading2"/>
      </w:pPr>
      <w:r>
        <w:t xml:space="preserve">Closing</w:t>
      </w:r>
    </w:p>
    <w:p>
      <w:pPr>
        <w:spacing w:after="120" w:line="270"/>
      </w:pPr>
      <w:r>
        <w:t xml:space="preserve">This pipeline is the operating map for an in-house, hybrid-AI biometrics function: human-owned and signed at every step, validated engines for every reported number, full CDISC and Part 11 rigor — with AI accelerating the language, code-drafting, and QC-support layers under explicit, deliverable-by-deliverable controls. The complete register (every field, all 136 deliverables) is in the companion spreadsheet; the visual map is the accompanying one-pager.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2026-06-10T04:18:00.353Z</dcterms:created>
  <dcterms:modified xsi:type="dcterms:W3CDTF">2026-06-10T04:18:00.354Z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