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Participant-Tier Advanced Engine — Implementation Spec</w:t>
      </w:r>
    </w:p>
    <w:p>
      <w:pPr>
        <w:pStyle w:val="Heading3"/>
      </w:pPr>
      <w:r>
        <w:t xml:space="preserve">Optimal-Transport drift + nested Active Inference, on-device</w:t>
      </w:r>
    </w:p>
    <w:p>
      <w:pPr>
        <w:spacing w:after="120" w:line="270"/>
      </w:pPr>
      <w:r>
        <w:rPr>
          <w:b/>
          <w:bCs/>
        </w:rPr>
        <w:t xml:space="preserve">Scope.</w:t>
      </w:r>
      <w:r>
        <w:t xml:space="preserve"> This spec defines the </w:t>
      </w:r>
      <w:r>
        <w:rPr>
          <w:i/>
          <w:iCs/>
        </w:rPr>
        <w:t xml:space="preserve">participant-tier</w:t>
      </w:r>
      <w:r>
        <w:t xml:space="preserve"> of the advanced early-warning engine in the Trial-Termination Early-Warning Dashboard: the </w:t>
      </w:r>
      <w:r>
        <w:rPr>
          <w:b/>
          <w:bCs/>
        </w:rPr>
        <w:t xml:space="preserve">on-device</w:t>
      </w:r>
      <w:r>
        <w:t xml:space="preserve">, zero-egress detector that surfaces emerging dose-limiting-toxicity (DLT) and safety risk </w:t>
      </w:r>
      <w:r>
        <w:rPr>
          <w:b/>
          <w:bCs/>
        </w:rPr>
        <w:t xml:space="preserve">earlier and more continuously</w:t>
      </w:r>
      <w:r>
        <w:t xml:space="preserve"> than threshold rules, and recommends the most informative next assessment. It is written so a programmer can build it.</w:t>
      </w:r>
    </w:p>
    <w:p>
      <w:pPr>
        <w:pBdr>
          <w:left w:val="single" w:color="1E2761" w:sz="18" w:space="10"/>
        </w:pBdr>
        <w:shd w:fill="EEF2FA" w:val="clear"/>
        <w:spacing w:after="100" w:before="100"/>
        <w:ind w:left="300"/>
      </w:pPr>
      <w:r>
        <w:rPr>
          <w:b/>
          <w:bCs/>
          <w:i/>
          <w:iCs/>
          <w:color w:val="555F77"/>
        </w:rPr>
        <w:t xml:space="preserve">Governance (binding).</w:t>
      </w:r>
      <w:r>
        <w:rPr>
          <w:i/>
          <w:iCs/>
          <w:color w:val="555F77"/>
        </w:rPr>
        <w:t xml:space="preserve"> Everything here is </w:t>
      </w:r>
      <w:r>
        <w:rPr>
          <w:b/>
          <w:bCs/>
          <w:i/>
          <w:iCs/>
          <w:color w:val="555F77"/>
        </w:rPr>
        <w:t xml:space="preserve">decision-support</w:t>
      </w:r>
      <w:r>
        <w:rPr>
          <w:i/>
          <w:iCs/>
          <w:color w:val="555F77"/>
        </w:rPr>
        <w:t xml:space="preserve">. It produces </w:t>
      </w:r>
      <w:r>
        <w:rPr>
          <w:i/>
          <w:iCs/>
          <w:color w:val="555F77"/>
        </w:rPr>
        <w:t xml:space="preserve">scores</w:t>
      </w:r>
      <w:r>
        <w:rPr>
          <w:i/>
          <w:iCs/>
          <w:color w:val="555F77"/>
        </w:rPr>
        <w:t xml:space="preserve"> and </w:t>
      </w:r>
      <w:r>
        <w:rPr>
          <w:i/>
          <w:iCs/>
          <w:color w:val="555F77"/>
        </w:rPr>
        <w:t xml:space="preserve">suggestions</w:t>
      </w:r>
      <w:r>
        <w:rPr>
          <w:i/>
          <w:iCs/>
          <w:color w:val="555F77"/>
        </w:rPr>
        <w:t xml:space="preserve"> for the medical monitor / SRC — never a determination. The rule-based triggers (DLT criteria, Hy's-Law/eDISH, QTcF, PK-exposure caps) remain </w:t>
      </w:r>
      <w:r>
        <w:rPr>
          <w:b/>
          <w:bCs/>
          <w:i/>
          <w:iCs/>
          <w:color w:val="555F77"/>
        </w:rPr>
        <w:t xml:space="preserve">authoritative</w:t>
      </w:r>
      <w:r>
        <w:rPr>
          <w:i/>
          <w:iCs/>
          <w:color w:val="555F77"/>
        </w:rPr>
        <w:t xml:space="preserve">; the validated safety database owns every reported number. The active-inference "action" only ever recommends </w:t>
      </w:r>
      <w:r>
        <w:rPr>
          <w:i/>
          <w:iCs/>
          <w:color w:val="555F77"/>
        </w:rPr>
        <w:t xml:space="preserve">what to observe</w:t>
      </w:r>
      <w:r>
        <w:rPr>
          <w:i/>
          <w:iCs/>
          <w:color w:val="555F77"/>
        </w:rPr>
        <w:t xml:space="preserve"> (an assessment), for human approval — it never changes dosing, escalation, or termination. The model and its reference barycenters must be </w:t>
      </w:r>
      <w:r>
        <w:rPr>
          <w:b/>
          <w:bCs/>
          <w:i/>
          <w:iCs/>
          <w:color w:val="555F77"/>
        </w:rPr>
        <w:t xml:space="preserve">frozen and version-locked</w:t>
      </w:r>
      <w:r>
        <w:rPr>
          <w:i/>
          <w:iCs/>
          <w:color w:val="555F77"/>
        </w:rPr>
        <w:t xml:space="preserve"> before any use that informs a regulated decision. All participant-level computation runs on the local model with zero egress (Part 11 / ALCOA++ audit).</w:t>
      </w:r>
    </w:p>
    <w:p>
      <w:pPr>
        <w:pBdr>
          <w:bottom w:val="single" w:color="C7CFE2" w:sz="6" w:space="1"/>
        </w:pBdr>
        <w:spacing w:after="120" w:before="60"/>
      </w:pPr>
    </w:p>
    <w:p>
      <w:pPr>
        <w:pStyle w:val="Heading2"/>
      </w:pPr>
      <w:r>
        <w:t xml:space="preserve">1. Where it runs and what it touches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</w:p>
        </w:tc>
        <w:tc>
          <w:tcPr>
            <w:tcW w:type="dxa" w:w="468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</w:p>
        </w:tc>
      </w:tr>
      <w:tr>
        <w:tc>
          <w:tcPr>
            <w:tcW w:type="dxa" w:w="468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b/>
                <w:bCs/>
                <w:sz w:val="17"/>
                <w:szCs w:val="17"/>
              </w:rPr>
              <w:t xml:space="preserve">Engine</w:t>
            </w:r>
          </w:p>
        </w:tc>
        <w:tc>
          <w:tcPr>
            <w:tcW w:type="dxa" w:w="468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sz w:val="17"/>
                <w:szCs w:val="17"/>
              </w:rPr>
              <w:t xml:space="preserve">On-device / on-prem local LLM + a small numerical service (NumPy/SciPy-class). No participant-level data leaves the validated environment.</w:t>
            </w:r>
          </w:p>
        </w:tc>
      </w:tr>
      <w:tr>
        <w:tc>
          <w:tcPr>
            <w:tcW w:type="dxa" w:w="468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3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b/>
                <w:bCs/>
                <w:sz w:val="17"/>
                <w:szCs w:val="17"/>
              </w:rPr>
              <w:t xml:space="preserve">Inputs (per participant, per cohort)</w:t>
            </w:r>
          </w:p>
        </w:tc>
        <w:tc>
          <w:tcPr>
            <w:tcW w:type="dxa" w:w="468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3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sz w:val="17"/>
                <w:szCs w:val="17"/>
              </w:rPr>
              <w:t xml:space="preserve">Central-lab safety panel (LFTs: ALT, AST, ALP, total bilirubin; chem; heme), ECG (QTcF), PK exposure (Cmax, AUC vs NOAEL-scaled cap), vitals, AE/CTCAE grades, dosing/visit timing. All already on-device.</w:t>
            </w:r>
          </w:p>
        </w:tc>
      </w:tr>
      <w:tr>
        <w:tc>
          <w:tcPr>
            <w:tcW w:type="dxa" w:w="468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b/>
                <w:bCs/>
                <w:sz w:val="17"/>
                <w:szCs w:val="17"/>
              </w:rPr>
              <w:t xml:space="preserve">Reference</w:t>
            </w:r>
          </w:p>
        </w:tc>
        <w:tc>
          <w:tcPr>
            <w:tcW w:type="dxa" w:w="468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sz w:val="17"/>
                <w:szCs w:val="17"/>
              </w:rPr>
              <w:t xml:space="preserve">A </w:t>
            </w:r>
            <w:r>
              <w:rPr>
                <w:b/>
                <w:bCs/>
                <w:sz w:val="17"/>
                <w:szCs w:val="17"/>
              </w:rPr>
              <w:t xml:space="preserve">meta-learned Wasserstein barycenter</w:t>
            </w:r>
            <w:r>
              <w:rPr>
                <w:sz w:val="17"/>
                <w:szCs w:val="17"/>
              </w:rPr>
              <w:t xml:space="preserve"> per analyte, built from prior cohorts/studies of the same compound/class (Section 4). Frozen per analysis.</w:t>
            </w:r>
          </w:p>
        </w:tc>
      </w:tr>
      <w:tr>
        <w:tc>
          <w:tcPr>
            <w:tcW w:type="dxa" w:w="468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3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b/>
                <w:bCs/>
                <w:sz w:val="17"/>
                <w:szCs w:val="17"/>
              </w:rPr>
              <w:t xml:space="preserve">Outputs</w:t>
            </w:r>
          </w:p>
        </w:tc>
        <w:tc>
          <w:tcPr>
            <w:tcW w:type="dxa" w:w="468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3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sz w:val="17"/>
                <w:szCs w:val="17"/>
              </w:rPr>
              <w:t xml:space="preserve">Three continuous scores per participant —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W_drift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F_surprise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EFE_action</w:t>
            </w:r>
            <w:r>
              <w:rPr>
                <w:sz w:val="17"/>
                <w:szCs w:val="17"/>
              </w:rPr>
              <w:t xml:space="preserve"> — plus a localized "driver" attribution and a drafted, human-routed alert. Written to the dashboard Participant panel + feed with a Part-11 record.</w:t>
            </w:r>
          </w:p>
        </w:tc>
      </w:tr>
      <w:tr>
        <w:tc>
          <w:tcPr>
            <w:tcW w:type="dxa" w:w="468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b/>
                <w:bCs/>
                <w:sz w:val="17"/>
                <w:szCs w:val="17"/>
              </w:rPr>
              <w:t xml:space="preserve">Cadence</w:t>
            </w:r>
          </w:p>
        </w:tc>
        <w:tc>
          <w:tcPr>
            <w:tcW w:type="dxa" w:w="468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sz w:val="17"/>
                <w:szCs w:val="17"/>
              </w:rPr>
              <w:t xml:space="preserve">Re-score on every new safety/PK posting (near-real-time), and on a fixed daily sweep.</w:t>
            </w:r>
          </w:p>
        </w:tc>
      </w:tr>
    </w:tbl>
    <w:p>
      <w:pPr>
        <w:spacing w:after="60"/>
      </w:pPr>
    </w:p>
    <w:p>
      <w:pPr>
        <w:spacing w:after="120" w:line="270"/>
      </w:pPr>
      <w:r>
        <w:rPr>
          <w:b/>
          <w:bCs/>
        </w:rPr>
        <w:t xml:space="preserve">Authoritative-vs-advisory split (must be enforced in code):</w:t>
      </w:r>
      <w:r>
        <w:t xml:space="preserve"> the rule-based DLT/Hy's-Law/QTcF/exposure checks run </w:t>
      </w:r>
      <w:r>
        <w:rPr>
          <w:b/>
          <w:bCs/>
        </w:rPr>
        <w:t xml:space="preserve">first and independently</w:t>
      </w:r>
      <w:r>
        <w:t xml:space="preserve">; this engine runs alongside and can only </w:t>
      </w:r>
      <w:r>
        <w:rPr>
          <w:i/>
          <w:iCs/>
        </w:rPr>
        <w:t xml:space="preserve">raise attention earlier</w:t>
      </w:r>
      <w:r>
        <w:t xml:space="preserve">. A </w:t>
      </w:r>
      <w:r>
        <w:rPr>
          <w:rFonts w:ascii="Consolas" w:cs="Consolas" w:eastAsia="Consolas" w:hAnsi="Consolas"/>
        </w:rPr>
        <w:t xml:space="preserve">W_drift</w:t>
      </w:r>
      <w:r>
        <w:t xml:space="preserve">/</w:t>
      </w:r>
      <w:r>
        <w:rPr>
          <w:rFonts w:ascii="Consolas" w:cs="Consolas" w:eastAsia="Consolas" w:hAnsi="Consolas"/>
        </w:rPr>
        <w:t xml:space="preserve">F</w:t>
      </w:r>
      <w:r>
        <w:t xml:space="preserve"> signal never suppresses or overrides a rule trigger.</w:t>
      </w:r>
    </w:p>
    <w:p>
      <w:pPr>
        <w:pBdr>
          <w:bottom w:val="single" w:color="C7CFE2" w:sz="6" w:space="1"/>
        </w:pBdr>
        <w:spacing w:after="120" w:before="60"/>
      </w:pPr>
    </w:p>
    <w:p>
      <w:pPr>
        <w:pStyle w:val="Heading2"/>
      </w:pPr>
      <w:r>
        <w:t xml:space="preserve">2. Signal 1 — Wasserstein drift (Optimal Transport)</w:t>
      </w:r>
    </w:p>
    <w:p>
      <w:pPr>
        <w:spacing w:after="120" w:line="270"/>
      </w:pPr>
      <w:r>
        <w:rPr>
          <w:b/>
          <w:bCs/>
        </w:rPr>
        <w:t xml:space="preserve">Idea.</w:t>
      </w:r>
      <w:r>
        <w:t xml:space="preserve"> Instead of waiting for a value to cross a line, measure how far a participant's (or cohort's) </w:t>
      </w:r>
      <w:r>
        <w:rPr>
          <w:i/>
          <w:iCs/>
        </w:rPr>
        <w:t xml:space="preserve">distribution</w:t>
      </w:r>
      <w:r>
        <w:t xml:space="preserve"> of an analyte has moved from the meta-learned reference, in the </w:t>
      </w:r>
      <w:r>
        <w:rPr>
          <w:b/>
          <w:bCs/>
        </w:rPr>
        <w:t xml:space="preserve">ground metric of clinical severity</w:t>
      </w:r>
      <w:r>
        <w:t xml:space="preserve">.</w:t>
      </w:r>
    </w:p>
    <w:p>
      <w:pPr>
        <w:pStyle w:val="Heading3"/>
      </w:pPr>
      <w:r>
        <w:t xml:space="preserve">2.1 Ground metric</w:t>
      </w:r>
    </w:p>
    <w:p>
      <w:pPr>
        <w:spacing w:after="120" w:line="270"/>
      </w:pPr>
      <w:r>
        <w:t xml:space="preserve">Define </w:t>
      </w:r>
      <w:r>
        <w:rPr>
          <w:rFonts w:ascii="Consolas" w:cs="Consolas" w:eastAsia="Consolas" w:hAnsi="Consolas"/>
        </w:rPr>
        <w:t xml:space="preserve">d(x, y)</w:t>
      </w:r>
      <w:r>
        <w:t xml:space="preserve"> on each analyte's value space so distance reflects clinical danger, not raw units:</w:t>
      </w:r>
    </w:p>
    <w:p>
      <w:pPr>
        <w:pStyle w:val="ListParagraph"/>
        <w:numPr>
          <w:ilvl w:val="0"/>
          <w:numId w:val="1"/>
        </w:numPr>
        <w:spacing w:after="40" w:line="250"/>
      </w:pPr>
      <w:r>
        <w:rPr>
          <w:b/>
          <w:bCs/>
        </w:rPr>
        <w:t xml:space="preserve">LFTs / continuous safety:</w:t>
      </w:r>
      <w:r>
        <w:t xml:space="preserve"> work in </w:t>
      </w:r>
      <w:r>
        <w:rPr>
          <w:b/>
          <w:bCs/>
        </w:rPr>
        <w:t xml:space="preserve">×ULN</w:t>
      </w:r>
      <w:r>
        <w:t xml:space="preserve"> space (so the metric is comparable across analytes and aligned to the eDISH thresholds). Use </w:t>
      </w:r>
      <w:r>
        <w:rPr>
          <w:rFonts w:ascii="Consolas" w:cs="Consolas" w:eastAsia="Consolas" w:hAnsi="Consolas"/>
        </w:rPr>
        <w:t xml:space="preserve">d(x,y) = |g(x) − g(y)|</w:t>
      </w:r>
      <w:r>
        <w:t xml:space="preserve"> with </w:t>
      </w:r>
      <w:r>
        <w:rPr>
          <w:rFonts w:ascii="Consolas" w:cs="Consolas" w:eastAsia="Consolas" w:hAnsi="Consolas"/>
        </w:rPr>
        <w:t xml:space="preserve">g = log2(value/ULN)</w:t>
      </w:r>
      <w:r>
        <w:t xml:space="preserve"> so a doubling is one unit and tail moves toward Hy's-Law territory dominate.</w:t>
      </w:r>
    </w:p>
    <w:p>
      <w:pPr>
        <w:pStyle w:val="ListParagraph"/>
        <w:numPr>
          <w:ilvl w:val="0"/>
          <w:numId w:val="1"/>
        </w:numPr>
        <w:spacing w:after="40" w:line="250"/>
      </w:pPr>
      <w:r>
        <w:rPr>
          <w:b/>
          <w:bCs/>
        </w:rPr>
        <w:t xml:space="preserve">QTcF:</w:t>
      </w:r>
      <w:r>
        <w:t xml:space="preserve"> </w:t>
      </w:r>
      <w:r>
        <w:rPr>
          <w:rFonts w:ascii="Consolas" w:cs="Consolas" w:eastAsia="Consolas" w:hAnsi="Consolas"/>
        </w:rPr>
        <w:t xml:space="preserve">d</w:t>
      </w:r>
      <w:r>
        <w:t xml:space="preserve"> in ms (optionally asymmetric — penalize prolongation more than shortening).</w:t>
      </w:r>
    </w:p>
    <w:p>
      <w:pPr>
        <w:pStyle w:val="ListParagraph"/>
        <w:numPr>
          <w:ilvl w:val="0"/>
          <w:numId w:val="1"/>
        </w:numPr>
        <w:spacing w:after="40" w:line="250"/>
      </w:pPr>
      <w:r>
        <w:rPr>
          <w:b/>
          <w:bCs/>
        </w:rPr>
        <w:t xml:space="preserve">PK exposure:</w:t>
      </w:r>
      <w:r>
        <w:t xml:space="preserve"> </w:t>
      </w:r>
      <w:r>
        <w:rPr>
          <w:rFonts w:ascii="Consolas" w:cs="Consolas" w:eastAsia="Consolas" w:hAnsi="Consolas"/>
        </w:rPr>
        <w:t xml:space="preserve">d</w:t>
      </w:r>
      <w:r>
        <w:t xml:space="preserve"> in units of the NOAEL-scaled margin (multiples of the cap).</w:t>
      </w:r>
    </w:p>
    <w:p>
      <w:pPr>
        <w:pStyle w:val="ListParagraph"/>
        <w:numPr>
          <w:ilvl w:val="0"/>
          <w:numId w:val="1"/>
        </w:numPr>
        <w:spacing w:after="40" w:line="250"/>
      </w:pPr>
      <w:r>
        <w:rPr>
          <w:b/>
          <w:bCs/>
        </w:rPr>
        <w:t xml:space="preserve">Ordinal CTCAE grade:</w:t>
      </w:r>
      <w:r>
        <w:t xml:space="preserve"> </w:t>
      </w:r>
      <w:r>
        <w:rPr>
          <w:rFonts w:ascii="Consolas" w:cs="Consolas" w:eastAsia="Consolas" w:hAnsi="Consolas"/>
        </w:rPr>
        <w:t xml:space="preserve">d(i,j) = |i − j|</w:t>
      </w:r>
      <w:r>
        <w:t xml:space="preserve"> (or a convex, grade-escalation-weighted cost).</w:t>
      </w:r>
    </w:p>
    <w:p>
      <w:pPr>
        <w:pStyle w:val="Heading3"/>
      </w:pPr>
      <w:r>
        <w:t xml:space="preserve">2.2 Distance</w:t>
      </w:r>
    </w:p>
    <w:p>
      <w:pPr>
        <w:spacing w:after="120" w:line="270"/>
      </w:pPr>
      <w:r>
        <w:t xml:space="preserve">1-D Wasserstein-p has a closed form via the inverse CDF (a sort) — cheap and exact:</w:t>
      </w:r>
    </w:p>
    <w:p>
      <w:pPr>
        <w:pBdr>
          <w:left w:val="single" w:color="6D28D9" w:sz="14" w:space="8"/>
        </w:pBdr>
        <w:shd w:fill="F2F1FB" w:val="clear"/>
        <w:spacing w:after="80" w:before="80" w:line="230"/>
      </w:pPr>
      <w:r>
        <w:rPr>
          <w:rFonts w:ascii="Consolas" w:cs="Consolas" w:eastAsia="Consolas" w:hAnsi="Consolas"/>
          <w:color w:val="241A3D"/>
          <w:sz w:val="16"/>
          <w:szCs w:val="16"/>
        </w:rPr>
        <w:t xml:space="preserve">W_p(μ, ν) = ( ∫_0^1 | F_μ^{-1}(t) − F_ν^{-1}(t) |^p dt )^{1/p}        # 1-D: sort both samples, integrate quantile gap</w:t>
      </w:r>
    </w:p>
    <w:p>
      <w:pPr>
        <w:spacing w:after="120" w:line="270"/>
      </w:pPr>
      <w:r>
        <w:t xml:space="preserve">Use </w:t>
      </w:r>
      <w:r>
        <w:rPr>
          <w:b/>
          <w:bCs/>
        </w:rPr>
        <w:t xml:space="preserve">p = 2</w:t>
      </w:r>
      <w:r>
        <w:t xml:space="preserve"> (penalizes large moves — the dangerous ones — more than W₁). For the </w:t>
      </w:r>
      <w:r>
        <w:rPr>
          <w:b/>
          <w:bCs/>
        </w:rPr>
        <w:t xml:space="preserve">multivariate</w:t>
      </w:r>
      <w:r>
        <w:t xml:space="preserve"> participant vector (LFT panel + QTcF + exposure jointly), use </w:t>
      </w:r>
      <w:r>
        <w:rPr>
          <w:b/>
          <w:bCs/>
        </w:rPr>
        <w:t xml:space="preserve">sliced-Wasserstein</w:t>
      </w:r>
      <w:r>
        <w:t xml:space="preserve">, which averages 1-D projections and stays light enough for on-device:</w:t>
      </w:r>
    </w:p>
    <w:p>
      <w:pPr>
        <w:pBdr>
          <w:left w:val="single" w:color="6D28D9" w:sz="14" w:space="8"/>
        </w:pBdr>
        <w:shd w:fill="F2F1FB" w:val="clear"/>
        <w:spacing w:after="80" w:before="80" w:line="230"/>
      </w:pPr>
      <w:r>
        <w:rPr>
          <w:rFonts w:ascii="Consolas" w:cs="Consolas" w:eastAsia="Consolas" w:hAnsi="Consolas"/>
          <w:color w:val="241A3D"/>
          <w:sz w:val="16"/>
          <w:szCs w:val="16"/>
        </w:rPr>
        <w:t xml:space="preserve">SW_2^2(μ, ν) = E_{θ ~ U(S^{d-1})} [ W_2^2( θ·μ , θ·ν ) ]   ≈  (1/L) Σ_{l=1..L} W_2^2( proj_{θ_l} μ , proj_{θ_l} ν )</w:t>
      </w:r>
    </w:p>
    <w:p>
      <w:pPr>
        <w:spacing w:after="120" w:line="270"/>
      </w:pPr>
      <w:r>
        <w:t xml:space="preserve">with </w:t>
      </w:r>
      <w:r>
        <w:rPr>
          <w:rFonts w:ascii="Consolas" w:cs="Consolas" w:eastAsia="Consolas" w:hAnsi="Consolas"/>
        </w:rPr>
        <w:t xml:space="preserve">L</w:t>
      </w:r>
      <w:r>
        <w:t xml:space="preserve"> fixed projection directions (e.g. L = 64), frozen with the model for reproducibility.</w:t>
      </w:r>
    </w:p>
    <w:p>
      <w:pPr>
        <w:pStyle w:val="Heading3"/>
      </w:pPr>
      <w:r>
        <w:t xml:space="preserve">2.3 Drift score and localization</w:t>
      </w:r>
    </w:p>
    <w:p>
      <w:pPr>
        <w:spacing w:after="120" w:line="270"/>
      </w:pPr>
      <w:r>
        <w:rPr>
          <w:rFonts w:ascii="Consolas" w:cs="Consolas" w:eastAsia="Consolas" w:hAnsi="Consolas"/>
        </w:rPr>
        <w:t xml:space="preserve">W_drift(participant) = SW_2( participant_window , reference_barycenter )</w:t>
      </w:r>
      <w:r>
        <w:t xml:space="preserve">, computed over a rolling window (e.g. the participant's on-treatment trajectory to date).</w:t>
      </w:r>
    </w:p>
    <w:p>
      <w:pPr>
        <w:spacing w:after="120" w:line="270"/>
      </w:pPr>
      <w:r>
        <w:rPr>
          <w:b/>
          <w:bCs/>
        </w:rPr>
        <w:t xml:space="preserve">Localization (why the flag is actionable):</w:t>
      </w:r>
      <w:r>
        <w:t xml:space="preserve"> the 1-D optimal coupling on the </w:t>
      </w:r>
      <w:r>
        <w:rPr>
          <w:i/>
          <w:iCs/>
        </w:rPr>
        <w:t xml:space="preserve">worst</w:t>
      </w:r>
      <w:r>
        <w:t xml:space="preserve"> slice is a monotone rearrangement; report the analyte(s) and the value band contributing most to the distance — e.g. </w:t>
      </w:r>
      <w:r>
        <w:rPr>
          <w:i/>
          <w:iCs/>
        </w:rPr>
        <w:t xml:space="preserve">"drift driven by the upper-tail of ALT (×ULN), day 7→9."</w:t>
      </w:r>
      <w:r>
        <w:t xml:space="preserve"> This is what the medical monitor reads.</w:t>
      </w:r>
    </w:p>
    <w:p>
      <w:pPr>
        <w:pStyle w:val="Heading3"/>
      </w:pPr>
      <w:r>
        <w:t xml:space="preserve">2.4 Trigger</w:t>
      </w:r>
    </w:p>
    <w:p>
      <w:pPr>
        <w:spacing w:after="120" w:line="270"/>
      </w:pPr>
      <w:r>
        <w:t xml:space="preserve">Maintain a </w:t>
      </w:r>
      <w:r>
        <w:rPr>
          <w:b/>
          <w:bCs/>
        </w:rPr>
        <w:t xml:space="preserve">control band</w:t>
      </w:r>
      <w:r>
        <w:t xml:space="preserve"> for </w:t>
      </w:r>
      <w:r>
        <w:rPr>
          <w:rFonts w:ascii="Consolas" w:cs="Consolas" w:eastAsia="Consolas" w:hAnsi="Consolas"/>
        </w:rPr>
        <w:t xml:space="preserve">W_drift</w:t>
      </w:r>
      <w:r>
        <w:t xml:space="preserve"> from the reference (Section 4): flag when </w:t>
      </w:r>
      <w:r>
        <w:rPr>
          <w:rFonts w:ascii="Consolas" w:cs="Consolas" w:eastAsia="Consolas" w:hAnsi="Consolas"/>
        </w:rPr>
        <w:t xml:space="preserve">W_drift</w:t>
      </w:r>
      <w:r>
        <w:t xml:space="preserve"> leaves the band </w:t>
      </w:r>
      <w:r>
        <w:rPr>
          <w:b/>
          <w:bCs/>
        </w:rPr>
        <w:t xml:space="preserve">and</w:t>
      </w:r>
      <w:r>
        <w:t xml:space="preserve"> is trending toward worsening (sign of the tail move). Bands are per-analyte and per-cohort-position (later cohorts expect more drift as dose climbs — encoded in the reference).</w:t>
      </w:r>
    </w:p>
    <w:p>
      <w:pPr>
        <w:pBdr>
          <w:left w:val="single" w:color="6D28D9" w:sz="14" w:space="8"/>
        </w:pBdr>
        <w:shd w:fill="F2F1FB" w:val="clear"/>
        <w:spacing w:after="0" w:before="80" w:line="230"/>
      </w:pPr>
      <w:r>
        <w:rPr>
          <w:rFonts w:ascii="Consolas" w:cs="Consolas" w:eastAsia="Consolas" w:hAnsi="Consolas"/>
          <w:color w:val="241A3D"/>
          <w:sz w:val="16"/>
          <w:szCs w:val="16"/>
        </w:rPr>
        <w:t xml:space="preserve">def w_drift(participant_window, ref_bary, dirs, p=2):</w:t>
      </w:r>
    </w:p>
    <w:p>
      <w:pPr>
        <w:pBdr>
          <w:left w:val="single" w:color="6D28D9" w:sz="14" w:space="8"/>
        </w:pBdr>
        <w:shd w:fill="F2F1FB" w:val="clear"/>
        <w:spacing w:after="0" w:before="0" w:line="230"/>
      </w:pPr>
      <w:r>
        <w:rPr>
          <w:rFonts w:ascii="Consolas" w:cs="Consolas" w:eastAsia="Consolas" w:hAnsi="Consolas"/>
          <w:color w:val="241A3D"/>
          <w:sz w:val="16"/>
          <w:szCs w:val="16"/>
        </w:rPr>
        <w:t xml:space="preserve">    # participant_window, ref_bary: arrays in ground-metric space (×ULN, ms, margin-multiples)</w:t>
      </w:r>
    </w:p>
    <w:p>
      <w:pPr>
        <w:pBdr>
          <w:left w:val="single" w:color="6D28D9" w:sz="14" w:space="8"/>
        </w:pBdr>
        <w:shd w:fill="F2F1FB" w:val="clear"/>
        <w:spacing w:after="0" w:before="0" w:line="230"/>
      </w:pPr>
      <w:r>
        <w:rPr>
          <w:rFonts w:ascii="Consolas" w:cs="Consolas" w:eastAsia="Consolas" w:hAnsi="Consolas"/>
          <w:color w:val="241A3D"/>
          <w:sz w:val="16"/>
          <w:szCs w:val="16"/>
        </w:rPr>
        <w:t xml:space="preserve">    s = sliced_wasserstein(participant_window, ref_bary, dirs, p)        # SW_2</w:t>
      </w:r>
    </w:p>
    <w:p>
      <w:pPr>
        <w:pBdr>
          <w:left w:val="single" w:color="6D28D9" w:sz="14" w:space="8"/>
        </w:pBdr>
        <w:shd w:fill="F2F1FB" w:val="clear"/>
        <w:spacing w:after="0" w:before="0" w:line="230"/>
      </w:pPr>
      <w:r>
        <w:rPr>
          <w:rFonts w:ascii="Consolas" w:cs="Consolas" w:eastAsia="Consolas" w:hAnsi="Consolas"/>
          <w:color w:val="241A3D"/>
          <w:sz w:val="16"/>
          <w:szCs w:val="16"/>
        </w:rPr>
        <w:t xml:space="preserve">    driver = worst_slice_attribution(participant_window, ref_bary, dirs) # analyte + value band</w:t>
      </w:r>
    </w:p>
    <w:p>
      <w:pPr>
        <w:pBdr>
          <w:left w:val="single" w:color="6D28D9" w:sz="14" w:space="8"/>
        </w:pBdr>
        <w:shd w:fill="F2F1FB" w:val="clear"/>
        <w:spacing w:after="0" w:before="0" w:line="230"/>
      </w:pPr>
      <w:r>
        <w:rPr>
          <w:rFonts w:ascii="Consolas" w:cs="Consolas" w:eastAsia="Consolas" w:hAnsi="Consolas"/>
          <w:color w:val="241A3D"/>
          <w:sz w:val="16"/>
          <w:szCs w:val="16"/>
        </w:rPr>
        <w:t xml:space="preserve">    return s, driver</w:t>
      </w:r>
    </w:p>
    <w:p>
      <w:pPr>
        <w:pBdr>
          <w:left w:val="single" w:color="6D28D9" w:sz="14" w:space="8"/>
        </w:pBdr>
        <w:shd w:fill="F2F1FB" w:val="clear"/>
        <w:spacing w:after="0" w:before="0" w:line="230"/>
      </w:pPr>
      <w:r>
        <w:rPr>
          <w:rFonts w:ascii="Consolas" w:cs="Consolas" w:eastAsia="Consolas" w:hAnsi="Consolas"/>
          <w:color w:val="241A3D"/>
          <w:sz w:val="16"/>
          <w:szCs w:val="16"/>
        </w:rPr>
        <w:t xml:space="preserve"> </w:t>
      </w:r>
    </w:p>
    <w:p>
      <w:pPr>
        <w:pBdr>
          <w:left w:val="single" w:color="6D28D9" w:sz="14" w:space="8"/>
        </w:pBdr>
        <w:shd w:fill="F2F1FB" w:val="clear"/>
        <w:spacing w:after="0" w:before="0" w:line="230"/>
      </w:pPr>
      <w:r>
        <w:rPr>
          <w:rFonts w:ascii="Consolas" w:cs="Consolas" w:eastAsia="Consolas" w:hAnsi="Consolas"/>
          <w:color w:val="241A3D"/>
          <w:sz w:val="16"/>
          <w:szCs w:val="16"/>
        </w:rPr>
        <w:t xml:space="preserve">def drift_flag(s, band, trend):</w:t>
      </w:r>
    </w:p>
    <w:p>
      <w:pPr>
        <w:pBdr>
          <w:left w:val="single" w:color="6D28D9" w:sz="14" w:space="8"/>
        </w:pBdr>
        <w:shd w:fill="F2F1FB" w:val="clear"/>
        <w:spacing w:after="80" w:before="0" w:line="230"/>
      </w:pPr>
      <w:r>
        <w:rPr>
          <w:rFonts w:ascii="Consolas" w:cs="Consolas" w:eastAsia="Consolas" w:hAnsi="Consolas"/>
          <w:color w:val="241A3D"/>
          <w:sz w:val="16"/>
          <w:szCs w:val="16"/>
        </w:rPr>
        <w:t xml:space="preserve">    return (s &gt; band.upper) and (trend &gt; 0)   # advisory only; never suppresses a rule trigger</w:t>
      </w:r>
    </w:p>
    <w:p>
      <w:pPr>
        <w:pBdr>
          <w:bottom w:val="single" w:color="C7CFE2" w:sz="6" w:space="1"/>
        </w:pBdr>
        <w:spacing w:after="120" w:before="60"/>
      </w:pPr>
    </w:p>
    <w:p>
      <w:pPr>
        <w:pStyle w:val="Heading2"/>
      </w:pPr>
      <w:r>
        <w:t xml:space="preserve">3. Signal 2+3 — Active Inference (free-energy surprise + EFE action)</w:t>
      </w:r>
    </w:p>
    <w:p>
      <w:pPr>
        <w:spacing w:after="120" w:line="270"/>
      </w:pPr>
      <w:r>
        <w:rPr>
          <w:b/>
          <w:bCs/>
        </w:rPr>
        <w:t xml:space="preserve">Generative model (per participant).</w:t>
      </w:r>
      <w:r>
        <w:t xml:space="preserve"> A small state-space model of the </w:t>
      </w:r>
      <w:r>
        <w:rPr>
          <w:i/>
          <w:iCs/>
        </w:rPr>
        <w:t xml:space="preserve">expected</w:t>
      </w:r>
      <w:r>
        <w:t xml:space="preserve"> on-treatment trajectory: latent health state </w:t>
      </w:r>
      <w:r>
        <w:rPr>
          <w:rFonts w:ascii="Consolas" w:cs="Consolas" w:eastAsia="Consolas" w:hAnsi="Consolas"/>
        </w:rPr>
        <w:t xml:space="preserve">s_t</w:t>
      </w:r>
      <w:r>
        <w:t xml:space="preserve">, observations </w:t>
      </w:r>
      <w:r>
        <w:rPr>
          <w:rFonts w:ascii="Consolas" w:cs="Consolas" w:eastAsia="Consolas" w:hAnsi="Consolas"/>
        </w:rPr>
        <w:t xml:space="preserve">o_t</w:t>
      </w:r>
      <w:r>
        <w:t xml:space="preserve"> (the analyte vector), transition </w:t>
      </w:r>
      <w:r>
        <w:rPr>
          <w:rFonts w:ascii="Consolas" w:cs="Consolas" w:eastAsia="Consolas" w:hAnsi="Consolas"/>
        </w:rPr>
        <w:t xml:space="preserve">p(s_t | s_{t-1})</w:t>
      </w:r>
      <w:r>
        <w:t xml:space="preserve"> and likelihood </w:t>
      </w:r>
      <w:r>
        <w:rPr>
          <w:rFonts w:ascii="Consolas" w:cs="Consolas" w:eastAsia="Consolas" w:hAnsi="Consolas"/>
        </w:rPr>
        <w:t xml:space="preserve">p(o_t | s_t)</w:t>
      </w:r>
      <w:r>
        <w:t xml:space="preserve"> whose parameters are the </w:t>
      </w:r>
      <w:r>
        <w:rPr>
          <w:b/>
          <w:bCs/>
        </w:rPr>
        <w:t xml:space="preserve">meta-learned priors</w:t>
      </w:r>
      <w:r>
        <w:t xml:space="preserve"> (Section 4). The </w:t>
      </w:r>
      <w:r>
        <w:rPr>
          <w:b/>
          <w:bCs/>
        </w:rPr>
        <w:t xml:space="preserve">preferred observations</w:t>
      </w:r>
      <w:r>
        <w:t xml:space="preserve"> </w:t>
      </w:r>
      <w:r>
        <w:rPr>
          <w:rFonts w:ascii="Consolas" w:cs="Consolas" w:eastAsia="Consolas" w:hAnsi="Consolas"/>
        </w:rPr>
        <w:t xml:space="preserve">C</w:t>
      </w:r>
      <w:r>
        <w:t xml:space="preserve"> encode the safety/quality tolerances (QTLs, exposure caps, expected analyte ranges).</w:t>
      </w:r>
    </w:p>
    <w:p>
      <w:pPr>
        <w:pStyle w:val="Heading3"/>
      </w:pPr>
      <w:r>
        <w:t xml:space="preserve">3.1 Signal 2 — Variational free energy = surprise (early warning)</w:t>
      </w:r>
    </w:p>
    <w:p>
      <w:pPr>
        <w:spacing w:after="120" w:line="270"/>
      </w:pPr>
      <w:r>
        <w:t xml:space="preserve">On each new observation, update beliefs </w:t>
      </w:r>
      <w:r>
        <w:rPr>
          <w:rFonts w:ascii="Consolas" w:cs="Consolas" w:eastAsia="Consolas" w:hAnsi="Consolas"/>
        </w:rPr>
        <w:t xml:space="preserve">q(s)</w:t>
      </w:r>
      <w:r>
        <w:t xml:space="preserve"> by minimizing free energy (variational Bayesian belief-updating). The </w:t>
      </w:r>
      <w:r>
        <w:rPr>
          <w:b/>
          <w:bCs/>
        </w:rPr>
        <w:t xml:space="preserve">same F has two equal forms</w:t>
      </w:r>
      <w:r>
        <w:t xml:space="preserve"> — one shows the bound, one is what you compute:</w:t>
      </w:r>
    </w:p>
    <w:p>
      <w:pPr>
        <w:pBdr>
          <w:left w:val="single" w:color="6D28D9" w:sz="14" w:space="8"/>
        </w:pBdr>
        <w:shd w:fill="F2F1FB" w:val="clear"/>
        <w:spacing w:after="0" w:before="80" w:line="230"/>
      </w:pPr>
      <w:r>
        <w:rPr>
          <w:rFonts w:ascii="Consolas" w:cs="Consolas" w:eastAsia="Consolas" w:hAnsi="Consolas"/>
          <w:color w:val="241A3D"/>
          <w:sz w:val="16"/>
          <w:szCs w:val="16"/>
        </w:rPr>
        <w:t xml:space="preserve">F = D_KL[ q(s) ‖ p(s | o) ] − ln p(o)   ≥   − ln p(o)        # the bound (KL ≥ 0): F upper-bounds the surprisal</w:t>
      </w:r>
    </w:p>
    <w:p>
      <w:pPr>
        <w:pBdr>
          <w:left w:val="single" w:color="6D28D9" w:sz="14" w:space="8"/>
        </w:pBdr>
        <w:shd w:fill="F2F1FB" w:val="clear"/>
        <w:spacing w:after="80" w:before="0" w:line="230"/>
      </w:pPr>
      <w:r>
        <w:rPr>
          <w:rFonts w:ascii="Consolas" w:cs="Consolas" w:eastAsia="Consolas" w:hAnsi="Consolas"/>
          <w:color w:val="241A3D"/>
          <w:sz w:val="16"/>
          <w:szCs w:val="16"/>
        </w:rPr>
        <w:t xml:space="preserve">  = D_KL[ q(s) ‖ p(s) ]      − E_q[ ln p(o | s) ]            # complexity − accuracy  (what you compute)</w:t>
      </w:r>
    </w:p>
    <w:p>
      <w:pPr>
        <w:spacing w:after="120" w:line="270"/>
      </w:pPr>
      <w:r>
        <w:t xml:space="preserve">Under exact inference the bound is tight (</w:t>
      </w:r>
      <w:r>
        <w:rPr>
          <w:rFonts w:ascii="Consolas" w:cs="Consolas" w:eastAsia="Consolas" w:hAnsi="Consolas"/>
        </w:rPr>
        <w:t xml:space="preserve">F = −ln p(o)</w:t>
      </w:r>
      <w:r>
        <w:t xml:space="preserve"> when </w:t>
      </w:r>
      <w:r>
        <w:rPr>
          <w:rFonts w:ascii="Consolas" w:cs="Consolas" w:eastAsia="Consolas" w:hAnsi="Consolas"/>
        </w:rPr>
        <w:t xml:space="preserve">q = p(s|o)</w:t>
      </w:r>
      <w:r>
        <w:t xml:space="preserve">); with a restricted family it is a generally non-tight upper bound. Either way, </w:t>
      </w:r>
      <w:r>
        <w:rPr>
          <w:b/>
          <w:bCs/>
        </w:rPr>
        <w:t xml:space="preserve">`F_surprise` rising = the participant is doing something the model didn't expect</w:t>
      </w:r>
      <w:r>
        <w:t xml:space="preserve"> — an anticipatory deviation signal, </w:t>
      </w:r>
      <w:r>
        <w:rPr>
          <w:i/>
          <w:iCs/>
        </w:rPr>
        <w:t xml:space="preserve">before</w:t>
      </w:r>
      <w:r>
        <w:t xml:space="preserve"> a frank threshold event. Precision-weight per participant; flag when </w:t>
      </w:r>
      <w:r>
        <w:rPr>
          <w:rFonts w:ascii="Consolas" w:cs="Consolas" w:eastAsia="Consolas" w:hAnsi="Consolas"/>
        </w:rPr>
        <w:t xml:space="preserve">F</w:t>
      </w:r>
      <w:r>
        <w:t xml:space="preserve"> exceeds its rolling band.</w:t>
      </w:r>
    </w:p>
    <w:p>
      <w:pPr>
        <w:pBdr>
          <w:left w:val="single" w:color="1E2761" w:sz="18" w:space="10"/>
        </w:pBdr>
        <w:shd w:fill="EEF2FA" w:val="clear"/>
        <w:spacing w:after="100" w:before="100"/>
        <w:ind w:left="300"/>
      </w:pPr>
      <w:r>
        <w:rPr>
          <w:i/>
          <w:iCs/>
          <w:color w:val="555F77"/>
        </w:rPr>
        <w:t xml:space="preserve">Watch </w:t>
      </w:r>
      <w:r>
        <w:rPr>
          <w:b/>
          <w:bCs/>
          <w:i/>
          <w:iCs/>
          <w:color w:val="555F77"/>
        </w:rPr>
        <w:t xml:space="preserve">two</w:t>
      </w:r>
      <w:r>
        <w:rPr>
          <w:i/>
          <w:iCs/>
          <w:color w:val="555F77"/>
        </w:rPr>
        <w:t xml:space="preserve"> distinct things: </w:t>
      </w:r>
      <w:r>
        <w:rPr>
          <w:b/>
          <w:bCs/>
          <w:i/>
          <w:iCs/>
          <w:color w:val="555F77"/>
        </w:rPr>
        <w:t xml:space="preserve">surprise</w:t>
      </w:r>
      <w:r>
        <w:rPr>
          <w:i/>
          <w:iCs/>
          <w:color w:val="555F77"/>
        </w:rPr>
        <w:t xml:space="preserve"> (</w:t>
      </w:r>
      <w:r>
        <w:rPr>
          <w:rFonts w:ascii="Consolas" w:cs="Consolas" w:eastAsia="Consolas" w:hAnsi="Consolas"/>
          <w:i/>
          <w:iCs/>
          <w:color w:val="555F77"/>
        </w:rPr>
        <w:t xml:space="preserve">F</w:t>
      </w:r>
      <w:r>
        <w:rPr>
          <w:i/>
          <w:iCs/>
          <w:color w:val="555F77"/>
        </w:rPr>
        <w:t xml:space="preserve"> rising — unexpected) and </w:t>
      </w:r>
      <w:r>
        <w:rPr>
          <w:b/>
          <w:bCs/>
          <w:i/>
          <w:iCs/>
          <w:color w:val="555F77"/>
        </w:rPr>
        <w:t xml:space="preserve">preference-divergence</w:t>
      </w:r>
      <w:r>
        <w:rPr>
          <w:i/>
          <w:iCs/>
          <w:color w:val="555F77"/>
        </w:rPr>
        <w:t xml:space="preserve"> (outcomes drifting from the preferred QTL state, scored against </w:t>
      </w:r>
      <w:r>
        <w:rPr>
          <w:rFonts w:ascii="Consolas" w:cs="Consolas" w:eastAsia="Consolas" w:hAnsi="Consolas"/>
          <w:i/>
          <w:iCs/>
          <w:color w:val="555F77"/>
        </w:rPr>
        <w:t xml:space="preserve">C</w:t>
      </w:r>
      <w:r>
        <w:rPr>
          <w:i/>
          <w:iCs/>
          <w:color w:val="555F77"/>
        </w:rPr>
        <w:t xml:space="preserve">). They usually move together, but a trajectory can drift toward a fully </w:t>
      </w:r>
      <w:r>
        <w:rPr>
          <w:i/>
          <w:iCs/>
          <w:color w:val="555F77"/>
        </w:rPr>
        <w:t xml:space="preserve">predicted</w:t>
      </w:r>
      <w:r>
        <w:rPr>
          <w:i/>
          <w:iCs/>
          <w:color w:val="555F77"/>
        </w:rPr>
        <w:t xml:space="preserve"> bad state (low surprise, high preference-divergence) — catch both.</w:t>
      </w:r>
    </w:p>
    <w:p>
      <w:pPr>
        <w:pStyle w:val="Heading3"/>
      </w:pPr>
      <w:r>
        <w:t xml:space="preserve">3.2 Signal 3 — Expected Free Energy = what to monitor next</w:t>
      </w:r>
    </w:p>
    <w:p>
      <w:pPr>
        <w:spacing w:after="120" w:line="270"/>
      </w:pPr>
      <w:r>
        <w:t xml:space="preserve">Choose the next monitoring/data-collection action (e.g. an unscheduled LFT/ECG/PK draw) by </w:t>
      </w:r>
      <w:r>
        <w:rPr>
          <w:b/>
          <w:bCs/>
        </w:rPr>
        <w:t xml:space="preserve">minimizing expected free energy</w:t>
      </w:r>
      <w:r>
        <w:t xml:space="preserve"> over candidate observations:</w:t>
      </w:r>
    </w:p>
    <w:p>
      <w:pPr>
        <w:pBdr>
          <w:left w:val="single" w:color="6D28D9" w:sz="14" w:space="8"/>
        </w:pBdr>
        <w:shd w:fill="F2F1FB" w:val="clear"/>
        <w:spacing w:after="0" w:before="80" w:line="230"/>
      </w:pPr>
      <w:r>
        <w:rPr>
          <w:rFonts w:ascii="Consolas" w:cs="Consolas" w:eastAsia="Consolas" w:hAnsi="Consolas"/>
          <w:color w:val="241A3D"/>
          <w:sz w:val="16"/>
          <w:szCs w:val="16"/>
        </w:rPr>
        <w:t xml:space="preserve">π* = argmin_π  G(π),   G(π) = −E[ information gain ]  −  E_q[ ln p(o | C) ]</w:t>
      </w:r>
    </w:p>
    <w:p>
      <w:pPr>
        <w:pBdr>
          <w:left w:val="single" w:color="6D28D9" w:sz="14" w:space="8"/>
        </w:pBdr>
        <w:shd w:fill="F2F1FB" w:val="clear"/>
        <w:spacing w:after="80" w:before="0" w:line="230"/>
      </w:pPr>
      <w:r>
        <w:rPr>
          <w:rFonts w:ascii="Consolas" w:cs="Consolas" w:eastAsia="Consolas" w:hAnsi="Consolas"/>
          <w:color w:val="241A3D"/>
          <w:sz w:val="16"/>
          <w:szCs w:val="16"/>
        </w:rPr>
        <w:t xml:space="preserve">                                └ epistemic ┘            └ pragmatic (utility) ┘</w:t>
      </w:r>
    </w:p>
    <w:p>
      <w:pPr>
        <w:spacing w:after="120" w:line="270"/>
      </w:pPr>
      <w:r>
        <w:t xml:space="preserve">The agent </w:t>
      </w:r>
      <w:r>
        <w:rPr>
          <w:b/>
          <w:bCs/>
        </w:rPr>
        <w:t xml:space="preserve">minimizes G</w:t>
      </w:r>
      <w:r>
        <w:t xml:space="preserve">; because both terms are negated, that </w:t>
      </w:r>
      <w:r>
        <w:rPr>
          <w:b/>
          <w:bCs/>
        </w:rPr>
        <w:t xml:space="preserve">maximizes</w:t>
      </w:r>
      <w:r>
        <w:t xml:space="preserve"> expected information gain (the epistemic term — pick the assessment that most reduces uncertainty about emerging DLT risk) and the expected log-preference </w:t>
      </w:r>
      <w:r>
        <w:rPr>
          <w:rFonts w:ascii="Consolas" w:cs="Consolas" w:eastAsia="Consolas" w:hAnsi="Consolas"/>
        </w:rPr>
        <w:t xml:space="preserve">ln p(o|C)</w:t>
      </w:r>
      <w:r>
        <w:t xml:space="preserve"> (the pragmatic term — favor reaching the safe, on-track state; </w:t>
      </w:r>
      <w:r>
        <w:rPr>
          <w:rFonts w:ascii="Consolas" w:cs="Consolas" w:eastAsia="Consolas" w:hAnsi="Consolas"/>
        </w:rPr>
        <w:t xml:space="preserve">C</w:t>
      </w:r>
      <w:r>
        <w:t xml:space="preserve"> is the utility). Output: the highest-value assessment, surfaced to the medical monitor </w:t>
      </w:r>
      <w:r>
        <w:rPr>
          <w:b/>
          <w:bCs/>
        </w:rPr>
        <w:t xml:space="preserve">as a suggestion to approve</w:t>
      </w:r>
      <w:r>
        <w:t xml:space="preserve">, with its expected information gain shown.</w:t>
      </w:r>
    </w:p>
    <w:p>
      <w:pPr>
        <w:pBdr>
          <w:left w:val="single" w:color="6D28D9" w:sz="14" w:space="8"/>
        </w:pBdr>
        <w:shd w:fill="F2F1FB" w:val="clear"/>
        <w:spacing w:after="0" w:before="80" w:line="230"/>
      </w:pPr>
      <w:r>
        <w:rPr>
          <w:rFonts w:ascii="Consolas" w:cs="Consolas" w:eastAsia="Consolas" w:hAnsi="Consolas"/>
          <w:color w:val="241A3D"/>
          <w:sz w:val="16"/>
          <w:szCs w:val="16"/>
        </w:rPr>
        <w:t xml:space="preserve">def free_energy(q, prior_s, loglik):          # F = complexity − accuracy</w:t>
      </w:r>
    </w:p>
    <w:p>
      <w:pPr>
        <w:pBdr>
          <w:left w:val="single" w:color="6D28D9" w:sz="14" w:space="8"/>
        </w:pBdr>
        <w:shd w:fill="F2F1FB" w:val="clear"/>
        <w:spacing w:after="0" w:before="0" w:line="230"/>
      </w:pPr>
      <w:r>
        <w:rPr>
          <w:rFonts w:ascii="Consolas" w:cs="Consolas" w:eastAsia="Consolas" w:hAnsi="Consolas"/>
          <w:color w:val="241A3D"/>
          <w:sz w:val="16"/>
          <w:szCs w:val="16"/>
        </w:rPr>
        <w:t xml:space="preserve">    return kl(q, prior_s) - expect(q, loglik)</w:t>
      </w:r>
    </w:p>
    <w:p>
      <w:pPr>
        <w:pBdr>
          <w:left w:val="single" w:color="6D28D9" w:sz="14" w:space="8"/>
        </w:pBdr>
        <w:shd w:fill="F2F1FB" w:val="clear"/>
        <w:spacing w:after="0" w:before="0" w:line="230"/>
      </w:pPr>
      <w:r>
        <w:rPr>
          <w:rFonts w:ascii="Consolas" w:cs="Consolas" w:eastAsia="Consolas" w:hAnsi="Consolas"/>
          <w:color w:val="241A3D"/>
          <w:sz w:val="16"/>
          <w:szCs w:val="16"/>
        </w:rPr>
        <w:t xml:space="preserve"> </w:t>
      </w:r>
    </w:p>
    <w:p>
      <w:pPr>
        <w:pBdr>
          <w:left w:val="single" w:color="6D28D9" w:sz="14" w:space="8"/>
        </w:pBdr>
        <w:shd w:fill="F2F1FB" w:val="clear"/>
        <w:spacing w:after="0" w:before="0" w:line="230"/>
      </w:pPr>
      <w:r>
        <w:rPr>
          <w:rFonts w:ascii="Consolas" w:cs="Consolas" w:eastAsia="Consolas" w:hAnsi="Consolas"/>
          <w:color w:val="241A3D"/>
          <w:sz w:val="16"/>
          <w:szCs w:val="16"/>
        </w:rPr>
        <w:t xml:space="preserve">def efe(candidate_obs, q, model, C):          # rank candidate assessments</w:t>
      </w:r>
    </w:p>
    <w:p>
      <w:pPr>
        <w:pBdr>
          <w:left w:val="single" w:color="6D28D9" w:sz="14" w:space="8"/>
        </w:pBdr>
        <w:shd w:fill="F2F1FB" w:val="clear"/>
        <w:spacing w:after="0" w:before="0" w:line="230"/>
      </w:pPr>
      <w:r>
        <w:rPr>
          <w:rFonts w:ascii="Consolas" w:cs="Consolas" w:eastAsia="Consolas" w:hAnsi="Consolas"/>
          <w:color w:val="241A3D"/>
          <w:sz w:val="16"/>
          <w:szCs w:val="16"/>
        </w:rPr>
        <w:t xml:space="preserve">    scored = []</w:t>
      </w:r>
    </w:p>
    <w:p>
      <w:pPr>
        <w:pBdr>
          <w:left w:val="single" w:color="6D28D9" w:sz="14" w:space="8"/>
        </w:pBdr>
        <w:shd w:fill="F2F1FB" w:val="clear"/>
        <w:spacing w:after="0" w:before="0" w:line="230"/>
      </w:pPr>
      <w:r>
        <w:rPr>
          <w:rFonts w:ascii="Consolas" w:cs="Consolas" w:eastAsia="Consolas" w:hAnsi="Consolas"/>
          <w:color w:val="241A3D"/>
          <w:sz w:val="16"/>
          <w:szCs w:val="16"/>
        </w:rPr>
        <w:t xml:space="preserve">    for a in candidate_obs:                    # e.g. {LFT, ECG, PK draw}</w:t>
      </w:r>
    </w:p>
    <w:p>
      <w:pPr>
        <w:pBdr>
          <w:left w:val="single" w:color="6D28D9" w:sz="14" w:space="8"/>
        </w:pBdr>
        <w:shd w:fill="F2F1FB" w:val="clear"/>
        <w:spacing w:after="0" w:before="0" w:line="230"/>
      </w:pPr>
      <w:r>
        <w:rPr>
          <w:rFonts w:ascii="Consolas" w:cs="Consolas" w:eastAsia="Consolas" w:hAnsi="Consolas"/>
          <w:color w:val="241A3D"/>
          <w:sz w:val="16"/>
          <w:szCs w:val="16"/>
        </w:rPr>
        <w:t xml:space="preserve">        epistemic = expected_info_gain(a, q, model)         # mutual information</w:t>
      </w:r>
    </w:p>
    <w:p>
      <w:pPr>
        <w:pBdr>
          <w:left w:val="single" w:color="6D28D9" w:sz="14" w:space="8"/>
        </w:pBdr>
        <w:shd w:fill="F2F1FB" w:val="clear"/>
        <w:spacing w:after="0" w:before="0" w:line="230"/>
      </w:pPr>
      <w:r>
        <w:rPr>
          <w:rFonts w:ascii="Consolas" w:cs="Consolas" w:eastAsia="Consolas" w:hAnsi="Consolas"/>
          <w:color w:val="241A3D"/>
          <w:sz w:val="16"/>
          <w:szCs w:val="16"/>
        </w:rPr>
        <w:t xml:space="preserve">        pragmatic = expected_log_pref(a, q, model, C)       # E_q[ ln p(o|C) ]</w:t>
      </w:r>
    </w:p>
    <w:p>
      <w:pPr>
        <w:pBdr>
          <w:left w:val="single" w:color="6D28D9" w:sz="14" w:space="8"/>
        </w:pBdr>
        <w:shd w:fill="F2F1FB" w:val="clear"/>
        <w:spacing w:after="0" w:before="0" w:line="230"/>
      </w:pPr>
      <w:r>
        <w:rPr>
          <w:rFonts w:ascii="Consolas" w:cs="Consolas" w:eastAsia="Consolas" w:hAnsi="Consolas"/>
          <w:color w:val="241A3D"/>
          <w:sz w:val="16"/>
          <w:szCs w:val="16"/>
        </w:rPr>
        <w:t xml:space="preserve">        G = -(epistemic) - (pragmatic)</w:t>
      </w:r>
    </w:p>
    <w:p>
      <w:pPr>
        <w:pBdr>
          <w:left w:val="single" w:color="6D28D9" w:sz="14" w:space="8"/>
        </w:pBdr>
        <w:shd w:fill="F2F1FB" w:val="clear"/>
        <w:spacing w:after="0" w:before="0" w:line="230"/>
      </w:pPr>
      <w:r>
        <w:rPr>
          <w:rFonts w:ascii="Consolas" w:cs="Consolas" w:eastAsia="Consolas" w:hAnsi="Consolas"/>
          <w:color w:val="241A3D"/>
          <w:sz w:val="16"/>
          <w:szCs w:val="16"/>
        </w:rPr>
        <w:t xml:space="preserve">        scored.append((a, G, epistemic))</w:t>
      </w:r>
    </w:p>
    <w:p>
      <w:pPr>
        <w:pBdr>
          <w:left w:val="single" w:color="6D28D9" w:sz="14" w:space="8"/>
        </w:pBdr>
        <w:shd w:fill="F2F1FB" w:val="clear"/>
        <w:spacing w:after="0" w:before="0" w:line="230"/>
      </w:pPr>
      <w:r>
        <w:rPr>
          <w:rFonts w:ascii="Consolas" w:cs="Consolas" w:eastAsia="Consolas" w:hAnsi="Consolas"/>
          <w:color w:val="241A3D"/>
          <w:sz w:val="16"/>
          <w:szCs w:val="16"/>
        </w:rPr>
        <w:t xml:space="preserve">    a_star, G_star, ig = min(scored, key=lambda r: r[1])    # minimize G</w:t>
      </w:r>
    </w:p>
    <w:p>
      <w:pPr>
        <w:pBdr>
          <w:left w:val="single" w:color="6D28D9" w:sz="14" w:space="8"/>
        </w:pBdr>
        <w:shd w:fill="F2F1FB" w:val="clear"/>
        <w:spacing w:after="80" w:before="0" w:line="230"/>
      </w:pPr>
      <w:r>
        <w:rPr>
          <w:rFonts w:ascii="Consolas" w:cs="Consolas" w:eastAsia="Consolas" w:hAnsi="Consolas"/>
          <w:color w:val="241A3D"/>
          <w:sz w:val="16"/>
          <w:szCs w:val="16"/>
        </w:rPr>
        <w:t xml:space="preserve">    return Recommendation(action=a_star, value_of_info=ig)  # human approves; never auto-ordered</w:t>
      </w:r>
    </w:p>
    <w:p>
      <w:pPr>
        <w:pBdr>
          <w:bottom w:val="single" w:color="C7CFE2" w:sz="6" w:space="1"/>
        </w:pBdr>
        <w:spacing w:after="120" w:before="60"/>
      </w:pPr>
    </w:p>
    <w:p>
      <w:pPr>
        <w:pStyle w:val="Heading2"/>
      </w:pPr>
      <w:r>
        <w:t xml:space="preserve">4. The meta-learned reference (nesting + learning-to-learn)</w:t>
      </w:r>
    </w:p>
    <w:p>
      <w:pPr>
        <w:spacing w:after="120" w:line="270"/>
      </w:pPr>
      <w:r>
        <w:t xml:space="preserve">The participant tier is the </w:t>
      </w:r>
      <w:r>
        <w:rPr>
          <w:b/>
          <w:bCs/>
        </w:rPr>
        <w:t xml:space="preserve">bottom of a deep active-inference hierarchy</w:t>
      </w:r>
      <w:r>
        <w:t xml:space="preserve"> (participant → study → client). Its priors are </w:t>
      </w:r>
      <w:r>
        <w:rPr>
          <w:b/>
          <w:bCs/>
        </w:rPr>
        <w:t xml:space="preserve">supplied from above</w:t>
      </w:r>
      <w:r>
        <w:t xml:space="preserve"> and </w:t>
      </w:r>
      <w:r>
        <w:rPr>
          <w:b/>
          <w:bCs/>
        </w:rPr>
        <w:t xml:space="preserve">meta-learned across studies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after="40" w:line="250"/>
      </w:pPr>
      <w:r>
        <w:rPr>
          <w:b/>
          <w:bCs/>
        </w:rPr>
        <w:t xml:space="preserve">Reference barycenter.</w:t>
      </w:r>
      <w:r>
        <w:t xml:space="preserve"> Per analyte, </w:t>
      </w:r>
      <w:r>
        <w:rPr>
          <w:rFonts w:ascii="Consolas" w:cs="Consolas" w:eastAsia="Consolas" w:hAnsi="Consolas"/>
        </w:rPr>
        <w:t xml:space="preserve">μ̄_ref = argmin_μ Σ_k λ_k W₂²(μ, ν_k)</w:t>
      </w:r>
      <w:r>
        <w:t xml:space="preserve"> over prior cohorts </w:t>
      </w:r>
      <w:r>
        <w:rPr>
          <w:rFonts w:ascii="Consolas" w:cs="Consolas" w:eastAsia="Consolas" w:hAnsi="Consolas"/>
        </w:rPr>
        <w:t xml:space="preserve">ν_k</w:t>
      </w:r>
      <w:r>
        <w:t xml:space="preserve"> (Wasserstein-2 barycenter). This is the distribution a new participant/cohort is scored against. The </w:t>
      </w:r>
      <w:r>
        <w:rPr>
          <w:b/>
          <w:bCs/>
        </w:rPr>
        <w:t xml:space="preserve">control bands</w:t>
      </w:r>
      <w:r>
        <w:t xml:space="preserve"> in §2.4 / §3 are derived from the spread of </w:t>
      </w:r>
      <w:r>
        <w:rPr>
          <w:rFonts w:ascii="Consolas" w:cs="Consolas" w:eastAsia="Consolas" w:hAnsi="Consolas"/>
        </w:rPr>
        <w:t xml:space="preserve">{ν_k}</w:t>
      </w:r>
      <w:r>
        <w:t xml:space="preserve"> around </w:t>
      </w:r>
      <w:r>
        <w:rPr>
          <w:rFonts w:ascii="Consolas" w:cs="Consolas" w:eastAsia="Consolas" w:hAnsi="Consolas"/>
        </w:rPr>
        <w:t xml:space="preserve">μ̄_ref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40" w:line="250"/>
      </w:pPr>
      <w:r>
        <w:rPr>
          <w:b/>
          <w:bCs/>
        </w:rPr>
        <w:t xml:space="preserve">Generative-model priors.</w:t>
      </w:r>
      <w:r>
        <w:t xml:space="preserve"> Transition/likelihood parameters and the preferred set </w:t>
      </w:r>
      <w:r>
        <w:rPr>
          <w:rFonts w:ascii="Consolas" w:cs="Consolas" w:eastAsia="Consolas" w:hAnsi="Consolas"/>
        </w:rPr>
        <w:t xml:space="preserve">C</w:t>
      </w:r>
      <w:r>
        <w:t xml:space="preserve"> are empirical-Bayes estimates pooled across prior cohorts/studies (a </w:t>
      </w:r>
      <w:r>
        <w:rPr>
          <w:b/>
          <w:bCs/>
        </w:rPr>
        <w:t xml:space="preserve">hyperprior</w:t>
      </w:r>
      <w:r>
        <w:t xml:space="preserve">). The higher tier </w:t>
      </w:r>
      <w:r>
        <w:rPr>
          <w:i/>
          <w:iCs/>
        </w:rPr>
        <w:t xml:space="preserve">supplies</w:t>
      </w:r>
      <w:r>
        <w:t xml:space="preserve"> the prior to the participant tier; what is </w:t>
      </w:r>
      <w:r>
        <w:rPr>
          <w:i/>
          <w:iCs/>
        </w:rPr>
        <w:t xml:space="preserve">meta-learned</w:t>
      </w:r>
      <w:r>
        <w:t xml:space="preserve"> from the population is the hyperprior — so a new cohort starts </w:t>
      </w:r>
      <w:r>
        <w:rPr>
          <w:b/>
          <w:bCs/>
        </w:rPr>
        <w:t xml:space="preserve">population-informed</w:t>
      </w:r>
      <w:r>
        <w:t xml:space="preserve">, not from scratch, and recalibrates as each study completes.</w:t>
      </w:r>
    </w:p>
    <w:p>
      <w:pPr>
        <w:pStyle w:val="ListParagraph"/>
        <w:numPr>
          <w:ilvl w:val="0"/>
          <w:numId w:val="1"/>
        </w:numPr>
        <w:spacing w:after="40" w:line="250"/>
      </w:pPr>
      <w:r>
        <w:rPr>
          <w:b/>
          <w:bCs/>
        </w:rPr>
        <w:t xml:space="preserve">Coupling up.</w:t>
      </w:r>
      <w:r>
        <w:t xml:space="preserve"> A participant </w:t>
      </w:r>
      <w:r>
        <w:rPr>
          <w:rFonts w:ascii="Consolas" w:cs="Consolas" w:eastAsia="Consolas" w:hAnsi="Consolas"/>
        </w:rPr>
        <w:t xml:space="preserve">W_drift</w:t>
      </w:r>
      <w:r>
        <w:t xml:space="preserve">/</w:t>
      </w:r>
      <w:r>
        <w:rPr>
          <w:rFonts w:ascii="Consolas" w:cs="Consolas" w:eastAsia="Consolas" w:hAnsi="Consolas"/>
        </w:rPr>
        <w:t xml:space="preserve">F</w:t>
      </w:r>
      <w:r>
        <w:t xml:space="preserve"> excursion is a bottom-up prediction error that propagates to the study tier (raising cohort-level risk) — the nesting, not three separate dashboards.</w:t>
      </w:r>
    </w:p>
    <w:p>
      <w:pPr>
        <w:pStyle w:val="ListParagraph"/>
        <w:numPr>
          <w:ilvl w:val="0"/>
          <w:numId w:val="1"/>
        </w:numPr>
        <w:spacing w:after="40" w:line="250"/>
      </w:pPr>
      <w:r>
        <w:rPr>
          <w:b/>
          <w:bCs/>
        </w:rPr>
        <w:t xml:space="preserve">Optional unifier.</w:t>
      </w:r>
      <w:r>
        <w:t xml:space="preserve"> A </w:t>
      </w:r>
      <w:r>
        <w:rPr>
          <w:i/>
          <w:iCs/>
        </w:rPr>
        <w:t xml:space="preserve">Wasserstein-regularized objective</w:t>
      </w:r>
      <w:r>
        <w:t xml:space="preserve"> (OT cost in place of/alongside the KL term) makes the belief-updating geometry-aware and lets the barycenter prior enter directly. </w:t>
      </w:r>
      <w:r>
        <w:rPr>
          <w:b/>
          <w:bCs/>
        </w:rPr>
        <w:t xml:space="preserve">Caveat:</w:t>
      </w:r>
      <w:r>
        <w:t xml:space="preserve"> once KL→W it is no longer the strict variational free energy, so the "upper bound on surprisal" guarantee relaxes — a deliberate, research-grade option, off by default.</w:t>
      </w:r>
    </w:p>
    <w:p>
      <w:pPr>
        <w:pBdr>
          <w:left w:val="single" w:color="6D28D9" w:sz="14" w:space="8"/>
        </w:pBdr>
        <w:shd w:fill="F2F1FB" w:val="clear"/>
        <w:spacing w:after="0" w:before="80" w:line="230"/>
      </w:pPr>
      <w:r>
        <w:rPr>
          <w:rFonts w:ascii="Consolas" w:cs="Consolas" w:eastAsia="Consolas" w:hAnsi="Consolas"/>
          <w:color w:val="241A3D"/>
          <w:sz w:val="16"/>
          <w:szCs w:val="16"/>
        </w:rPr>
        <w:t xml:space="preserve">def fit_reference(prior_cohorts):              # one-time, frozen per analysis</w:t>
      </w:r>
    </w:p>
    <w:p>
      <w:pPr>
        <w:pBdr>
          <w:left w:val="single" w:color="6D28D9" w:sz="14" w:space="8"/>
        </w:pBdr>
        <w:shd w:fill="F2F1FB" w:val="clear"/>
        <w:spacing w:after="0" w:before="0" w:line="230"/>
      </w:pPr>
      <w:r>
        <w:rPr>
          <w:rFonts w:ascii="Consolas" w:cs="Consolas" w:eastAsia="Consolas" w:hAnsi="Consolas"/>
          <w:color w:val="241A3D"/>
          <w:sz w:val="16"/>
          <w:szCs w:val="16"/>
        </w:rPr>
        <w:t xml:space="preserve">    bary  = wasserstein_barycenter(prior_cohorts, p=2)     # μ̄_ref per analyte</w:t>
      </w:r>
    </w:p>
    <w:p>
      <w:pPr>
        <w:pBdr>
          <w:left w:val="single" w:color="6D28D9" w:sz="14" w:space="8"/>
        </w:pBdr>
        <w:shd w:fill="F2F1FB" w:val="clear"/>
        <w:spacing w:after="0" w:before="0" w:line="230"/>
      </w:pPr>
      <w:r>
        <w:rPr>
          <w:rFonts w:ascii="Consolas" w:cs="Consolas" w:eastAsia="Consolas" w:hAnsi="Consolas"/>
          <w:color w:val="241A3D"/>
          <w:sz w:val="16"/>
          <w:szCs w:val="16"/>
        </w:rPr>
        <w:t xml:space="preserve">    bands = control_bands(prior_cohorts, bary)             # W_drift / F bands</w:t>
      </w:r>
    </w:p>
    <w:p>
      <w:pPr>
        <w:pBdr>
          <w:left w:val="single" w:color="6D28D9" w:sz="14" w:space="8"/>
        </w:pBdr>
        <w:shd w:fill="F2F1FB" w:val="clear"/>
        <w:spacing w:after="0" w:before="0" w:line="230"/>
      </w:pPr>
      <w:r>
        <w:rPr>
          <w:rFonts w:ascii="Consolas" w:cs="Consolas" w:eastAsia="Consolas" w:hAnsi="Consolas"/>
          <w:color w:val="241A3D"/>
          <w:sz w:val="16"/>
          <w:szCs w:val="16"/>
        </w:rPr>
        <w:t xml:space="preserve">    prior = empirical_bayes_hyperprior(prior_cohorts)      # transition/likelihood + C</w:t>
      </w:r>
    </w:p>
    <w:p>
      <w:pPr>
        <w:pBdr>
          <w:left w:val="single" w:color="6D28D9" w:sz="14" w:space="8"/>
        </w:pBdr>
        <w:shd w:fill="F2F1FB" w:val="clear"/>
        <w:spacing w:after="80" w:before="0" w:line="230"/>
      </w:pPr>
      <w:r>
        <w:rPr>
          <w:rFonts w:ascii="Consolas" w:cs="Consolas" w:eastAsia="Consolas" w:hAnsi="Consolas"/>
          <w:color w:val="241A3D"/>
          <w:sz w:val="16"/>
          <w:szCs w:val="16"/>
        </w:rPr>
        <w:t xml:space="preserve">    return frozen(Reference(bary, bands, prior))           # version-locked artifact</w:t>
      </w:r>
    </w:p>
    <w:p>
      <w:pPr>
        <w:pBdr>
          <w:bottom w:val="single" w:color="C7CFE2" w:sz="6" w:space="1"/>
        </w:pBdr>
        <w:spacing w:after="120" w:before="60"/>
      </w:pPr>
    </w:p>
    <w:p>
      <w:pPr>
        <w:pStyle w:val="Heading2"/>
      </w:pPr>
      <w:r>
        <w:t xml:space="preserve">5. Roll-up, output, and the alert</w:t>
      </w:r>
    </w:p>
    <w:p>
      <w:pPr>
        <w:spacing w:after="120" w:line="270"/>
      </w:pPr>
      <w:r>
        <w:t xml:space="preserve">For each participant: </w:t>
      </w:r>
      <w:r>
        <w:rPr>
          <w:rFonts w:ascii="Consolas" w:cs="Consolas" w:eastAsia="Consolas" w:hAnsi="Consolas"/>
        </w:rPr>
        <w:t xml:space="preserve">participant_score = w( W_drift, F_surprise, pref_divergence )</w:t>
      </w:r>
      <w:r>
        <w:t xml:space="preserve"> with </w:t>
      </w:r>
      <w:r>
        <w:rPr>
          <w:b/>
          <w:bCs/>
        </w:rPr>
        <w:t xml:space="preserve">fixed, documented weights</w:t>
      </w:r>
      <w:r>
        <w:t xml:space="preserve"> (not a learned black box) → maps to the Participant-panel RAG. Any amber/red:</w:t>
      </w:r>
    </w:p>
    <w:p>
      <w:pPr>
        <w:spacing w:after="50" w:line="255"/>
        <w:ind w:left="460" w:hanging="280"/>
      </w:pPr>
      <w:r>
        <w:t xml:space="preserve">1. localizes the driver (analyte + value band + day),</w:t>
      </w:r>
    </w:p>
    <w:p>
      <w:pPr>
        <w:spacing w:after="50" w:line="255"/>
        <w:ind w:left="460" w:hanging="280"/>
      </w:pPr>
      <w:r>
        <w:t xml:space="preserve">2. pulls the rule-based context (current DLT tally vs the design's stopping rule, eDISH position, QTcF, exposure vs cap) </w:t>
      </w:r>
      <w:r>
        <w:rPr>
          <w:b/>
          <w:bCs/>
        </w:rPr>
        <w:t xml:space="preserve">from the validated tools</w:t>
      </w:r>
      <w:r>
        <w:t xml:space="preserve">,</w:t>
      </w:r>
    </w:p>
    <w:p>
      <w:pPr>
        <w:spacing w:after="50" w:line="255"/>
        <w:ind w:left="460" w:hanging="280"/>
      </w:pPr>
      <w:r>
        <w:t xml:space="preserve">3. drafts the alert and routes it to the </w:t>
      </w:r>
      <w:r>
        <w:rPr>
          <w:b/>
          <w:bCs/>
        </w:rPr>
        <w:t xml:space="preserve">medical monitor / SRC chair</w:t>
      </w:r>
      <w:r>
        <w:t xml:space="preserve"> </w:t>
      </w:r>
      <w:r>
        <w:rPr>
          <w:i/>
          <w:iCs/>
        </w:rPr>
        <w:t xml:space="preserve">ahead</w:t>
      </w:r>
      <w:r>
        <w:t xml:space="preserve"> of the scheduled cohort review, with the EFE-recommended next assessment attached,</w:t>
      </w:r>
    </w:p>
    <w:p>
      <w:pPr>
        <w:spacing w:after="50" w:line="255"/>
        <w:ind w:left="460" w:hanging="280"/>
      </w:pPr>
      <w:r>
        <w:t xml:space="preserve">4. writes a Part-11 record; a human dispositions it. Nothing is paused/escalated by the system.</w:t>
      </w:r>
    </w:p>
    <w:p>
      <w:pPr>
        <w:pBdr>
          <w:bottom w:val="single" w:color="C7CFE2" w:sz="6" w:space="1"/>
        </w:pBdr>
        <w:spacing w:after="120" w:before="60"/>
      </w:pPr>
    </w:p>
    <w:p>
      <w:pPr>
        <w:pStyle w:val="Heading2"/>
      </w:pPr>
      <w:r>
        <w:t xml:space="preserve">6. Validation plan (before any regulated use)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</w:t>
            </w:r>
          </w:p>
        </w:tc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Acceptance</w:t>
            </w:r>
          </w:p>
        </w:tc>
      </w:tr>
      <w:tr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b/>
                <w:bCs/>
                <w:sz w:val="17"/>
                <w:szCs w:val="17"/>
              </w:rPr>
              <w:t xml:space="preserve">Freeze</w:t>
            </w:r>
          </w:p>
        </w:tc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sz w:val="17"/>
                <w:szCs w:val="17"/>
              </w:rPr>
              <w:t xml:space="preserve">Lock model weights, the L projection directions,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μ̄_ref</w:t>
            </w:r>
            <w:r>
              <w:rPr>
                <w:sz w:val="17"/>
                <w:szCs w:val="17"/>
              </w:rPr>
              <w:t xml:space="preserve">, control bands, roll-up weights as a versioned artifact.</w:t>
            </w:r>
          </w:p>
        </w:tc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sz w:val="17"/>
                <w:szCs w:val="17"/>
              </w:rPr>
              <w:t xml:space="preserve">Re-run on the same inputs is bit-stable.</w:t>
            </w:r>
          </w:p>
        </w:tc>
      </w:tr>
      <w:tr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3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b/>
                <w:bCs/>
                <w:sz w:val="17"/>
                <w:szCs w:val="17"/>
              </w:rPr>
              <w:t xml:space="preserve">Back-test / lead-time</w:t>
            </w:r>
          </w:p>
        </w:tc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3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sz w:val="17"/>
                <w:szCs w:val="17"/>
              </w:rPr>
              <w:t xml:space="preserve">Replay completed cohorts; measure how many days </w:t>
            </w:r>
            <w:r>
              <w:rPr>
                <w:i/>
                <w:iCs/>
                <w:sz w:val="17"/>
                <w:szCs w:val="17"/>
              </w:rPr>
              <w:t xml:space="preserve">earlier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W_drift</w:t>
            </w:r>
            <w:r>
              <w:rPr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</w:t>
            </w:r>
            <w:r>
              <w:rPr>
                <w:sz w:val="17"/>
                <w:szCs w:val="17"/>
              </w:rPr>
              <w:t xml:space="preserve"> flagged a confirmed DLT/Hy's-Law vs the rule trigger.</w:t>
            </w:r>
          </w:p>
        </w:tc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3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sz w:val="17"/>
                <w:szCs w:val="17"/>
              </w:rPr>
              <w:t xml:space="preserve">Median lead-time &gt; 0; documented per analyte.</w:t>
            </w:r>
          </w:p>
        </w:tc>
      </w:tr>
      <w:tr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b/>
                <w:bCs/>
                <w:sz w:val="17"/>
                <w:szCs w:val="17"/>
              </w:rPr>
              <w:t xml:space="preserve">Operating characteristics</w:t>
            </w:r>
          </w:p>
        </w:tc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sz w:val="17"/>
                <w:szCs w:val="17"/>
              </w:rPr>
              <w:t xml:space="preserve">On historical data, estimate sensitivity / false-alert rate / alerts-per-cohort-week at the chosen bands.</w:t>
            </w:r>
          </w:p>
        </w:tc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sz w:val="17"/>
                <w:szCs w:val="17"/>
              </w:rPr>
              <w:t xml:space="preserve">Alert burden acceptable to the medical monitor; sensitivity ≥ agreed floor.</w:t>
            </w:r>
          </w:p>
        </w:tc>
      </w:tr>
      <w:tr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3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b/>
                <w:bCs/>
                <w:sz w:val="17"/>
                <w:szCs w:val="17"/>
              </w:rPr>
              <w:t xml:space="preserve">Concordance</w:t>
            </w:r>
          </w:p>
        </w:tc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3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sz w:val="17"/>
                <w:szCs w:val="17"/>
              </w:rPr>
              <w:t xml:space="preserve">Confirm the engine never </w:t>
            </w:r>
            <w:r>
              <w:rPr>
                <w:i/>
                <w:iCs/>
                <w:sz w:val="17"/>
                <w:szCs w:val="17"/>
              </w:rPr>
              <w:t xml:space="preserve">suppresses</w:t>
            </w:r>
            <w:r>
              <w:rPr>
                <w:sz w:val="17"/>
                <w:szCs w:val="17"/>
              </w:rPr>
              <w:t xml:space="preserve"> a rule trigger; agreement of "driver" attribution with adjudicated cause.</w:t>
            </w:r>
          </w:p>
        </w:tc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3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sz w:val="17"/>
                <w:szCs w:val="17"/>
              </w:rPr>
              <w:t xml:space="preserve">100% rule-trigger pass-through; attribution reviewed.</w:t>
            </w:r>
          </w:p>
        </w:tc>
      </w:tr>
      <w:tr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b/>
                <w:bCs/>
                <w:sz w:val="17"/>
                <w:szCs w:val="17"/>
              </w:rPr>
              <w:t xml:space="preserve">Human-factors</w:t>
            </w:r>
          </w:p>
        </w:tc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sz w:val="17"/>
                <w:szCs w:val="17"/>
              </w:rPr>
              <w:t xml:space="preserve">Medical monitor reviews drafted alerts + EFE suggestions for usefulness and non-coercion.</w:t>
            </w:r>
          </w:p>
        </w:tc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sz w:val="17"/>
                <w:szCs w:val="17"/>
              </w:rPr>
              <w:t xml:space="preserve">Suggestions read as advisory; no auto-action path exists.</w:t>
            </w:r>
          </w:p>
        </w:tc>
      </w:tr>
      <w:tr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3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b/>
                <w:bCs/>
                <w:sz w:val="17"/>
                <w:szCs w:val="17"/>
              </w:rPr>
              <w:t xml:space="preserve">Documentation</w:t>
            </w:r>
          </w:p>
        </w:tc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3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sz w:val="17"/>
                <w:szCs w:val="17"/>
              </w:rPr>
              <w:t xml:space="preserve">Spec, validation report, frozen-artifact hash, Part-11 lineage.</w:t>
            </w:r>
          </w:p>
        </w:tc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3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sz w:val="17"/>
                <w:szCs w:val="17"/>
              </w:rPr>
              <w:t xml:space="preserve">Submission-grade package.</w:t>
            </w:r>
          </w:p>
        </w:tc>
      </w:tr>
    </w:tbl>
    <w:p>
      <w:pPr>
        <w:spacing w:after="60"/>
      </w:pPr>
    </w:p>
    <w:p>
      <w:pPr>
        <w:pBdr>
          <w:bottom w:val="single" w:color="C7CFE2" w:sz="6" w:space="1"/>
        </w:pBdr>
        <w:spacing w:after="120" w:before="60"/>
      </w:pPr>
    </w:p>
    <w:p>
      <w:pPr>
        <w:pStyle w:val="Heading2"/>
      </w:pPr>
      <w:r>
        <w:t xml:space="preserve">7. Build order</w:t>
      </w:r>
    </w:p>
    <w:p>
      <w:pPr>
        <w:spacing w:after="50" w:line="255"/>
        <w:ind w:left="460" w:hanging="280"/>
      </w:pPr>
      <w:r>
        <w:t xml:space="preserve">1. </w:t>
      </w:r>
      <w:r>
        <w:rPr>
          <w:b/>
          <w:bCs/>
        </w:rPr>
        <w:t xml:space="preserve">Ground metrics + 1-D / sliced Wasserstein</w:t>
      </w:r>
      <w:r>
        <w:t xml:space="preserve"> on one analyte family (LFTs), reference barycenter from prior cohorts, </w:t>
      </w:r>
      <w:r>
        <w:rPr>
          <w:rFonts w:ascii="Consolas" w:cs="Consolas" w:eastAsia="Consolas" w:hAnsi="Consolas"/>
        </w:rPr>
        <w:t xml:space="preserve">W_drift</w:t>
      </w:r>
      <w:r>
        <w:t xml:space="preserve"> + driver attribution, control bands. </w:t>
      </w:r>
      <w:r>
        <w:rPr>
          <w:i/>
          <w:iCs/>
        </w:rPr>
        <w:t xml:space="preserve">(Cheap, high-value, fully on-device.)</w:t>
      </w:r>
    </w:p>
    <w:p>
      <w:pPr>
        <w:spacing w:after="50" w:line="255"/>
        <w:ind w:left="460" w:hanging="280"/>
      </w:pPr>
      <w:r>
        <w:t xml:space="preserve">2. </w:t>
      </w:r>
      <w:r>
        <w:rPr>
          <w:b/>
          <w:bCs/>
        </w:rPr>
        <w:t xml:space="preserve">Free-energy detector</w:t>
      </w:r>
      <w:r>
        <w:t xml:space="preserve"> (</w:t>
      </w:r>
      <w:r>
        <w:rPr>
          <w:rFonts w:ascii="Consolas" w:cs="Consolas" w:eastAsia="Consolas" w:hAnsi="Consolas"/>
        </w:rPr>
        <w:t xml:space="preserve">F_surprise</w:t>
      </w:r>
      <w:r>
        <w:t xml:space="preserve">) on the same participant state-space model; add preference-divergence vs </w:t>
      </w:r>
      <w:r>
        <w:rPr>
          <w:rFonts w:ascii="Consolas" w:cs="Consolas" w:eastAsia="Consolas" w:hAnsi="Consolas"/>
        </w:rPr>
        <w:t xml:space="preserve">C</w:t>
      </w:r>
      <w:r>
        <w:t xml:space="preserve">.</w:t>
      </w:r>
    </w:p>
    <w:p>
      <w:pPr>
        <w:spacing w:after="50" w:line="255"/>
        <w:ind w:left="460" w:hanging="280"/>
      </w:pPr>
      <w:r>
        <w:t xml:space="preserve">3. </w:t>
      </w:r>
      <w:r>
        <w:rPr>
          <w:b/>
          <w:bCs/>
        </w:rPr>
        <w:t xml:space="preserve">EFE recommender</w:t>
      </w:r>
      <w:r>
        <w:t xml:space="preserve"> (</w:t>
      </w:r>
      <w:r>
        <w:rPr>
          <w:rFonts w:ascii="Consolas" w:cs="Consolas" w:eastAsia="Consolas" w:hAnsi="Consolas"/>
        </w:rPr>
        <w:t xml:space="preserve">π*</w:t>
      </w:r>
      <w:r>
        <w:t xml:space="preserve">) over the protocol-allowed assessment set; wire the human-approval queue.</w:t>
      </w:r>
    </w:p>
    <w:p>
      <w:pPr>
        <w:spacing w:after="50" w:line="255"/>
        <w:ind w:left="460" w:hanging="280"/>
      </w:pPr>
      <w:r>
        <w:t xml:space="preserve">4. </w:t>
      </w:r>
      <w:r>
        <w:rPr>
          <w:b/>
          <w:bCs/>
        </w:rPr>
        <w:t xml:space="preserve">Roll-up + alert drafting + Part-11 record + dashboard write.</w:t>
      </w:r>
      <w:r>
        <w:t xml:space="preserve"> Extend metrics to QTcF and PK exposure.</w:t>
      </w:r>
    </w:p>
    <w:p>
      <w:pPr>
        <w:spacing w:after="50" w:line="255"/>
        <w:ind w:left="460" w:hanging="280"/>
      </w:pPr>
      <w:r>
        <w:t xml:space="preserve">5. </w:t>
      </w:r>
      <w:r>
        <w:rPr>
          <w:b/>
          <w:bCs/>
        </w:rPr>
        <w:t xml:space="preserve">Freeze + validation (Section 6).</w:t>
      </w:r>
      <w:r>
        <w:t xml:space="preserve"> Only then does any output inform a regulated decision.</w:t>
      </w:r>
    </w:p>
    <w:p>
      <w:pPr>
        <w:spacing w:after="120" w:line="270"/>
      </w:pPr>
      <w:r>
        <w:rPr>
          <w:i/>
          <w:iCs/>
        </w:rPr>
        <w:t xml:space="preserve">Companion to the Trial-Termination Early-Warning Dashboard (`Trial_Risk_EarlyWarning_Dashboard.html`, page “🧮 Advanced engine”). Decision-support; advanced/research-grade; the rules and the humans remain authoritative.</w:t>
      </w:r>
    </w:p>
    <w:sectPr>
      <w:pgSz w:w="12240" w:h="15840" w:orient="portrait"/>
      <w:pgMar w:top="1180" w:right="1180" w:bottom="11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34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Georgia" w:cs="Georgia" w:eastAsia="Georgia" w:hAnsi="Georgia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pBdr>
        <w:bottom w:val="single" w:color="C7CFE2" w:sz="4" w:space="4"/>
      </w:pBdr>
      <w:spacing w:after="120" w:before="240"/>
      <w:outlineLvl w:val="1"/>
    </w:pPr>
    <w:rPr>
      <w:rFonts w:ascii="Georgia" w:cs="Georgia" w:eastAsia="Georgia" w:hAnsi="Georgia"/>
      <w:b/>
      <w:bCs/>
      <w:color w:val="1E2761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31407A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2026-06-10T16:37:15.547Z</dcterms:created>
  <dcterms:modified xsi:type="dcterms:W3CDTF">2026-06-10T16:37:15.548Z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