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Early-Phase Clinical Pharmacology: Biostatistics Deliverables Pipeline</w:t>
      </w:r>
    </w:p>
    <w:p>
      <w:pPr>
        <w:spacing w:after="120" w:line="270"/>
      </w:pPr>
      <w:r>
        <w:rPr>
          <w:b/>
          <w:bCs/>
        </w:rPr>
        <w:t xml:space="preserve">Protocol review → CSR draft · every document, dataset, and statistical output, with its owner, standard, and QC</w:t>
      </w:r>
    </w:p>
    <w:p>
      <w:pPr>
        <w:pBdr>
          <w:left w:val="single" w:color="1E2761" w:sz="18" w:space="10"/>
        </w:pBdr>
        <w:shd w:fill="EEF2FA" w:val="clear"/>
        <w:spacing w:after="100" w:before="100"/>
        <w:ind w:left="300"/>
      </w:pPr>
      <w:r>
        <w:rPr>
          <w:b/>
          <w:bCs/>
          <w:i/>
          <w:iCs/>
          <w:color w:val="555F77"/>
        </w:rPr>
        <w:t xml:space="preserve">Reference map, not a track record.</w:t>
      </w:r>
      <w:r>
        <w:rPr>
          <w:i/>
          <w:iCs/>
          <w:color w:val="555F77"/>
        </w:rPr>
        <w:t xml:space="preserve"> This register maps the deliverables of a Phase 1 clinical pharmacology study and how each would be produced and checked. It is not a list of deliverables the author produced (the </w:t>
      </w:r>
      <w:hyperlink w:history="1" r:id="rIdjut5ybltjj6vxpcmeu65c">
        <w:r>
          <w:rPr>
            <w:rStyle w:val="Hyperlink"/>
            <w:i/>
            <w:iCs/>
            <w:color w:val="555F77"/>
          </w:rPr>
          <w:t xml:space="preserve">home page</w:t>
        </w:r>
      </w:hyperlink>
      <w:r>
        <w:rPr>
          <w:i/>
          <w:iCs/>
          <w:color w:val="555F77"/>
        </w:rPr>
        <w:t xml:space="preserve"> labels what he led or supported). A short appendix sets out where AI tools could assist under controls; it is a proposal, not an adopted policy.</w:t>
      </w:r>
    </w:p>
    <w:p>
      <w:pPr>
        <w:pBdr>
          <w:left w:val="single" w:color="1E2761" w:sz="18" w:space="10"/>
        </w:pBdr>
        <w:shd w:fill="EEF2FA" w:val="clear"/>
        <w:spacing w:after="100" w:before="100"/>
        <w:ind w:left="300"/>
      </w:pPr>
      <w:r>
        <w:rPr>
          <w:b/>
          <w:bCs/>
          <w:i/>
          <w:iCs/>
          <w:color w:val="555F77"/>
        </w:rPr>
        <w:t xml:space="preserve">Scope &amp; how to read this.</w:t>
      </w:r>
      <w:r>
        <w:rPr>
          <w:i/>
          <w:iCs/>
          <w:color w:val="555F77"/>
        </w:rPr>
        <w:t xml:space="preserve"> 132 deliverables across five stages of a Phase 1 clinical-pharmacology study (e.g., First-in-Human SAD/MAD with PK/PD, NCA + popPK, safety), each with its owner, inputs, outputs, governing standard, and QC method. The at-a-glance tables are below; the </w:t>
      </w:r>
      <w:r>
        <w:rPr>
          <w:b/>
          <w:bCs/>
          <w:i/>
          <w:iCs/>
          <w:color w:val="555F77"/>
        </w:rPr>
        <w:t xml:space="preserve">full register with every field is the companion `.xlsx`</w:t>
      </w:r>
      <w:r>
        <w:rPr>
          <w:i/>
          <w:iCs/>
          <w:color w:val="555F77"/>
        </w:rPr>
        <w:t xml:space="preserve">, and the </w:t>
      </w:r>
      <w:r>
        <w:rPr>
          <w:b/>
          <w:bCs/>
          <w:i/>
          <w:iCs/>
          <w:color w:val="555F77"/>
        </w:rPr>
        <w:t xml:space="preserve">one-page visual is the `.pdf` map</w:t>
      </w:r>
      <w:r>
        <w:rPr>
          <w:i/>
          <w:iCs/>
          <w:color w:val="555F77"/>
        </w:rPr>
        <w:t xml:space="preserve">. Standards as of October 2026: CDISC SDTMIG v3.4, ADaMIG v1.3, and Define-XML v2.1 (all FDA-required); ICH E3, E6(R3), E9(R1), and M11; systems designed to meet 21 CFR Part 11; ISPE GAMP 5.</w:t>
      </w:r>
    </w:p>
    <w:p>
      <w:pPr>
        <w:pStyle w:val="Heading2"/>
      </w:pPr>
      <w:r>
        <w:t xml:space="preserve">How the pipeline flows</w:t>
      </w:r>
    </w:p>
    <w:p>
      <w:pPr>
        <w:spacing w:after="120" w:line="270"/>
      </w:pPr>
      <w:r>
        <w:t xml:space="preserve">Five sequential stages, each closed by a gate. A </w:t>
      </w:r>
      <w:r>
        <w:rPr>
          <w:b/>
          <w:bCs/>
        </w:rPr>
        <w:t xml:space="preserve">CDISC data-standards track</w:t>
      </w:r>
      <w:r>
        <w:t xml:space="preserve"> (SDTM → ADaM → Define-XML + reviewer guides) runs through Stages 3 to 5, and a </w:t>
      </w:r>
      <w:r>
        <w:rPr>
          <w:b/>
          <w:bCs/>
        </w:rPr>
        <w:t xml:space="preserve">quality track</w:t>
      </w:r>
      <w:r>
        <w:t xml:space="preserve"> (independent double programming, engine-of-record records, audit trail, named sign-off) runs across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Stage</w:t>
            </w:r>
          </w:p>
        </w:tc>
        <w:tc>
          <w:tcPr>
            <w:tcW w:type="dxa" w:w="312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Focus</w:t>
            </w:r>
          </w:p>
        </w:tc>
        <w:tc>
          <w:tcPr>
            <w:tcW w:type="dxa" w:w="312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Gate</w:t>
            </w:r>
          </w:p>
        </w:tc>
      </w:tr>
      <w:tr>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S1: Study Design &amp; Protocol</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Biostatistics shapes the design: estimands, endpoints, sample-size rationale, randomization, and the statistical sections of the protocol.</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Protocol approved / finalized</w:t>
            </w:r>
          </w:p>
        </w:tc>
      </w:tr>
      <w:tr>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S2: Planning &amp; Specifications</w:t>
            </w:r>
          </w:p>
        </w:tc>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Everything is specified before data: the SAP, TLF shells, ADaM/SDTM specs, the randomization schedule, the data-review and QC plans.</w:t>
            </w:r>
          </w:p>
        </w:tc>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SAP &amp; specifications final</w:t>
            </w:r>
          </w:p>
        </w:tc>
      </w:tr>
      <w:tr>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S3: Data &amp; CDISC</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Raw data becomes standardized, conformant, traceable CDISC datasets (SDTM → ADaM) with reviewer guides and Define-XML, under full data integrity controls.</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Database lock</w:t>
            </w:r>
          </w:p>
        </w:tc>
      </w:tr>
      <w:tr>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S4: Analysis &amp; QC</w:t>
            </w:r>
          </w:p>
        </w:tc>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TLFs and PK/PD analyses are produced and independently double-programmed; reported numbers come from validated programs and engines (Phoenix WinNonlin or PKNCA for NCA).</w:t>
            </w:r>
          </w:p>
        </w:tc>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All outputs QC-passed</w:t>
            </w:r>
          </w:p>
        </w:tc>
      </w:tr>
      <w:tr>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S5: Reporting &amp; CSR</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Results become the CSR: statistical methods and results text, in-text tables/figures, appendices, the submission package, and cross-document consistency.</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CSR draft delivered</w:t>
            </w:r>
          </w:p>
        </w:tc>
      </w:tr>
    </w:tbl>
    <w:p>
      <w:pPr>
        <w:spacing w:after="60"/>
      </w:pPr>
    </w:p>
    <w:p>
      <w:pPr>
        <w:pStyle w:val="Heading2"/>
      </w:pPr>
      <w:r>
        <w:t xml:space="preserve">S1: Study Design &amp; Protocol</w:t>
      </w:r>
    </w:p>
    <w:p>
      <w:pPr>
        <w:spacing w:after="120" w:line="270"/>
      </w:pPr>
      <w:r>
        <w:t xml:space="preserve">Biostatistics shapes the design: estimands, endpoints, sample-size rationale, randomization, and the statistical sections of the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Owner</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Standard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S1-01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Biostatistics input to protocol: design rationale &amp; study design selection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M11 (CeSHarP protocol template) design section; ICH E9 (design principles, bias control); ICH E6(R3) GCP; FDA/EMA FIH guidance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biostatistician peer review; cross-check design vs objectives/estimands; medical/clin-pharm/regulatory review; protocol team consensus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S1-02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Objectives → estimands → endpoints alignment (ICH E9(R1) estimand framework)</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E9(R1) estimand addendum; ICH E9; ICH M11 (estimand placement in protocol); ICH E3</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biostatistician review of estimand completeness (all 5 attributes, every ICE addressed); clinical &amp; clin-pharm alignment review; consistency check objectives↔estimands↔endpoints↔analysis sets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S1-03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Statistical considerations / analysis-overview section of protocol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 E9(R1); ICH M11 statistical-considerations section; ICH E3 (consistency with future CSR methods); ICH E6(R3)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Peer review by independent biostatistician; alignment check vs estimands and vs planned SAP scope; cross-functional protocol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S1-04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Analysis populations / analysis-set definitions (protocol-level)</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 E9(R1); ICH M11; CDISC ADaMIG v1.3 (population-flag conventions, e.g., SAFFL/PKFL); ICH E3</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of set definitions for mutual consistency and estimand linkage; clin-pharm review of PK-evaluable exclusion rules; traceability check to ADSL flag plan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S1-05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Sample-size / power justification (or documented rationale for no formal sizing in FIH)</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(sample size &amp; assumptions); ICH M11; FDA BA/BE &amp; food-effect guidance; EMA bioequivalence/early-phase guidance; ICH E9(R1) (sizing tied to estimand)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re-derivation/double-check of sample-size or precision calculation (independent code/program run); review of assumptions vs source data; documentation of method and seed/software version</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S1-06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Randomization design &amp; specification (incl. sentinel dosing &amp; active:placebo allocation)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(randomization &amp; blinding); ICH E6(R3) GCP; ICH M11; 21 CFR Part 11 (controlled, audit-trailed list generation); sponsor randomization SOP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biostatistician review of design spec; verification that block/ratio/sentinel logic enforces intended allocation; segregation-of-duties check (spec author ≠ schedule generator); blinding-integrity review</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S1-07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DSMB/SRC/SEC charter: statistical decision rules &amp; dose-escalation criteria</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(data monitoring, decision rules); ICH E6(R3) GCP; FDA guidance on Data Monitoring Committees; FIH guidance (escalation/stopping); ICH M11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 of decision-rule logic for unambiguity and safety conservatism; consistency check vs protocol dose levels and stopping rules; committee/regulatory review; (if model-based) operating-characteristics simulation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S1-08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Dose-escalation operating-characteristics simulation (design-stage)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 E9(R1); FDA adaptive-design &amp; FIH guidance; reproducibility per 21 CFR Part 11 (versioned, seeded code); sponsor simulation SOP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re-run/replication of simulation with documented seed &amp; environment; code review; scenario-grid completeness review; sanity-check of OC against design intuition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S1-09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Interim / adaptive-design elements specification (if any)</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 E9(R1); FDA Adaptive Designs for Clinical Trials guidance; EMA reflection paper on adaptive designs; ICH M11; 21 CFR Part 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statistical review of adaptation rules &amp; error-rate control; simulation of operating characteristics; firewall/independence review; documentation of 'N/A' decision where no adaptation</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S1-10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PK precision / variability assumptions memo (CV%, BLQ/LLOQ &amp; sampling-scheme adequacy)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FDA/EMA PK and BA/BE guidance; sponsor NCA/PK SOP; reproducible assumptions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Joint biostatistician–PK scientist review; cross-check sampling adequacy vs predicted t1/2; sensitivity of precision to CV% assumptions; documentation of assumption sources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Biostatistician protocol review &amp; sign-off</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 E9(R1); ICH M11; ICH E6(R3) GCP; 21 CFR Part 11 (electronic signature &amp; audit trail); sponsor protocol-approval SOP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Comment-tracking &amp; resolution log; independent (second-biostatistician) consistency check on objectives↔estimands↔endpoints; signed/audited approval; amendment version control</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S1-12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Emergency unblinding / code-break plan (design-stage definition)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GCP; ICH E9 (blinding integrity); 21 CFR Part 11 (audit trail of unblinding); pharmacovigilance regs; sponsor unblinding SOP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of firewall &amp; segregation-of-duties; verification unblinding pathway is auditable and minimally disruptive to the blind; cross-check vs DSMB charter and randomization spec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S1-13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Blinded Sample-Size Re-Estimation (BSSR) Plan: design-stage provision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 E9(R1); ICH E6(R3) GCP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Biostatistician review and sign-off; no unblinded data touched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S1-14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Estimand-to-design traceability &amp; assumptions log (intercurrent-event strategy register)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E9(R1) estimand framework</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Biostatistician + medical reviewer sign-off</w:t>
            </w:r>
          </w:p>
        </w:tc>
      </w:tr>
    </w:tbl>
    <w:p>
      <w:pPr>
        <w:spacing w:after="60"/>
      </w:pPr>
    </w:p>
    <w:p>
      <w:pPr>
        <w:spacing w:after="120" w:line="270"/>
      </w:pPr>
      <w:r>
        <w:rPr>
          <w:i/>
          <w:iCs/>
        </w:rPr>
        <w:t xml:space="preserve">Stage gate: </w:t>
      </w:r>
      <w:r>
        <w:rPr>
          <w:i/>
          <w:iCs/>
        </w:rPr>
        <w:t xml:space="preserve">Protocol approved / finalized.</w:t>
      </w:r>
      <w:r>
        <w:rPr>
          <w:i/>
          <w:iCs/>
        </w:rPr>
        <w:t xml:space="preserve"> 14 deliverables.</w:t>
      </w:r>
    </w:p>
    <w:p>
      <w:pPr>
        <w:pStyle w:val="Heading2"/>
      </w:pPr>
      <w:r>
        <w:t xml:space="preserve">S2: Planning &amp; Specifications</w:t>
      </w:r>
    </w:p>
    <w:p>
      <w:pPr>
        <w:spacing w:after="120" w:line="270"/>
      </w:pPr>
      <w:r>
        <w:t xml:space="preserve">Everything is specified before data: the SAP, TLF shells, ADaM/SDTM specs, the randomization schedule, the data-review and QC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Owner</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Standard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S2-01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Statistical Analysis Plan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 E9(R1) estimands, ICH E3 (alignment with CSR), ICH E6(R3) GCP, ICH M11; version-controlled, dated, signed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Senior biostatistician peer review; cross-check vs protocol &amp; estimands; documented sign-off; formal version control of amendments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S2-02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SAP Amendment &amp; Version-Control Log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ICH E3, ICH E6(R3), 21 CFR Part 11 (audit trail),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of each change; timestamp vs lock/unblinding verified; Part 11 audit trail retained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S2-03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Analysis-Set / Population Definitions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ADaMIG v1.3 (population flags), ICH E9(R1), CDISC CT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reviewer confirms flag logic vs SAP; double-programmed in ADSL; reconciled at blinded data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S2-04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TLF Shells / Mock-Up Shells (Tables, Listings, Figures)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(in-text/appendix structure), sponsor output standards, CDISC CT for terminology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Peer/medical-writer/clinical review of shells; titles/footnotes vs SAP; dummy-data render test for layout</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S2-05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TLF Inventory / Table of Contents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sponsor standards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Cross-check vs SAP analyses (no orphan/missing outputs); peer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S2-06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 Specifications (ADSL)</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ADaMIG v1.3, CDISC CT, Define-XML v2.1, traceability to SDTM</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Spec peer review; downstream independent double-programming of ADSL; Pinnacle 21 ADaM conformance</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S2-07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 Specification (ADPC: PK Concentrations)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ADaMIG v1.3, CDISC CT, Define-XML v2.1, ICH PK reporting practice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Spec review vs PK plan (BLQ/time rules); independent double-programming of ADPC; reconciliation to SDTM PC</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S2-08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 Specification (ADPP: PK Parameters)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ADaMIG v1.3, CDISC CT (PK parameters),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Spec review vs parameter list; ADPP reconciled to validated Phoenix output; independent double-programming of structure</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S2-09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 Specification (ADAE: Adverse Events)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ADaMIG v1.3 (OCCDS), MedDRA, CDISC CT,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Spec review of TEAE logic; independent double-programming; reconcile vs SDTM AE</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S2-10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 Specifications (ADLB / ADVS / ADEG: Labs, Vitals, ECG)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ADaMIG v1.3, CDISC CT,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Spec review of baseline/window/unit logic; independent double-programming; SDTM reconciliation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 Specification (ADPD: Pharmacodynamics)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ADaMIG v1.3, CDISC CT,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Spec review vs PD plan; independent double-programming; SDTM reconciliation</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S2-12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Mapping Specification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Controlled Terminology,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vs SDTMIG/CT; Pinnacle 21 rule mapping; traceability check raw-&gt;SDTM</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S2-13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Annotated CRF (aCRF): Preparation &amp; Review</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Define-XML v2.1, CDISC aCRF conventions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Page-by-page review vs mapping spec; consistency with Define-XML origin; peer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S2-14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Programming Specifications / Derivation Specs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ADaMIG v1.3, Define-XML v2.1 (value-level), CDISC CT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spec review; basis for double-programming reconciliation; traceability to SAP</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S2-15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PK Analysis Plan (NCA detail)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scientist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PK reporting practice, regulatory NCA guidance, Phoenix WinNonlin (validated NCA engine)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scientist + biostatistician review; rules cross-checked vs SAP; Phoenix template qualified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S2-16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popPK / Exposure-Response Modeling Analysis Plan (PMAP)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Pharmacometrician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Regulatory popPK/E-R guidance, ICH E9(R1), software validation; NONMEM/Monolix as analysis engines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pharmacometrics review; model-qualification criteria pre-specified; run records reproducible</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S2-17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NONMEM/Monolix Analysis Dataset Specification (PK/PD modeling dataset)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popPK dataset conventions, traceability to ADaM, software validation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check vs ADaM source; structure/covariate completeness verified; reproducibility</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S2-18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Randomization Schedule Generation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ICH E9, 21 CFR Part 11 (audit trail, access control),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QC of allocation vs spec (ratios/blocks/strata); seed/reproducibility verified; secured storage</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S2-19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Randomization Specification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E6(R3), ICH E9, 21 CFR Part 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 vs protocol; IRT UAT alignment; documented approval</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S2-20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Unblinding / Code-Break Plan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ICH E9, 21 CFR Part 11 (audit trail),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SOP/charter alignment review; role/firewall verification; emergency-unblinding log tested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Data Review Plan / Blinded Data-Review Plan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(pre-unblinding decisions), ICH E6(R3), ALCOA++</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Peer review; decisions recorded with timestamp before unblinding; consistency with SAP</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S2-22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Define-XML Planning / Metadata Strategy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Define-XML v2.1, CDISC SDTMIG v3.4 / ADaMIG v1.3, Controlled Terminology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Metadata completeness vs specs; Pinnacle 21 define checks; value-level metadata review</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S2-23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Controlled Terminology Plan / CT Version Pinning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Controlled Terminology, SDTMIG v3.4, ADaMIG v1.3,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Version-pin verification; Pinnacle 21 CT checks; extensible-codelist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S2-24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Validation / QC Plan (Independent Double-Programming Strategy)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21 CFR Part 11, ALCOA++, CDISC conformance; sponsor validation SOPs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Risk-based assignment reviewed/approved; double-programming mandatory for key outputs; audit-ready</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S2-25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Pseudo / Dummy Data for Shell Testing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structures (for realism), sponsor standards; non-PHI by construction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Structure conformance to ADaM specs; coverage of edge cases (BLQ, missing, windows)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S2-26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Data-Transfer Specifications (DTS / interface review)</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Data mgmt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(target), 21 CFR Part 11, ALCOA++, sponsor DM SOPs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Test-transfer review; key/format/unit verification; reconciliation procedure agreed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S2-27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Dose-Escalation / Operating-Characteristics Simulation Plan &amp; Outputs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 E9(R1), reproducibility/software validation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 of assumptions/code; seed/reproducibility documented; results sanity-checked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S2-28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Interim Analysis Plan / DSMB statistical output specifications &amp; firewall (SAP-level)</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unblinded statistician + 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ICH E6(R3); FDA/EMA DSMB guidance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unblinded statistician; firewall enforced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S2-29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Bioanalytical data-transfer &amp; PK sample reconciliation specification (LC-MS/MS lab interface)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scientist + biostat programming + bioanalytical lab</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PC domain; FDA Bioanalytical Method Validation guidance; ALCOA++</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Double-check vs lab dictionary; PK scientist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S2-30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Value-Level Metadata (VLM) specification for Define-XML</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Biostat programming / metadata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Define-XML v2.1; CDISC ADaMIG v1.3 / SDTMIG v3.4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vs datasets; Pinnacle 21 Define validation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S2-31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Software / computing environment validation &amp; installation qualification (IQ/OQ) records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Biometrics systems / QA + statistical programming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21 CFR Part 11; GAMP 5; ICH E6(R3)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QA review; reported numbers always from validated engines</w:t>
            </w:r>
          </w:p>
        </w:tc>
      </w:tr>
    </w:tbl>
    <w:p>
      <w:pPr>
        <w:spacing w:after="60"/>
      </w:pPr>
    </w:p>
    <w:p>
      <w:pPr>
        <w:spacing w:after="120" w:line="270"/>
      </w:pPr>
      <w:r>
        <w:rPr>
          <w:i/>
          <w:iCs/>
        </w:rPr>
        <w:t xml:space="preserve">Stage gate: </w:t>
      </w:r>
      <w:r>
        <w:rPr>
          <w:i/>
          <w:iCs/>
        </w:rPr>
        <w:t xml:space="preserve">SAP &amp; specifications final.</w:t>
      </w:r>
      <w:r>
        <w:rPr>
          <w:i/>
          <w:iCs/>
        </w:rPr>
        <w:t xml:space="preserve"> 31 deliverables.</w:t>
      </w:r>
    </w:p>
    <w:p>
      <w:pPr>
        <w:pStyle w:val="Heading2"/>
      </w:pPr>
      <w:r>
        <w:t xml:space="preserve">S3: Data &amp; CDISC</w:t>
      </w:r>
    </w:p>
    <w:p>
      <w:pPr>
        <w:spacing w:after="120" w:line="270"/>
      </w:pPr>
      <w:r>
        <w:t xml:space="preserve">Raw data becomes standardized, conformant, traceable CDISC datasets (SDTM → ADaM) with reviewer guides and Define-XML, under full data integrity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Owner</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Standard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EDC / raw data extracts &amp; Data Transfer Agreement (DTA) interface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Data mgmt (biostat/stat programmer co-reviewer)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21 CFR Part 11, ALCOA++, ICH E6(R3); CDISC CT for code lists; sponsor DTA SOP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Transfer-spec conformance check on each load; record counts &amp; checksum reconciliation; test-transfer (dry-run) before first production transfer</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Biostat review of edit checks / data queries / data-review listings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 / Stat programmer (with Data mgmt)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GCP, 21 CFR Part 11, ALCOA++; Data Review Plan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of listing logic; query resolution tracked to closure; reconciliation against SAP-defined critical variables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Annotated CRF (aCRF)</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Define-XML v2.1, Controlled Terminology; CDISC aCRF conventions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Peer review against final CRF and SDTM specs; Pinnacle 21 / Define linkage check that every annotated origin resolves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datasets: DM (Demographics)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Controlled Terminology,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conformance; reconciliation to raw and randomization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datasets: PC (Pharmacokinetic Concentrations)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 with PK scientist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(Findings), Define-XML v2.1, value-level metadata; CT for units/analytes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100% reconciliation to bioanalytical transfer (record count, value, BLQ flags); nominal-vs-actual time check</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datasets: PP (Pharmacokinetic Parameters)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 with PK scientist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(PP domain), CT for PK parameters (PKPARMCD), Define-XML v2.1, RELREC linkage to PC</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Reconciliation to Phoenix output (the engine of record); independent double-programming of the SDTM structure; Pinnacle 21</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datasets: EX (Exposure)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(Interventions), Define-XML v2.1, Controlled Terminology</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reconciliation to randomization and to PC time-after-dose derivation</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datasets: AE (Adverse Events)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 with Data mgmt (MedDRA coding)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(Events), MedDRA (versioned), Define-XML v2.1, CT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MedDRA coding QC; reconciliation to safety database/SAE recon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datasets: LB (Laboratory)</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(Findings), CT/LOINC, Define-XML v2.1 value-level metadata, unit standardization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100% reconciliation to lab transfer; unit conversion QC</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datasets: VS (Vital Signs)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(Findings), CT,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reconciliation to raw</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datasets: EG (ECG)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 with PK/cardiac-safety scientist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(Findings), CT, Define-XML v2.1; time-matched to PC for C-QTc</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reconciliation to ECG core-lab transfer; PK time-matching QC</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datasets: DS (Disposition)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(Events), CT,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reconciliation to enrollment/randomization counts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datasets: MH (Medical History)</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 with Data mgmt (coding)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(Events), MedDRA, CT,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coding QC</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datasets: CM (Concomitant/Prior Medications)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 with Data mgmt (WHODrug coding)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(Interventions), WHODrug (versioned), CT,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coding 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datasets: PD/DV and other supporting domains (PD/PE/SU/QS, DV, CO, SE/TA/TV/TE trial design, SUPPQUAL, RELREC)</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 with PD/PK scientists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(Findings/Events/Special-Purpose/Trial-Design/SUPP/RELREC), CT,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RELREC integrity check (PC&lt;-&gt;PP); deviation-classification reconciliation</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SDTM Define-XML (define.xml + stylesheet)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(CDISC/SDTM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Define-XML v2.1, SDTMIG v3.4, Controlled Terminology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Pinnacle 21 Define conformance + dataset-define consistency; peer review; origin/aCRF cross-link check</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SDTM Reviewer Guide (cSDRG)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(CDISC/SDTM lead) / 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PHUSE cSDRG template, CDISC SDTMIG v3.4,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Peer review; consistency with Define-XML and Pinnacle 21 explanations;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datasets: ADSL (participant-level analysis dataset)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(ADaM lead) / 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Define-XML v2.1, traceability to SDTM, CT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ADaM checks; population-flag reconciliation to disposition/randomization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datasets: ADPC (PK Concentrations Analysis)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(ADaM lead) with PK scientist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(BDS / PK ADaM), Define-XML v2.1, traceability to PC/EX, CT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time-after-dose &amp; BLQ-rule QC; reconciliation to PC</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datasets: ADPP (PK Parameters Analysis)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(ADaM lead) with PK scientist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Define-XML v2.1, traceability to PP/Phoenix, CT (PK params)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Reconciliation to Phoenix (engine of record); independent double-programming; Pinnacle 21</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datasets: ADAE (Adverse Events Analysis)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(ADaM lead) / 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OCCDS, MedDRA, Define-XML v2.1, traceability to AE, CT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TRTEMFL logic QC; reconciliation to SDTM AE &amp; SAE database</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datasets: ADLB (Laboratory Analysis)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(ADaM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BDS, Define-XML v2.1 value-level metadata, traceability to LB, CT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baseline/change &amp; category-derivation QC; reconciliation to LB</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datasets: ADVS (Vital Signs Analysis)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(ADaM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BDS, Define-XML v2.1, traceability to VS, CT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baseline/change QC; reconciliation to VS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datasets: ADEG (ECG Analysis)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(ADaM lead) with cardiac-safety/PK scientist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BDS, Define-XML v2.1, traceability to EG/PC, CT; ICH E14/concentration-QTc practice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QTc category &amp; time-matching QC; reconciliation to EG</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datasets: ADPD and other analysis datasets (ADPD, ADCM, ADMH, deviation/exposure analysis as applicable)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(ADaM lead) with PD/PK scientists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BDS/OCCDS, Define-XML v2.1, traceability to SDTM, CT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PK-PD linkage &amp; baseline/change QC</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ADaM Define-XML (define.xml + stylesheet)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(ADaM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Define-XML v2.1, ADaMIG v1.3, Controlled Terminology</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Pinnacle 21 Define conformance + dataset-define consistency; derivation-method review; traceability check</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ADaM Reviewer Guide (ADRG)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(ADaM lead) / 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PHUSE ADRG template, CDISC ADaMIG v1.3, Define-XML v2.1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Peer review; consistency with Define-XML, SAP and Pinnacle 21 explanations;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CDISC conformance / validation (Pinnacle 21) report: SDTM &amp; ADaM</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 lead) / 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conformance rules, SDTMIG v3.4, ADaMIG v1.3, Define-XML v2.1, FDA/PMDA validator rules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Validated Pinnacle 21 engine; documented triage/disposition of every finding; reviewer-guide reconciliation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PK bioanalytical sample reconciliation (concentration data load &amp; BLQ handling)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scientist / Stat programmer (with bioanalytical lab &amp; Data mgmt)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FDA/ICH M10 bioanalytical method validation, 21 CFR Part 11, ALCOA++; PK analysis plan BLQ rules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100% sample-accountability reconciliation; independent check of BLQ/LLOQ flagging; record-count/value match to transfer</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Blinded data review outputs (data-review listings &amp; blinded review meeting package)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 (with Data mgmt, Clinical, PK)</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E9/E9(R1), ICH E6(R3); Data Review Plan; 21 CFR Part 11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review of listings; documented blinded decisions (minutes) prior to unblinding; reconciliation to SAP rules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S3-31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Dry-run / test datasets &amp; dry-run TLF execution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 / 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Sponsor validation/QC plan; CDISC SDTMIG v3.4/ADaMIG v1.3; 21 CFR Part 11 (program version control)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on dry-run; shell-vs-output reconciliation; defect tracking to closure</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Data cleaning / soft lock</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Data mgmt (with Lead biostatistician sign-off)</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21 CFR Part 11, ALCOA++; sponsor lock SOP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Lock checklist completion; cross-functional reconciliation sign-off; audit-trail review</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S3-33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Database hard lock</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Data mgmt (cross-functional sign-off incl. 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E6(R3), 21 CFR Part 11 (audit trail/e-records), ALCOA++; sponsor lock SOP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Formal hard-lock checklist &amp; multi-party sign-off; audit-trail/lock verification; snapshot integrity check</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Traceability (raw -&gt; SDTM -&gt; ADaM) matrix</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 (CDISC lead) / 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v3.4/ADaMIG v1.3/Define-XML v2.1 traceability principles; ICH E6(R3),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Cross-link verification raw&lt;-&gt;SDTM&lt;-&gt;ADaM; peer review; consistency with define/reviewer guides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S3-35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Controlled Terminology &amp; coding-dictionary version management (CDISC CT, MedDRA, WHODrug)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Data mgmt / Stat programmer (CDISC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Controlled Terminology (versioned), MedDRA, WHODrug; Define-XML v2.1; 21 CFR Part 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Version-lock verification; CT-conformance via Pinnacle 21; coding QC against locked dictionaries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Randomization QC / verification report (schedule vs IXRS/EDC reconciliation)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statistician (not the schedule generator)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21 CFR Part 11;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double-check; segregation of duties from generator</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S3-37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Emergency unblinding / code-break event log &amp; reconciliation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Unblinded pharmacovigilance / IXRS admin + biostat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E6(R3); 21 CFR Part 11 audit trail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verification; segregation from blinded team</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Protocol-deviation classification &amp; reconciliation log (important vs non-important)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Clinical ops + biostat (blinded review)</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ICH E6(R3); ICH E9(R1) (impact on populations/estimands)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Blinded review meeting; medical/biostat adjudication documented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S3-39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Analysis-population derivation &amp; participant-disposition reconciliation (population-flag QC)</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 + programming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(ADSL population flags); ICH E9(R1)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blinded allocation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S3-40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Data Review Meeting minutes &amp; blinded data-review sign-off (pre-lock)</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Cross-functional (DM, biostat, clinical, PK), blinded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ALCOA++; 21 CFR Part 11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Attendees confirm minutes; signatures retained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S3-41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Database lock authorization &amp; 21 CFR Part 11 audit-trail review / system records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Data management + QA + biostat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21 CFR Part 11; ALCOA++; ICH E6(R3)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QA review of audit trail; independent lock approval</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S3-42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PK sampling-time deviation &amp; actual-vs-nominal time reconciliation (PK timing dataset QC)</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PK scientist + biostat programming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PC/PP domains; FDA PK guidance;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check vs source; PK scientist sign-off</w:t>
            </w:r>
          </w:p>
        </w:tc>
      </w:tr>
    </w:tbl>
    <w:p>
      <w:pPr>
        <w:spacing w:after="60"/>
      </w:pPr>
    </w:p>
    <w:p>
      <w:pPr>
        <w:spacing w:after="120" w:line="270"/>
      </w:pPr>
      <w:r>
        <w:rPr>
          <w:i/>
          <w:iCs/>
        </w:rPr>
        <w:t xml:space="preserve">Stage gate: </w:t>
      </w:r>
      <w:r>
        <w:rPr>
          <w:i/>
          <w:iCs/>
        </w:rPr>
        <w:t xml:space="preserve">Database lock.</w:t>
      </w:r>
      <w:r>
        <w:rPr>
          <w:i/>
          <w:iCs/>
        </w:rPr>
        <w:t xml:space="preserve"> 42 deliverables.</w:t>
      </w:r>
    </w:p>
    <w:p>
      <w:pPr>
        <w:pStyle w:val="Heading2"/>
      </w:pPr>
      <w:r>
        <w:t xml:space="preserve">S4: Analysis &amp; QC</w:t>
      </w:r>
    </w:p>
    <w:p>
      <w:pPr>
        <w:spacing w:after="120" w:line="270"/>
      </w:pPr>
      <w:r>
        <w:t xml:space="preserve">TLFs and PK/PD analyses are produced and independently double-programmed; reported numbers come from validated programs and engines (Phoenix WinNonlin or PKNCA for 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Owner</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Standard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Analysis environment qualification &amp; program setup (folder structure, validated software versions, run/seed control)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21 CFR Part 11; ALCOA++; ICH E6(R3) (computerized systems / software validation); CSV/IQ-OQ-PQ</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Installation/operational qualification records; environment qualification checklist; version log; reviewer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Disposition tables (screening, randomization, dosed, completed/discontinued; analysis-set attribution)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ADaMIG v1.3 (ADSL);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against shells; population counts cross-checked to ADSL</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Demographics &amp; baseline characteristics tables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ADaMIG v1.3; CDISC CT;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descriptive stats verified against ADSL/raw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Exposure / dosing &amp; treatment-compliance tables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SDTMIG v3.4 (EX); ADaMIG v1.3;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dosing records cross-checked to EX/EC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Protocol-deviation summary tables (with importance classification)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ICH E6(R3); SDTMIG v3.4 (DV);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classification reviewed at blinded data review</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PK concentration summary tables + mean concentration-time figures (linear &amp; semi-log)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ADaMIG v1.3 (ADPC); SDTMIG v3.4 (PC); SAP / PK analysis plan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BLQ handling verified; figures QC'd vs tables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NCA execution in validated Phoenix WinNonlin (PK parameter derivation)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scientist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Validated NCA in Phoenix WinNonlin; ICH E3; ADaMIG v1.3 (ADPP); SAP / PK analysis plan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Phoenix is the validated engine of record; independent re-derivation of key parameters (second analyst / second tool) + reconciliation; lambda_z selection reviewed; run records archived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PK parameter (NCA) summary tables (Cmax, Tmax, AUC, t1/2, CL/F, Vz/F)</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ADaMIG v1.3 (ADPP);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of the summary table + reconciliation; values traceable to validated Phoenix ADPP</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Dose-proportionality &amp; accumulation analyses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SAP / PK analysis plan; relevant FDA/EMA dose-proportionality guidance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model specification reviewed; outputs traced to validated ADPP</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Food-effect / DDI / relative BA-BE statistical analysis (ANOVA, 90% CI, GMR), if applicable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FDA/EMA BE &amp; food-effect &amp; DDI guidances;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of mixed-model/GMR/90% CI + reconciliation; model statement (fixed/random effects) reviewed; values traced to validated ADPP</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Concentration-QTc (C-QTc) / QT-QTc analysis, if applicable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E14 + E14 Q&amp;A (R3) (Q5.1, concentration-response modeling) and E14/S7B Q&amp;As (2022); ICH E3; ADaMIG v1.3 (ADEG);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re-modeling / double-programming + reconciliation; C-QTc model assumptions reviewed; run records archived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popPK / exposure-response modeling (NONMEM/Monolix) with run records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Pharmacometrician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Validated NONMEM/Monolix; popPK analysis plan; FDA/EMA popPK &amp; exposure-response guidance; ICH E3</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Run records (control streams/seeds/logs) archived; independent review of model code &amp; assumptions; key results reproduced; VPC/GOF reviewed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Safety TLFs: TEAEs (overview, by SOC/PT, severity, relationship, by dose)</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MedDRA; ADaMIG v1.3 (ADAE);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TEAE flag/derivation verified; counts cross-checked to ADAE</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Safety TLFs: deaths, SAEs, and AEs leading to discontinuation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ICH E2A/E6(R3); MedDRA;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SAE/death flags reconciled with safety database/PV</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Safety TLFs: clinical laboratory analyses (summary, change-from-baseline, shift tables, outliers, Hy's law)</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CDISC CT; ADaMIG v1.3 (ADLB);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reference-range/grade derivations verified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Safety TLFs: vital signs, ECG (12-lead parameters), physical exam</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ICH E14 (ECG categorical); ADaMIG v1.3 (ADVS/ADEG);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baseline/CFB and outlier criteria verified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PD endpoint analyses (biomarker / target-engagement summaries and PK/PD)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ADaMIG v1.3 (ADPD);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derivations/units verified; PK/PD models reviewed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Immunogenicity / anti-drug antibody (ADA) analyses, if applicable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FDA/EMA immunogenicity guidance; CDISC IS;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TE-ADA derivation verified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Exploratory / post-hoc analyses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ICH E9; SAP (exploratory designation)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Risk-based QC (key exploratory outputs double-programmed); exploratory flagging reviewed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Statistical analysis execution (run-all production of SAP-specified analyses)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E9; ICH E3; 21 CFR Part 11; ALCOA++;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Log review (no errors/warnings); output-vs-shell check; independent double-programming reconciliation gate before release</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Independent double-programming QC + reconciliation (discrepancy resolution)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E6(R3); 21 CFR Part 11; ALCOA++; validation/QC plan; SAP</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This IS the QC step: independent double-programming + documented reconciliation; lead biostatistician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TLF validation / QC documentation &amp; discrepancy log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21 CFR Part 11; ALCOA++; ICH E6(R3); validation/QC plan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Completeness/consistency review of QC records; lead biostatistician sign-off</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Blinded / blind data-review meeting &amp; documented decisions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E9; ICH E6(R3); ICH E3; SAP / Data Review Plan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Decisions documented before unblinding; cross-functional sign-off; decisions locked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Unblinding / code-break execution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E6(R3); 21 CFR Part 11 (audit trail/access); unblinding/code-break SOP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Authorization &amp; timing documented; access-controlled execution; audit trail; segregation of duties verified</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Pharmacometrics / popPK analysis report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FDA/EMA popPK &amp; exposure-response guidance; ICH E3; modeling analysis plan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 of model &amp; report; key results reproduced; run-record completeness check</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QC documentation / validation records package (analysis stage)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21 CFR Part 11; ALCOA++; ICH E6(R3); validation/QC plan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Completeness/traceability review; lead biostatistician sign-off; archived per retention policy</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Phoenix WinNonlin NCA parameter-derivation QC / independent NCA verification record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scientist + independent PK QC reviewer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Phoenix WinNonlin (validated NCA); FDA PK guidance; 21 CFR Part 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PK reviewer; documented parameter verification</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Pharmacometrics model qualification &amp; validation records (covariate selection, GOF, VPC, bootstrap, run log)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Pharmacometrician + independent reviewer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NONMEM/Monolix; FDA popPK guidance; 21 CFR Part 11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pharmacometrics review; reproducible run records</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Risk-based QC plan execution &amp; QC-level assignment matrix (per-output QC tiering)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Statistical programming QC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E6(R3) risk-based quality management; ICH E8(R1)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QC lead sign-off; mandatory independent double-programming for RED outputs</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S4-30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Concentration-QTc (C-QTc) model assumption-check &amp; QC record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Pharmacometrician / cardiac-safety 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E14 / E14-S7B Q&amp;A; FDA C-QTc guidance</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cardiac-safety statistician review</w:t>
            </w:r>
          </w:p>
        </w:tc>
      </w:tr>
    </w:tbl>
    <w:p>
      <w:pPr>
        <w:spacing w:after="60"/>
      </w:pPr>
    </w:p>
    <w:p>
      <w:pPr>
        <w:spacing w:after="120" w:line="270"/>
      </w:pPr>
      <w:r>
        <w:rPr>
          <w:i/>
          <w:iCs/>
        </w:rPr>
        <w:t xml:space="preserve">Stage gate: </w:t>
      </w:r>
      <w:r>
        <w:rPr>
          <w:i/>
          <w:iCs/>
        </w:rPr>
        <w:t xml:space="preserve">All outputs QC-passed.</w:t>
      </w:r>
      <w:r>
        <w:rPr>
          <w:i/>
          <w:iCs/>
        </w:rPr>
        <w:t xml:space="preserve"> 30 deliverables.</w:t>
      </w:r>
    </w:p>
    <w:p>
      <w:pPr>
        <w:pStyle w:val="Heading2"/>
      </w:pPr>
      <w:r>
        <w:t xml:space="preserve">S5: Reporting &amp; CSR</w:t>
      </w:r>
    </w:p>
    <w:p>
      <w:pPr>
        <w:spacing w:after="120" w:line="270"/>
      </w:pPr>
      <w:r>
        <w:t xml:space="preserve">Results become the CSR: statistical methods and results text, in-text tables/figures, appendices, the submission package, and cross-document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Owner</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Standard</w:t>
            </w:r>
          </w:p>
        </w:tc>
        <w:tc>
          <w:tcPr>
            <w:tcW w:type="dxa" w:w="1872"/>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S5-01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CSR Statistical Methods section (Section 9.7 / 11) per ICH E3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(Section 9.7/11 structure), ICH E9 + E9(R1) estimands, CDISC ADaMIG v1.3 (population/derivation traceability)</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Peer review by second biostatistician against final SAP; cross-check that every method maps to a reported output; medical-writer editorial QC; SAP-vs-CSR methods reconciliation checklist</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S5-02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CSR Results: in-text (in-body) summary tables and figures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(Section 10–12 Results), CDISC ADaMIG v1.3 (source datasets), Phoenix WinNonlin (NCA engine of record)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or 1:1 reconciliation of every in-text value against the corresponding full TLF and source ADaM; numerical-consistency check; QC log signed off</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S5-03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Biostatistician contribution to and review of the CSR draft (Results text, consistency QC)</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ICH E9/E9(R1), 21 CFR Part 11 (review records/audit trail)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Documented number-by-number consistency check (CSR-vs-TLF-vs-ADaM); second-reviewer spot-check; tracked-changes/comment resolution log retained as a controlled record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S5-04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CSR Appendix 16.1.9: Documentation of statistical methods incl. final SAP</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(Appendix 16.1.9), ICH E9/E9(R1), 21 CFR Part 11 / ALCOA++ (versioning, audit trail)</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Completeness/version reconciliation (approved versions only); cross-check SAP content vs CSR Methods; QA review of appendix assembly</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S5-05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CSR Appendix 16.2: Data listings (by participant)</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(Section 16.2), CDISC SDTMIG v3.4 / ADaMIG v1.3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or QC review of each listing; reconciliation against summary TLFs; QC log</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S5-06</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CSR appendices: Define-XML + reviewer guides (cSDRG/ADRG) and annotated CRF as submission appendices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Define-XML v2.1, cSDRG/ADRG templates, CDISC Controlled Terminology, FDA/PMDA submission requirements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Pinnacle 21 conformance re-run on final datasets; reviewer-guide completeness check; define-vs-dataset consistency QC</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S5-07</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Patient narrative data support (safety narratives)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(Section 12.3.2 / narratives), ICH E6(R3) GCP, 21 CFR Part 11, ALCOA++</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Narrative-to-source data reconciliation per participant; independent check of the trigger list (all deaths/SAEs captured); QC log</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S5-08</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Participant (patient) profiles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CDISC SDTMIG v3.4 / ADaMIG v1.3, 21 CFR Part 11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Spot-check profiles vs source listings; independent review of profile program; reconciliation against ADaM</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S5-09</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Submission datasets + analysis programs as regulatory deliverables (with ADRG/cSDRG)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ADaMIG v1.3, Define-XML v2.1, Controlled Terminology; FDA Study Data Technical Conformance Guide (v6.3, Oct 2026); 21 CFR Part 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Final Pinnacle 21 conformance; independent double-programming evidence retained; program executability/QC review; traceability raw→SDTM→ADaM→TLF confirmed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S5-10</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Traceability matrix (raw → SDTM → ADaM → TLF/CSR)</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(traceability), Define-XML v2.1 value-level metadata, ICH E3, 21 CFR Part 11 / ALCOA++</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verification that each CSR/TLF number traces to a derivation and source; gap review; QA audit</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S5-11</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QC of CSR-vs-TLF-vs-dataset numerical consistency</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ICH E9, 21 CFR Part 11 / ALCOA++ (QC records, audit trail)</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reviewer performs the check; discrepancy log tracked to closure; second-level QA sign-off</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S5-12</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Statistical input to clinical study synopsis and briefing documents</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ICH E3 (synopsis), ICH E9/E9(R1), ICH M11 alignment for protocol/briefing context</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Consistency check vs CSR body and TLFs (numbers identical); peer/medical review; sign-off</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S5-13</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Statistical/biometrics sign-off and CSR release for submission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ICH E6(R3) GCP, 21 CFR Part 11 / ALCOA++ (e-signatures, audit trail), CDISC submission standards</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Final QA review; confirmation all discrepancy logs closed; e-signature with audit trail; engine-of-record records (software and version) attached</w:t>
            </w:r>
          </w:p>
        </w:tc>
      </w:tr>
      <w:tr>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S5-14</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b/>
                <w:bCs/>
                <w:sz w:val="17"/>
                <w:szCs w:val="17"/>
              </w:rPr>
              <w:t xml:space="preserve">eCTD Module 5 submission package assembly &amp; study-data standards conformance (study data reviewer's guide bundle, study-tagging)</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Regulatory + biometrics submission lead</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FDA Study Data Technical Conformance Guide; eCTD; Define-XML v2.1</w:t>
            </w:r>
          </w:p>
        </w:tc>
        <w:tc>
          <w:tcPr>
            <w:tcW w:type="dxa" w:w="1872"/>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Submission-readiness review; Pinnacle 21 package validation</w:t>
            </w:r>
          </w:p>
        </w:tc>
      </w:tr>
      <w:tr>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S5-15</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b/>
                <w:bCs/>
                <w:sz w:val="17"/>
                <w:szCs w:val="17"/>
              </w:rPr>
              <w:t xml:space="preserve">Analysis Data Reviewer's Guide of record finalization &amp; cross-document consistency (SAP↔Define↔ADRG↔CSR)</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Lead biostatistician + metadata lead</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ICH E3; ADaMIG v1.3; Define-XML v2.1; cSDRG/ADRG</w:t>
            </w:r>
          </w:p>
        </w:tc>
        <w:tc>
          <w:tcPr>
            <w:tcW w:type="dxa" w:w="1872"/>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Biostatistician sign-off; documented discrepancy closure</w:t>
            </w:r>
          </w:p>
        </w:tc>
      </w:tr>
    </w:tbl>
    <w:p>
      <w:pPr>
        <w:spacing w:after="60"/>
      </w:pPr>
    </w:p>
    <w:p>
      <w:pPr>
        <w:spacing w:after="120" w:line="270"/>
      </w:pPr>
      <w:r>
        <w:rPr>
          <w:i/>
          <w:iCs/>
        </w:rPr>
        <w:t xml:space="preserve">Stage gate: </w:t>
      </w:r>
      <w:r>
        <w:rPr>
          <w:i/>
          <w:iCs/>
        </w:rPr>
        <w:t xml:space="preserve">CSR draft delivered.</w:t>
      </w:r>
      <w:r>
        <w:rPr>
          <w:i/>
          <w:iCs/>
        </w:rPr>
        <w:t xml:space="preserve"> 15 deliverables.</w:t>
      </w:r>
    </w:p>
    <w:p>
      <w:pPr>
        <w:pStyle w:val="Heading2"/>
      </w:pPr>
      <w:r>
        <w:t xml:space="preserve">CDISC dataset &amp; metadata inventory</w:t>
      </w:r>
    </w:p>
    <w:p>
      <w:pPr>
        <w:spacing w:after="120" w:line="270"/>
      </w:pPr>
      <w:r>
        <w:t xml:space="preserve">The standardized-data spine that makes the study submission-ready (SDTM → ADaM → Define-XML, with conformance and reviewer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Standard</w:t>
            </w:r>
          </w:p>
        </w:tc>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S3-04</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datasets: DM (Demographics)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Controlled Terminology, Define-XML v2.1</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conformance; reconciliation to raw and randomization</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S3-05</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datasets: PC (Pharmacokinetic Concentrations)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(Findings), Define-XML v2.1, value-level metadata; CT for units/analytes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100% reconciliation to bioanalytical transfer (record count, value, BLQ flags); nominal-vs-actual time check</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S3-06</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datasets: PP (Pharmacokinetic Parameters)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(PP domain), CT for PK parameters (PKPARMCD), Define-XML v2.1, RELREC linkage to PC</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Reconciliation to Phoenix output (the engine of record); independent double-programming of the SDTM structure; Pinnacle 21</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S3-07</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datasets: EX (Exposure)</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(Interventions), Define-XML v2.1, Controlled Terminology</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reconciliation to randomization and to PC time-after-dose derivation</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S3-08</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datasets: AE (Adverse Events)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(Events), MedDRA (versioned), Define-XML v2.1, CT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MedDRA coding QC; reconciliation to safety database/SAE recon</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S3-09</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datasets: LB (Laboratory)</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(Findings), CT/LOINC, Define-XML v2.1 value-level metadata, unit standardization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100% reconciliation to lab transfer; unit conversion QC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S3-10</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datasets: VS (Vital Signs)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(Findings), CT, Define-XML v2.1</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reconciliation to raw</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datasets: EG (ECG)</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(Findings), CT, Define-XML v2.1; time-matched to PC for C-QTc</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reconciliation to ECG core-lab transfer; PK time-matching QC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S3-12</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datasets: DS (Disposition)</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(Events), CT, Define-XML v2.1</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reconciliation to enrollment/randomization counts</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S3-13</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datasets: MH (Medical History)</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(Events), MedDRA, CT, Define-XML v2.1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coding QC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S3-14</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datasets: CM (Concomitant/Prior Medications)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 (Interventions), WHODrug (versioned), CT, Define-XML v2.1</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coding QC</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S3-15</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datasets: PD/DV and other supporting domains (PD/PE/SU/QS, DV, CO, SE/TA/TV/TE trial design, SUPPQUAL, RELREC)</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SDTMIG v3.4 (Findings/Events/Special-Purpose/Trial-Design/SUPP/RELREC), CT, Define-XML v2.1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RELREC integrity check (PC&lt;-&gt;PP); deviation-classification reconciliation</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S3-16</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SDTM Define-XML (define.xml + stylesheet)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Define-XML v2.1, SDTMIG v3.4, Controlled Terminology</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Pinnacle 21 Define conformance + dataset-define consistency; peer review; origin/aCRF cross-link check</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S3-17</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SDTM Reviewer Guide (cSDRG)</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PHUSE cSDRG template, CDISC SDTMIG v3.4, Define-XML v2.1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Peer review; consistency with Define-XML and Pinnacle 21 explanations; sign-off</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S3-18</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 datasets: ADSL (participant-level analysis dataset)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Define-XML v2.1, traceability to SDTM, CT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ADaM checks; population-flag reconciliation to disposition/randomization</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S3-19</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 datasets: ADPC (PK Concentrations Analysis)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(BDS / PK ADaM), Define-XML v2.1, traceability to PC/EX, CT</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time-after-dose &amp; BLQ-rule QC; reconciliation to PC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S3-20</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 datasets: ADPP (PK Parameters Analysis)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Define-XML v2.1, traceability to PP/Phoenix, CT (PK params)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Reconciliation to Phoenix (engine of record); independent double-programming; Pinnacle 21</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 datasets: ADAE (Adverse Events Analysis)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OCCDS, MedDRA, Define-XML v2.1, traceability to AE, CT</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TRTEMFL logic QC; reconciliation to SDTM AE &amp; SAE database</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S3-22</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 datasets: ADLB (Laboratory Analysis)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BDS, Define-XML v2.1 value-level metadata, traceability to LB, CT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baseline/change &amp; category-derivation QC; reconciliation to LB</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S3-23</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 datasets: ADVS (Vital Signs Analysis)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BDS, Define-XML v2.1, traceability to VS, CT</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baseline/change QC; reconciliation to VS</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S3-24</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 datasets: ADEG (ECG Analysis)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ADaMIG v1.3 BDS, Define-XML v2.1, traceability to EG/PC, CT; ICH E14/concentration-QTc practice</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Pinnacle 21; QTc category &amp; time-matching QC; reconciliation to EG</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S3-25</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 datasets: ADPD and other analysis datasets (ADPD, ADCM, ADMH, deviation/exposure analysis as applicable)</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ADaMIG v1.3 BDS/OCCDS, Define-XML v2.1, traceability to SDTM, CT</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Pinnacle 21; PK-PD linkage &amp; baseline/change QC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S3-26</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ADaM Define-XML (define.xml + stylesheet)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Define-XML v2.1, ADaMIG v1.3, Controlled Terminology</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Pinnacle 21 Define conformance + dataset-define consistency; derivation-method review; traceability check</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S3-27</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ADaM Reviewer Guide (ADRG)</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PHUSE ADRG template, CDISC ADaMIG v1.3, Define-XML v2.1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Peer review; consistency with Define-XML, SAP and Pinnacle 21 explanations; sign-off</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S3-28</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conformance / validation (Pinnacle 21) report: SDTM &amp; ADaM</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conformance rules, SDTMIG v3.4, ADaMIG v1.3, Define-XML v2.1, FDA/PMDA validator rules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Validated Pinnacle 21 engine; documented triage/disposition of every finding; reviewer-guide reconciliation</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Dry-run / test datasets &amp; dry-run TLF execution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Sponsor validation/QC plan; CDISC SDTMIG v3.4/ADaMIG v1.3; 21 CFR Part 11 (program version control)</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on dry-run; shell-vs-output reconciliation; defect tracking to closure</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S3-34</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Traceability (raw -&gt; SDTM -&gt; ADaM) matrix</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SDTMIG v3.4/ADaMIG v1.3/Define-XML v2.1 traceability principles; ICH E6(R3), ALCOA++</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Cross-link verification raw&lt;-&gt;SDTM&lt;-&gt;ADaM; peer review; consistency with define/reviewer guides</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S3-35</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Controlled Terminology &amp; coding-dictionary version management (CDISC CT, MedDRA, WHODrug)</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CDISC Controlled Terminology (versioned), MedDRA, WHODrug; Define-XML v2.1; 21 CFR Part 11</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Version-lock verification; CT-conformance via Pinnacle 21; coding QC against locked dictionaries</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S3-42</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sampling-time deviation &amp; actual-vs-nominal time reconciliation (PK timing dataset QC)</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CDISC PC/PP domains; FDA PK guidance; ALCOA++</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check vs source; PK scientist sign-off</w:t>
            </w:r>
          </w:p>
        </w:tc>
      </w:tr>
    </w:tbl>
    <w:p>
      <w:pPr>
        <w:spacing w:after="60"/>
      </w:pPr>
    </w:p>
    <w:p>
      <w:pPr>
        <w:pStyle w:val="Heading2"/>
      </w:pPr>
      <w:r>
        <w:t xml:space="preserve">TLF &amp; analysis-output inventory (Stage 4)</w:t>
      </w:r>
    </w:p>
    <w:p>
      <w:pPr>
        <w:spacing w:after="120" w:line="270"/>
      </w:pPr>
      <w:r>
        <w:t xml:space="preserve">Tables, listings, and figures by domain, plus the PK/PD analyses. Reported numbers come from validated programs and engines and are independently double-programmed.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ID</w:t>
            </w:r>
          </w:p>
        </w:tc>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w:t>
            </w:r>
          </w:p>
        </w:tc>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Owner</w:t>
            </w:r>
          </w:p>
        </w:tc>
        <w:tc>
          <w:tcPr>
            <w:tcW w:type="dxa" w:w="234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QC</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S4-02</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Disposition tables (screening, randomization, dosed, completed/discontinued; analysis-set attribution)</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against shells; population counts cross-checked to ADSL</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S4-03</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Demographics &amp; baseline characteristics tables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descriptive stats verified against ADSL/raw</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S4-04</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Exposure / dosing &amp; treatment-compliance tables</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dosing records cross-checked to EX/EC</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S4-05</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Protocol-deviation summary tables (with importance classification)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classification reviewed at blinded data review</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S4-06</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concentration summary tables + mean concentration-time figures (linear &amp; semi-log)</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BLQ handling verified; figures QC'd vs tables</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S4-07</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NCA execution in validated Phoenix WinNonlin (PK parameter derivation)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PK scientist</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Phoenix is the validated engine of record; independent re-derivation of key parameters (second analyst / second tool) + reconciliation; lambda_z selection reviewed; run records archived</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S4-08</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PK parameter (NCA) summary tables (Cmax, Tmax, AUC, t1/2, CL/F, Vz/F)</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of the summary table + reconciliation; values traceable to validated Phoenix ADPP</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S4-09</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Dose-proportionality &amp; accumulation analyses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model specification reviewed; outputs traced to validated ADPP</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S4-11</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Concentration-QTc (C-QTc) / QT-QTc analysis, if applicable</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re-modeling / double-programming + reconciliation; C-QTc model assumptions reviewed; run records archived</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S4-12</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popPK / exposure-response modeling (NONMEM/Monolix) with run records</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Pharmacometrician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Run records (control streams/seeds/logs) archived; independent review of model code &amp; assumptions; key results reproduced; VPC/GOF reviewed</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S4-13</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Safety TLFs: TEAEs (overview, by SOC/PT, severity, relationship, by dose)</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TEAE flag/derivation verified; counts cross-checked to ADAE</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S4-14</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Safety TLFs: deaths, SAEs, and AEs leading to discontinuation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SAE/death flags reconciled with safety database/PV</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S4-15</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Safety TLFs: clinical laboratory analyses (summary, change-from-baseline, shift tables, outliers, Hy's law)</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reference-range/grade derivations verified</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S4-16</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Safety TLFs: vital signs, ECG (12-lead parameters), physical exam</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double-programming + reconciliation; baseline/CFB and outlier criteria verified</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S4-18</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Immunogenicity / anti-drug antibody (ADA) analyses, if applicable</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double-programming + reconciliation; TE-ADA derivation verified</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S4-22</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TLF validation / QC documentation &amp; discrepancy log</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Stat programmer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Completeness/consistency review of QC records; lead biostatistician sign-off</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S4-25</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Pharmacometrics / popPK analysis report</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review of model &amp; report; key results reproduced; run-record completeness check</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S4-27</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Phoenix WinNonlin NCA parameter-derivation QC / independent NCA verification record</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PK scientist + independent PK QC reviewer</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PK reviewer; documented parameter verification</w:t>
            </w:r>
          </w:p>
        </w:tc>
      </w:tr>
      <w:tr>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S4-28</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Pharmacometrics model qualification &amp; validation records (covariate selection, GOF, VPC, bootstrap, run log)</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Pharmacometrician + independent reviewer</w:t>
            </w:r>
          </w:p>
        </w:tc>
        <w:tc>
          <w:tcPr>
            <w:tcW w:type="dxa" w:w="234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Independent pharmacometrics review; reproducible run records</w:t>
            </w:r>
          </w:p>
        </w:tc>
      </w:tr>
      <w:tr>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S4-30</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Concentration-QTc (C-QTc) model assumption-check &amp; QC record</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Pharmacometrician / cardiac-safety statistician</w:t>
            </w:r>
          </w:p>
        </w:tc>
        <w:tc>
          <w:tcPr>
            <w:tcW w:type="dxa" w:w="234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Independent cardiac-safety statistician review</w:t>
            </w:r>
          </w:p>
        </w:tc>
      </w:tr>
    </w:tbl>
    <w:p>
      <w:pPr>
        <w:spacing w:after="60"/>
      </w:pPr>
    </w:p>
    <w:p>
      <w:pPr>
        <w:pStyle w:val="Heading2"/>
      </w:pPr>
      <w:r>
        <w:t xml:space="preserve">Validation &amp; quality (cross-cutting)</w:t>
      </w:r>
    </w:p>
    <w:p>
      <w:pPr>
        <w:pStyle w:val="ListParagraph"/>
        <w:numPr>
          <w:ilvl w:val="0"/>
          <w:numId w:val="1"/>
        </w:numPr>
        <w:spacing w:after="40" w:line="250"/>
      </w:pPr>
      <w:r>
        <w:rPr>
          <w:b/>
          <w:bCs/>
        </w:rPr>
        <w:t xml:space="preserve">Independent double programming</w:t>
      </w:r>
      <w:r>
        <w:t xml:space="preserve"> of every submission-grade output, with every discrepancy logged and resolved.</w:t>
      </w:r>
    </w:p>
    <w:p>
      <w:pPr>
        <w:pStyle w:val="ListParagraph"/>
        <w:numPr>
          <w:ilvl w:val="0"/>
          <w:numId w:val="1"/>
        </w:numPr>
        <w:spacing w:after="40" w:line="250"/>
      </w:pPr>
      <w:r>
        <w:rPr>
          <w:b/>
          <w:bCs/>
        </w:rPr>
        <w:t xml:space="preserve">Engine of record</w:t>
      </w:r>
      <w:r>
        <w:t xml:space="preserve"> for every deliverable: reported numbers come from validated, double-programmed SAS/R programs on ADaM; NCA from Phoenix WinNonlin (version per the ADRG, currently 8.8) or PKNCA; CDISC conformance is checked with Pinnacle 21 (FDA engine 2304.3). Software version and build are documented, as FDA's statistical software statement asks.</w:t>
      </w:r>
    </w:p>
    <w:p>
      <w:pPr>
        <w:pStyle w:val="ListParagraph"/>
        <w:numPr>
          <w:ilvl w:val="0"/>
          <w:numId w:val="1"/>
        </w:numPr>
        <w:spacing w:after="40" w:line="250"/>
      </w:pPr>
      <w:r>
        <w:rPr>
          <w:b/>
          <w:bCs/>
        </w:rPr>
        <w:t xml:space="preserve">Data integrity:</w:t>
      </w:r>
      <w:r>
        <w:t xml:space="preserve"> records that are attributable, legible, contemporaneous, original, accurate, complete, secure, and reliable (ICH E6(R3)); audit trails and e-signatures in systems designed to meet 21 CFR Part 11.</w:t>
      </w:r>
    </w:p>
    <w:p>
      <w:pPr>
        <w:pStyle w:val="ListParagraph"/>
        <w:numPr>
          <w:ilvl w:val="0"/>
          <w:numId w:val="1"/>
        </w:numPr>
        <w:spacing w:after="40" w:line="250"/>
      </w:pPr>
      <w:r>
        <w:rPr>
          <w:b/>
          <w:bCs/>
        </w:rPr>
        <w:t xml:space="preserve">Software / environment qualification</w:t>
      </w:r>
      <w:r>
        <w:t xml:space="preserve"> (IQ/OQ/PQ) for SAS/R, Phoenix WinNonlin, NONMEM/Monolix, and Pinnacle 21.</w:t>
      </w:r>
    </w:p>
    <w:p>
      <w:pPr>
        <w:pStyle w:val="ListParagraph"/>
        <w:numPr>
          <w:ilvl w:val="0"/>
          <w:numId w:val="1"/>
        </w:numPr>
        <w:spacing w:after="40" w:line="250"/>
      </w:pPr>
      <w:r>
        <w:rPr>
          <w:b/>
          <w:bCs/>
        </w:rPr>
        <w:t xml:space="preserve">Named sign-off:</w:t>
      </w:r>
      <w:r>
        <w:t xml:space="preserve"> a qualified statistician reviews and signs each deliverable.</w:t>
      </w:r>
    </w:p>
    <w:p>
      <w:pPr>
        <w:pStyle w:val="Heading2"/>
      </w:pPr>
      <w:r>
        <w:t xml:space="preserve">Appendix: AI-use proposal</w:t>
      </w:r>
    </w:p>
    <w:p>
      <w:pPr>
        <w:spacing w:after="120" w:line="270"/>
      </w:pPr>
      <w:r>
        <w:t xml:space="preserve">A proposal, not an adopted policy, for where AI tools could assist on these deliverables and where they may not. For context, FDA's guidance on using AI to support regulatory decision-making for drugs is still a draft (January 2025), and the FDA-EMA guiding principles for AI in drug development (January 2026) are non-binding.</w:t>
      </w:r>
    </w:p>
    <w:p>
      <w:pPr>
        <w:spacing w:after="50" w:line="255"/>
        <w:ind w:left="460" w:hanging="280"/>
      </w:pPr>
      <w:r>
        <w:t xml:space="preserve">1. Every reported number comes from a validated program or engine. An AI tool may draft code that is one side of independent double programming, never both sides.</w:t>
      </w:r>
    </w:p>
    <w:p>
      <w:pPr>
        <w:spacing w:after="50" w:line="255"/>
        <w:ind w:left="460" w:hanging="280"/>
      </w:pPr>
      <w:r>
        <w:t xml:space="preserve">2. Participant-level, unblinded, or identifiable data stays inside the validated environment (a local, version-pinned model, if any model is used). Only de-identified text and specifications may go to a contracted cloud service under a data-processing agreement, never a consumer account.</w:t>
      </w:r>
    </w:p>
    <w:p>
      <w:pPr>
        <w:spacing w:after="50" w:line="255"/>
        <w:ind w:left="460" w:hanging="280"/>
      </w:pPr>
      <w:r>
        <w:t xml:space="preserve">3. A named statistician reviews and signs every output, and AI use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Tier</w:t>
            </w:r>
          </w:p>
        </w:tc>
        <w:tc>
          <w:tcPr>
            <w:tcW w:type="dxa" w:w="312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Deliverables</w:t>
            </w:r>
          </w:p>
        </w:tc>
        <w:tc>
          <w:tcPr>
            <w:tcW w:type="dxa" w:w="3120"/>
            <w:tcBorders>
              <w:top w:val="single" w:color="D5DBEA" w:sz="1"/>
              <w:left w:val="single" w:color="D5DBEA" w:sz="1"/>
              <w:bottom w:val="single" w:color="D5DBEA" w:sz="1"/>
              <w:right w:val="single" w:color="D5DBEA" w:sz="1"/>
            </w:tcBorders>
            <w:shd w:fill="1E2761" w:val="clear"/>
            <w:tcMar>
              <w:top w:type="dxa" w:w="60"/>
              <w:left w:type="dxa" w:w="110"/>
              <w:bottom w:type="dxa" w:w="60"/>
              <w:right w:type="dxa" w:w="110"/>
            </w:tcMar>
          </w:tcPr>
          <w:p>
            <w:pPr>
              <w:spacing w:after="0" w:line="230"/>
            </w:pPr>
            <w:r>
              <w:rPr>
                <w:b/>
                <w:bCs/>
                <w:color w:val="FFFFFF"/>
                <w:sz w:val="18"/>
                <w:szCs w:val="18"/>
              </w:rPr>
              <w:t xml:space="preserve">What an AI tool may do</w:t>
            </w:r>
          </w:p>
        </w:tc>
      </w:tr>
      <w:tr>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Green</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44</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Draft text, scaffolds, and documentation from de-identified content</w:t>
            </w:r>
          </w:p>
        </w:tc>
      </w:tr>
      <w:tr>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Amber</w:t>
            </w:r>
          </w:p>
        </w:tc>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54</w:t>
            </w:r>
          </w:p>
        </w:tc>
        <w:tc>
          <w:tcPr>
            <w:tcW w:type="dxa" w:w="3120"/>
            <w:tcBorders>
              <w:top w:val="single" w:color="D5DBEA" w:sz="1"/>
              <w:left w:val="single" w:color="D5DBEA" w:sz="1"/>
              <w:bottom w:val="single" w:color="D5DBEA" w:sz="1"/>
              <w:right w:val="single" w:color="D5DBEA" w:sz="1"/>
            </w:tcBorders>
            <w:shd w:fill="F3F6FC" w:val="clear"/>
            <w:tcMar>
              <w:top w:type="dxa" w:w="60"/>
              <w:left w:type="dxa" w:w="110"/>
              <w:bottom w:type="dxa" w:w="60"/>
              <w:right w:type="dxa" w:w="110"/>
            </w:tcMar>
          </w:tcPr>
          <w:p>
            <w:pPr>
              <w:spacing w:after="0" w:line="230"/>
            </w:pPr>
            <w:r>
              <w:rPr>
                <w:sz w:val="17"/>
                <w:szCs w:val="17"/>
              </w:rPr>
              <w:t xml:space="preserve">Draft dataset or TLF code as one side of double programming</w:t>
            </w:r>
          </w:p>
        </w:tc>
      </w:tr>
      <w:tr>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Red</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34</w:t>
            </w:r>
          </w:p>
        </w:tc>
        <w:tc>
          <w:tcPr>
            <w:tcW w:type="dxa" w:w="3120"/>
            <w:tcBorders>
              <w:top w:val="single" w:color="D5DBEA" w:sz="1"/>
              <w:left w:val="single" w:color="D5DBEA" w:sz="1"/>
              <w:bottom w:val="single" w:color="D5DBEA" w:sz="1"/>
              <w:right w:val="single" w:color="D5DBEA" w:sz="1"/>
            </w:tcBorders>
            <w:shd w:fill="FFFFFF" w:val="clear"/>
            <w:tcMar>
              <w:top w:type="dxa" w:w="60"/>
              <w:left w:type="dxa" w:w="110"/>
              <w:bottom w:type="dxa" w:w="60"/>
              <w:right w:type="dxa" w:w="110"/>
            </w:tcMar>
          </w:tcPr>
          <w:p>
            <w:pPr>
              <w:spacing w:after="0" w:line="230"/>
            </w:pPr>
            <w:r>
              <w:rPr>
                <w:sz w:val="17"/>
                <w:szCs w:val="17"/>
              </w:rPr>
              <w:t xml:space="preserve">Nothing: validated programs and engines produce the numbers, and a human checks them</w:t>
            </w:r>
          </w:p>
        </w:tc>
      </w:tr>
    </w:tbl>
    <w:p>
      <w:pPr>
        <w:spacing w:after="60"/>
      </w:pPr>
    </w:p>
    <w:p>
      <w:pPr>
        <w:spacing w:after="120" w:line="270"/>
      </w:pPr>
      <w:r>
        <w:t xml:space="preserve">If AI tools are used, four records are kept:</w:t>
      </w:r>
    </w:p>
    <w:p>
      <w:pPr>
        <w:pStyle w:val="ListParagraph"/>
        <w:numPr>
          <w:ilvl w:val="0"/>
          <w:numId w:val="1"/>
        </w:numPr>
        <w:spacing w:after="40" w:line="250"/>
      </w:pPr>
      <w:r>
        <w:rPr>
          <w:b/>
          <w:bCs/>
        </w:rPr>
        <w:t xml:space="preserve">AI-01 AI-use plan: data classification and tool routing</w:t>
      </w:r>
      <w:r>
        <w:t xml:space="preserve"> (Stage 2, before any AI-assisted work): Per planned deliverable: the data-sensitivity class and where any AI assistance may run. Participant-level, unblinded or identifiable data: a local, version-pinned model with no data leaving the validated environment. De-identified text and specifications: a contracted cloud service under a data-processing agreement, never a consumer account. Reported numbers: validated programs and engines only.</w:t>
      </w:r>
    </w:p>
    <w:p>
      <w:pPr>
        <w:pStyle w:val="ListParagraph"/>
        <w:numPr>
          <w:ilvl w:val="0"/>
          <w:numId w:val="1"/>
        </w:numPr>
        <w:spacing w:after="40" w:line="250"/>
      </w:pPr>
      <w:r>
        <w:rPr>
          <w:b/>
          <w:bCs/>
        </w:rPr>
        <w:t xml:space="preserve">AI-02 AI-use log (data stage)</w:t>
      </w:r>
      <w:r>
        <w:t xml:space="preserve"> (Stage 3, kept current): Per Stage 3 deliverable: the data class, where AI assistance ran, the engine of record for any dataset, and the model version used.</w:t>
      </w:r>
    </w:p>
    <w:p>
      <w:pPr>
        <w:pStyle w:val="ListParagraph"/>
        <w:numPr>
          <w:ilvl w:val="0"/>
          <w:numId w:val="1"/>
        </w:numPr>
        <w:spacing w:after="40" w:line="250"/>
      </w:pPr>
      <w:r>
        <w:rPr>
          <w:b/>
          <w:bCs/>
        </w:rPr>
        <w:t xml:space="preserve">AI-03 AI-use log (analysis stage)</w:t>
      </w:r>
      <w:r>
        <w:t xml:space="preserve"> (Stage 4, per output): Per output: the data class, where AI assistance ran, the engine of record for reported numbers (for example Phoenix WinNonlin, PKNCA or NONMEM), the model version, and retained prompts and outputs for AI-drafted code that was one side of double programming.</w:t>
      </w:r>
    </w:p>
    <w:p>
      <w:pPr>
        <w:pStyle w:val="ListParagraph"/>
        <w:numPr>
          <w:ilvl w:val="0"/>
          <w:numId w:val="1"/>
        </w:numPr>
        <w:spacing w:after="40" w:line="250"/>
      </w:pPr>
      <w:r>
        <w:rPr>
          <w:b/>
          <w:bCs/>
        </w:rPr>
        <w:t xml:space="preserve">AI-04 AI-use summary for the study file</w:t>
      </w:r>
      <w:r>
        <w:t xml:space="preserve"> (Stage 5, before release): One summary across the study: model versions, the engine-of-record register showing every reported number came from a validated program or engine, and the retained prompt and output records.</w:t>
      </w:r>
    </w:p>
    <w:p>
      <w:pPr>
        <w:spacing w:after="120" w:line="270"/>
      </w:pPr>
      <w:r>
        <w:t xml:space="preserve">The tier and AI note for each deliverable are on the spreadsheet's "AI use (proposal)" sheet.</w:t>
      </w:r>
    </w:p>
    <w:sectPr>
      <w:pgSz w:w="12240" w:h="15840" w:orient="portrait"/>
      <w:pgMar w:top="1180" w:right="1180" w:bottom="1180" w:left="11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40"/>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Georgia" w:cs="Georgia" w:eastAsia="Georgia" w:hAnsi="Georgia"/>
      <w:b/>
      <w:bCs/>
      <w:color w:val="1E2761"/>
      <w:sz w:val="30"/>
      <w:szCs w:val="30"/>
    </w:rPr>
  </w:style>
  <w:style w:type="paragraph" w:styleId="Heading2">
    <w:name w:val="Heading 2"/>
    <w:basedOn w:val="Normal"/>
    <w:next w:val="Normal"/>
    <w:qFormat/>
    <w:pPr>
      <w:pBdr>
        <w:bottom w:val="single" w:color="C7CFE2" w:sz="4" w:space="4"/>
      </w:pBdr>
      <w:spacing w:after="120" w:before="240"/>
      <w:outlineLvl w:val="1"/>
    </w:pPr>
    <w:rPr>
      <w:rFonts w:ascii="Georgia" w:cs="Georgia" w:eastAsia="Georgia" w:hAnsi="Georgia"/>
      <w:b/>
      <w:bCs/>
      <w:color w:val="1E2761"/>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31407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jut5ybltjj6vxpcmeu65c" Type="http://schemas.openxmlformats.org/officeDocument/2006/relationships/hyperlink" Target="../index.html#lifecycl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Early-Phase Clinical Pharmacology: Biostatistics Deliverables Pipeline</dc:title>
  <dc:creator>Patrick Iben</dc:creator>
  <cp:lastModifiedBy>Un-named</cp:lastModifiedBy>
  <cp:revision>1</cp:revision>
  <dcterms:created xsi:type="dcterms:W3CDTF">2026-10-25T03:16:23.251Z</dcterms:created>
  <dcterms:modified xsi:type="dcterms:W3CDTF">2026-10-25T03:16:23.254Z</dcterms:modified>
</cp:coreProperties>
</file>

<file path=docProps/custom.xml><?xml version="1.0" encoding="utf-8"?>
<Properties xmlns="http://schemas.openxmlformats.org/officeDocument/2006/custom-properties" xmlns:vt="http://schemas.openxmlformats.org/officeDocument/2006/docPropsVTypes"/>
</file>