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Curriculum vitae</w:t>
      </w:r>
    </w:p>
    <w:p>
      <w:pPr>
        <w:pStyle w:val="Contact"/>
      </w:pPr>
      <w:r>
        <w:rPr/>
        <w:t>Saint Petersburg, FL | Remote US | patrickiben@gmail.com | (203) 645-1825</w:t>
      </w:r>
    </w:p>
    <w:p>
      <w:pPr>
        <w:pStyle w:val="Contact"/>
      </w:pPr>
      <w:hyperlink r:id="rId15">
        <w:r>
          <w:rPr>
            <w:color w:val="154D66"/>
          </w:rPr>
          <w:t>GitHub portfolio</w:t>
        </w:r>
      </w:hyperlink>
      <w:r>
        <w:rPr/>
        <w:t xml:space="preserve"> | </w:t>
      </w:r>
      <w:hyperlink r:id="rId1">
        <w:r>
          <w:rPr>
            <w:color w:val="154D66"/>
          </w:rPr>
          <w:t>Manuscripts and teaching materials</w:t>
        </w:r>
      </w:hyperlink>
      <w:r>
        <w:rPr/>
        <w:t xml:space="preserve"> | </w:t>
      </w:r>
      <w:hyperlink r:id="rId14">
        <w:r>
          <w:rPr>
            <w:color w:val="154D66"/>
          </w:rPr>
          <w:t>ORCID 0009-0005-2443-7973</w:t>
        </w:r>
      </w:hyperlink>
    </w:p>
    <w:p>
      <w:pPr>
        <w:pStyle w:val="Heading1"/>
      </w:pPr>
      <w:r>
        <w:rPr/>
        <w:t>Research profile</w:t>
      </w:r>
    </w:p>
    <w:p>
      <w:pPr/>
      <w:r>
        <w:rPr/>
        <w:t>Applied mathematician and biostatistician with seven years of clinical biostatistics in contract research and twelve years in research. Develops statistical frameworks and inspectable software across clinical biometrics, AI evaluation, wearable sensing and public-data monitoring. Independent work connects model validation and reproducibility with scientific software, interactive demonstrations and educational companions. Open to full-time and consulting roles in research science, research engineering, AI evaluation, biostatistical methods and decision-support systems.</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Lead biostatistician on early-phase clinical pharmacology studies from December 2022, across first-in-human, SAD/MAD, crossover, bioequivalence and bioavailability designs.</w:t>
      </w:r>
    </w:p>
    <w:p>
      <w:pPr>
        <w:pStyle w:val="Bullet"/>
        <w:numPr>
          <w:ilvl w:val="0"/>
          <w:numId w:val="1027"/>
        </w:numPr>
        <w:ind w:left="202" w:hanging="202"/>
      </w:pPr>
      <w:r>
        <w:rPr/>
        <w:t>Owned statistical protocol sections, generated randomization schedules and provided statistical input to clinical study reports.</w:t>
      </w:r>
    </w:p>
    <w:p>
      <w:pPr>
        <w:pStyle w:val="Bullet"/>
        <w:numPr>
          <w:ilvl w:val="0"/>
          <w:numId w:val="1027"/>
        </w:numPr>
        <w:ind w:left="202" w:hanging="202"/>
      </w:pPr>
      <w:r>
        <w:rPr/>
        <w:t>Prepared statistical analysis plans and mock tables, listings and figures; created or reviewed specifications for analysis datasets and outputs using CDISC SDTM/ADaM.</w:t>
      </w:r>
    </w:p>
    <w:p>
      <w:pPr>
        <w:pStyle w:val="Bullet"/>
        <w:numPr>
          <w:ilvl w:val="0"/>
          <w:numId w:val="1027"/>
        </w:numPr>
        <w:ind w:left="202" w:hanging="202"/>
      </w:pPr>
      <w:r>
        <w:rPr/>
        <w:t>Performed PK/PD analyses and reviewed tables, figures and listings before delivery.</w:t>
      </w:r>
    </w:p>
    <w:p>
      <w:pPr>
        <w:pStyle w:val="Bullet"/>
        <w:numPr>
          <w:ilvl w:val="0"/>
          <w:numId w:val="1027"/>
        </w:numPr>
        <w:ind w:left="202" w:hanging="202"/>
      </w:pPr>
      <w:r>
        <w:rPr/>
        <w:t>Reviewed study data during trials and reviewed annotated CRFs and database designs to support planned analyses.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Lead and support statistician on federally sponsored Phase 1 and Phase 3 clinical trials focused on opioid use disorder.</w:t>
      </w:r>
    </w:p>
    <w:p>
      <w:pPr>
        <w:pStyle w:val="Bullet"/>
        <w:numPr>
          <w:ilvl w:val="0"/>
          <w:numId w:val="1027"/>
        </w:numPr>
        <w:ind w:left="202" w:hanging="202"/>
      </w:pPr>
      <w:r>
        <w:rPr/>
        <w:t>Wrote protocol statistical sections, statistical analysis plans, DSMB reports and final statistical reports.</w:t>
      </w:r>
    </w:p>
    <w:p>
      <w:pPr>
        <w:pStyle w:val="Bullet"/>
        <w:numPr>
          <w:ilvl w:val="0"/>
          <w:numId w:val="1027"/>
        </w:numPr>
        <w:ind w:left="202" w:hanging="202"/>
      </w:pPr>
      <w:r>
        <w:rPr/>
        <w:t>Built dynamic progress reporting and SAS/R tools for data-management and analysis problems.</w:t>
      </w:r>
    </w:p>
    <w:p>
      <w:pPr>
        <w:pStyle w:val="Bullet"/>
        <w:numPr>
          <w:ilvl w:val="0"/>
          <w:numId w:val="1027"/>
        </w:numPr>
        <w:ind w:left="202" w:hanging="202"/>
      </w:pPr>
      <w:r>
        <w:rPr/>
        <w:t>Harmonized multi-clinic EHR data and provided statistical support to external research partners.</w:t>
      </w:r>
    </w:p>
    <w:p>
      <w:pPr>
        <w:pStyle w:val="Entry"/>
      </w:pPr>
      <w:r>
        <w:rPr>
          <w:b/>
        </w:rPr>
        <w:t>Research Assistant and Teaching Assistant | University of Colorado Anschutz Medical Campus</w:t>
      </w:r>
      <w:r>
        <w:rPr/>
        <w:t xml:space="preserve"> | Aurora, CO | August 2016 to July 2019</w:t>
      </w:r>
    </w:p>
    <w:p>
      <w:pPr>
        <w:pStyle w:val="Bullet"/>
        <w:numPr>
          <w:ilvl w:val="0"/>
          <w:numId w:val="1027"/>
        </w:numPr>
        <w:ind w:left="202" w:hanging="202"/>
      </w:pPr>
      <w:r>
        <w:rPr/>
        <w:t>Harmonized multi-state hospital databases containing millions of records and hundreds of derived variables to estimate pediatric nursing-care costs; designed the datasets for reuse in later studies.</w:t>
      </w:r>
    </w:p>
    <w:p>
      <w:pPr>
        <w:pStyle w:val="Bullet"/>
        <w:numPr>
          <w:ilvl w:val="0"/>
          <w:numId w:val="1027"/>
        </w:numPr>
        <w:ind w:left="202" w:hanging="202"/>
      </w:pPr>
      <w:r>
        <w:rPr/>
        <w:t>Consulted on study design and sample size for doctoral nursing candidates.</w:t>
      </w:r>
    </w:p>
    <w:p>
      <w:pPr>
        <w:pStyle w:val="Bullet"/>
        <w:numPr>
          <w:ilvl w:val="0"/>
          <w:numId w:val="1027"/>
        </w:numPr>
        <w:ind w:left="202" w:hanging="202"/>
      </w:pPr>
      <w:r>
        <w:rPr/>
        <w:t>Taught graduate biostatistics review sessions and office hours.</w:t>
      </w:r>
    </w:p>
    <w:p>
      <w:pPr>
        <w:pStyle w:val="Entry"/>
      </w:pPr>
      <w:r>
        <w:rPr>
          <w:b/>
        </w:rPr>
        <w:t>Earlier research appointments</w:t>
      </w:r>
      <w:r>
        <w:rPr/>
        <w:t xml:space="preserve"> | 2014 to 2016</w:t>
      </w:r>
    </w:p>
    <w:p>
      <w:pPr>
        <w:pStyle w:val="Bullet"/>
        <w:numPr>
          <w:ilvl w:val="0"/>
          <w:numId w:val="1027"/>
        </w:numPr>
        <w:ind w:left="202" w:hanging="202"/>
      </w:pPr>
      <w:r>
        <w:rPr>
          <w:b/>
        </w:rPr>
        <w:t>Postsecondary and Policy Analysis Fellow, State Higher Education Executive Officers.</w:t>
      </w:r>
      <w:r>
        <w:rPr/>
        <w:t xml:space="preserve"> Analyses for the Gates Foundation-funded Multi-State Collaborative assessment of student learning outcomes.</w:t>
      </w:r>
    </w:p>
    <w:p>
      <w:pPr>
        <w:pStyle w:val="Bullet"/>
        <w:numPr>
          <w:ilvl w:val="0"/>
          <w:numId w:val="1027"/>
        </w:numPr>
        <w:ind w:left="202" w:hanging="202"/>
      </w:pPr>
      <w:r>
        <w:rPr>
          <w:b/>
        </w:rPr>
        <w:t>Data Analysis Fellow, Yale School of Child Development.</w:t>
      </w:r>
      <w:r>
        <w:rPr/>
        <w:t xml:space="preserve"> Evaluated assistive technologies for students with print disabilities.</w:t>
      </w:r>
    </w:p>
    <w:p>
      <w:pPr>
        <w:pStyle w:val="Bullet"/>
        <w:numPr>
          <w:ilvl w:val="0"/>
          <w:numId w:val="1027"/>
        </w:numPr>
        <w:ind w:left="202" w:hanging="202"/>
      </w:pPr>
      <w:r>
        <w:rPr>
          <w:b/>
        </w:rPr>
        <w:t>Senior Data Analyst, SCSU Office of Assessment and Planning.</w:t>
      </w:r>
      <w:r>
        <w:rPr/>
        <w:t xml:space="preserve"> Developed predictive models of student success and retention.</w:t>
      </w:r>
    </w:p>
    <w:p>
      <w:pPr>
        <w:pStyle w:val="Heading1"/>
      </w:pPr>
      <w:r>
        <w:rPr/>
        <w:t>Education</w:t>
      </w:r>
    </w:p>
    <w:p>
      <w:pPr>
        <w:pStyle w:val="Bullet"/>
        <w:numPr>
          <w:ilvl w:val="0"/>
          <w:numId w:val="1027"/>
        </w:numPr>
        <w:ind w:left="202" w:hanging="202"/>
      </w:pPr>
      <w:r>
        <w:rPr>
          <w:b/>
        </w:rPr>
        <w:t>MS, Biostatistics</w:t>
      </w:r>
      <w:r>
        <w:rPr/>
        <w:t>, Data Science Analytics minor, University of Colorado Anschutz Medical Campus, 2019. GPA 3.62.</w:t>
      </w:r>
    </w:p>
    <w:p>
      <w:pPr>
        <w:pStyle w:val="Bullet"/>
        <w:numPr>
          <w:ilvl w:val="0"/>
          <w:numId w:val="1027"/>
        </w:numPr>
        <w:ind w:left="202" w:hanging="202"/>
      </w:pPr>
      <w:r>
        <w:rPr>
          <w:b/>
        </w:rPr>
        <w:t>BS, Mathematics</w:t>
      </w:r>
      <w:r>
        <w:rPr/>
        <w:t>, Applications of Mathematics, Southern Connecticut State University, 2016. Magna cum laude; GPA 3.78.</w:t>
      </w:r>
    </w:p>
    <w:p>
      <w:pPr>
        <w:pStyle w:val="Heading1"/>
        <w:pageBreakBefore/>
      </w:pPr>
      <w:r>
        <w:rPr/>
        <w:t>Research manuscripts</w:t>
      </w:r>
    </w:p>
    <w:p>
      <w:pPr/>
      <w:r>
        <w:rPr/>
        <w:t xml:space="preserve">Submission and review statuses as of 23 October 2026. Public drafts, study artifacts, software and teaching materials are mapped in the </w:t>
      </w:r>
      <w:hyperlink r:id="rId1">
        <w:r>
          <w:rPr>
            <w:color w:val="154D66"/>
          </w:rPr>
          <w:t>research index</w:t>
        </w:r>
      </w:hyperlink>
      <w:r>
        <w:rPr/>
        <w:t>.</w:t>
      </w:r>
    </w:p>
    <w:p>
      <w:pPr>
        <w:pStyle w:val="Entry"/>
      </w:pPr>
      <w:r>
        <w:rPr>
          <w:b/>
        </w:rPr>
        <w:t>Contamination-resilient cluster randomized trial design under spatial interference: a simulation study of contamination control.</w:t>
      </w:r>
      <w:r>
        <w:rPr/>
        <w:t xml:space="preserve"> </w:t>
      </w:r>
      <w:r>
        <w:rPr>
          <w:i/>
        </w:rPr>
        <w:t>Statistics in Medicine</w:t>
      </w:r>
      <w:r>
        <w:rPr/>
        <w:t>, submitted.</w:t>
      </w:r>
    </w:p>
    <w:p>
      <w:pPr>
        <w:pStyle w:val="Bullet"/>
        <w:keepNext/>
        <w:numPr>
          <w:ilvl w:val="0"/>
          <w:numId w:val="1027"/>
        </w:numPr>
        <w:ind w:left="202" w:hanging="202"/>
      </w:pPr>
      <w:r>
        <w:rPr/>
        <w:t>Developed a ten-diagnostic design framework and Monte Carlo comparisons using 57 public Malaria Atlas Project survey sites in Uganda. Evaluated bias, precision, interval coverage and model misspecification, distinguishing headline two-criterion simulations from full-objective cluster searches.</w:t>
      </w:r>
    </w:p>
    <w:p>
      <w:pPr>
        <w:pStyle w:val="LinkLine"/>
        <w:ind w:left="202"/>
      </w:pPr>
      <w:hyperlink r:id="rId2">
        <w:r>
          <w:rPr>
            <w:color w:val="154D66"/>
          </w:rPr>
          <w:t>Latest preprint</w:t>
        </w:r>
      </w:hyperlink>
      <w:r>
        <w:rPr/>
        <w:t xml:space="preserve"> | </w:t>
      </w:r>
      <w:hyperlink r:id="rId3">
        <w:r>
          <w:rPr>
            <w:color w:val="154D66"/>
          </w:rPr>
          <w:t>Study code and data</w:t>
        </w:r>
      </w:hyperlink>
      <w:r>
        <w:rPr/>
        <w:t xml:space="preserve"> | </w:t>
      </w:r>
      <w:hyperlink r:id="rId16">
        <w:r>
          <w:rPr>
            <w:color w:val="154D66"/>
          </w:rPr>
          <w:t>Interactive design demo</w:t>
        </w:r>
      </w:hyperlink>
      <w:r>
        <w:rPr/>
        <w:t xml:space="preserve"> | </w:t>
      </w:r>
      <w:hyperlink r:id="rId17">
        <w:r>
          <w:rPr>
            <w:color w:val="154D66"/>
          </w:rPr>
          <w:t>Study guide and complete companion</w:t>
        </w:r>
      </w:hyperlink>
    </w:p>
    <w:p>
      <w:pPr>
        <w:pStyle w:val="Entry"/>
      </w:pPr>
      <w:r>
        <w:rPr>
          <w:b/>
        </w:rPr>
        <w:t>What do within-site comparisons of AlphaGenome Atlas predictions measure? An audit at ClinVar sites in 11 genes.</w:t>
      </w:r>
      <w:r>
        <w:rPr/>
        <w:t xml:space="preserve"> </w:t>
      </w:r>
      <w:r>
        <w:rPr>
          <w:i/>
        </w:rPr>
        <w:t>Human Genomics</w:t>
      </w:r>
      <w:r>
        <w:rPr/>
        <w:t>, submitted.</w:t>
      </w:r>
    </w:p>
    <w:p>
      <w:pPr>
        <w:pStyle w:val="Bullet"/>
        <w:keepNext/>
        <w:numPr>
          <w:ilvl w:val="0"/>
          <w:numId w:val="1027"/>
        </w:numPr>
        <w:ind w:left="202" w:hanging="202"/>
      </w:pPr>
      <w:r>
        <w:rPr/>
        <w:t>Audited within-site allele comparisons across 22 scorers using permutation nulls and consequence/geometry controls. Added held-out same-gene and seven-gene replications, distinguishing benchmark discrimination from clinical validity. The browser demo recomputes cached initial-cohort statistics.</w:t>
      </w:r>
    </w:p>
    <w:p>
      <w:pPr>
        <w:pStyle w:val="LinkLine"/>
        <w:ind w:left="202"/>
      </w:pPr>
      <w:hyperlink r:id="rId18">
        <w:r>
          <w:rPr>
            <w:color w:val="154D66"/>
          </w:rPr>
          <w:t>Latest preprint</w:t>
        </w:r>
      </w:hyperlink>
      <w:r>
        <w:rPr/>
        <w:t xml:space="preserve"> | </w:t>
      </w:r>
      <w:hyperlink r:id="rId19">
        <w:r>
          <w:rPr>
            <w:color w:val="154D66"/>
          </w:rPr>
          <w:t>Study code and data</w:t>
        </w:r>
      </w:hyperlink>
      <w:r>
        <w:rPr/>
        <w:t xml:space="preserve"> | </w:t>
      </w:r>
      <w:hyperlink r:id="rId20">
        <w:r>
          <w:rPr>
            <w:color w:val="154D66"/>
          </w:rPr>
          <w:t>Interactive allele demo</w:t>
        </w:r>
      </w:hyperlink>
      <w:r>
        <w:rPr/>
        <w:t xml:space="preserve"> | </w:t>
      </w:r>
      <w:hyperlink r:id="rId21">
        <w:r>
          <w:rPr>
            <w:color w:val="154D66"/>
          </w:rPr>
          <w:t>Study guide and complete companion</w:t>
        </w:r>
      </w:hyperlink>
    </w:p>
    <w:p>
      <w:pPr>
        <w:pStyle w:val="Entry"/>
      </w:pPr>
      <w:r>
        <w:rPr>
          <w:b/>
        </w:rPr>
        <w:t>A False Floor: Refuting Our Own Information-Limit Claim in a Lethal Identification Task.</w:t>
      </w:r>
      <w:r>
        <w:rPr/>
        <w:t xml:space="preserve"> Submitted to PLOS ONE, 22 October 2026.</w:t>
      </w:r>
    </w:p>
    <w:p>
      <w:pPr>
        <w:pStyle w:val="Bullet"/>
        <w:keepNext/>
        <w:numPr>
          <w:ilvl w:val="0"/>
          <w:numId w:val="1027"/>
        </w:numPr>
        <w:ind w:left="202" w:hanging="202"/>
      </w:pPr>
      <w:r>
        <w:rPr/>
        <w:t>Developed stronger-baseline counterexamples to an earlier image-information-limit claim, making yield-constrained errors and repeated-split uncertainty explicit. Added training-catalog overlap measurements and a model-coded literature audit, retaining provenance and field-safety limitations.</w:t>
      </w:r>
    </w:p>
    <w:p>
      <w:pPr>
        <w:pStyle w:val="LinkLine"/>
        <w:ind w:left="202"/>
      </w:pPr>
      <w:hyperlink r:id="rId22">
        <w:r>
          <w:rPr>
            <w:color w:val="154D66"/>
          </w:rPr>
          <w:t>Latest preprint</w:t>
        </w:r>
      </w:hyperlink>
      <w:r>
        <w:rPr/>
        <w:t xml:space="preserve"> | </w:t>
      </w:r>
      <w:hyperlink r:id="rId23">
        <w:r>
          <w:rPr>
            <w:color w:val="154D66"/>
          </w:rPr>
          <w:t>Provenance and training-catalog overlap records</w:t>
        </w:r>
      </w:hyperlink>
      <w:r>
        <w:rPr/>
        <w:t xml:space="preserve"> | </w:t>
      </w:r>
      <w:hyperlink r:id="rId24">
        <w:r>
          <w:rPr>
            <w:color w:val="154D66"/>
          </w:rPr>
          <w:t>Study guide and complete companion</w:t>
        </w:r>
      </w:hyperlink>
    </w:p>
    <w:p>
      <w:pPr>
        <w:pStyle w:val="Entry"/>
      </w:pPr>
      <w:r>
        <w:rPr>
          <w:b/>
        </w:rPr>
        <w:t>Anticipating network contagions: when directedness outperforms connectedness.</w:t>
      </w:r>
      <w:r>
        <w:rPr/>
        <w:t xml:space="preserve"> </w:t>
      </w:r>
      <w:r>
        <w:rPr>
          <w:i/>
        </w:rPr>
        <w:t>Applied Network Science</w:t>
      </w:r>
      <w:r>
        <w:rPr/>
        <w:t>, with editor.</w:t>
      </w:r>
    </w:p>
    <w:p>
      <w:pPr>
        <w:pStyle w:val="Bullet"/>
        <w:keepNext/>
        <w:numPr>
          <w:ilvl w:val="0"/>
          <w:numId w:val="1027"/>
        </w:numPr>
        <w:ind w:left="202" w:hanging="202"/>
      </w:pPr>
      <w:r>
        <w:rPr/>
        <w:t>Developed a directional-asymmetry diagnostic and evaluated transmitter-targeted versus worst-hit control in non-negative VAR surrogates fitted to seven contagion datasets. Combined generalized connectedness, symmetrization controls and dated prediction-first records; intervention benefits were simulated.</w:t>
      </w:r>
    </w:p>
    <w:p>
      <w:pPr>
        <w:pStyle w:val="LinkLine"/>
        <w:ind w:left="202"/>
      </w:pPr>
      <w:hyperlink r:id="rId25">
        <w:r>
          <w:rPr>
            <w:color w:val="154D66"/>
          </w:rPr>
          <w:t>Author draft</w:t>
        </w:r>
      </w:hyperlink>
      <w:r>
        <w:rPr/>
        <w:t xml:space="preserve"> | </w:t>
      </w:r>
      <w:hyperlink r:id="rId26">
        <w:r>
          <w:rPr>
            <w:color w:val="154D66"/>
          </w:rPr>
          <w:t>Code and data</w:t>
        </w:r>
      </w:hyperlink>
      <w:r>
        <w:rPr/>
        <w:t xml:space="preserve"> | </w:t>
      </w:r>
      <w:hyperlink r:id="rId27">
        <w:r>
          <w:rPr>
            <w:color w:val="154D66"/>
          </w:rPr>
          <w:t>Prospective records</w:t>
        </w:r>
      </w:hyperlink>
      <w:r>
        <w:rPr/>
        <w:t xml:space="preserve"> | </w:t>
      </w:r>
      <w:hyperlink r:id="rId28">
        <w:r>
          <w:rPr>
            <w:color w:val="154D66"/>
          </w:rPr>
          <w:t>Study guide and complete companion</w:t>
        </w:r>
      </w:hyperlink>
    </w:p>
    <w:p>
      <w:pPr>
        <w:pStyle w:val="Entry"/>
      </w:pPr>
      <w:r>
        <w:rPr>
          <w:b/>
        </w:rPr>
        <w:t>Which data modality recognizes a gene set? A domain-agnostic consilience engine.</w:t>
      </w:r>
      <w:r>
        <w:rPr/>
        <w:t xml:space="preserve"> </w:t>
      </w:r>
      <w:r>
        <w:rPr>
          <w:i/>
        </w:rPr>
        <w:t>PeerJ</w:t>
      </w:r>
      <w:r>
        <w:rPr/>
        <w:t>, in peer review.</w:t>
      </w:r>
    </w:p>
    <w:p>
      <w:pPr>
        <w:pStyle w:val="Bullet"/>
        <w:keepNext/>
        <w:numPr>
          <w:ilvl w:val="0"/>
          <w:numId w:val="1027"/>
        </w:numPr>
        <w:ind w:left="202" w:hanging="202"/>
      </w:pPr>
      <w:r>
        <w:rPr/>
        <w:t>Built a configurable Python engine comparing gene-group coherence across protein-domain annotations, cell-type expression, interaction associations and biological-process annotations. Applied permutation inference, multiplicity control, class-recovery analyses and method-sensitivity checks to nervous-system and immune maps.</w:t>
      </w:r>
    </w:p>
    <w:p>
      <w:pPr>
        <w:pStyle w:val="LinkLine"/>
        <w:ind w:left="202"/>
      </w:pPr>
      <w:hyperlink r:id="rId29">
        <w:r>
          <w:rPr>
            <w:color w:val="154D66"/>
          </w:rPr>
          <w:t>Author draft</w:t>
        </w:r>
      </w:hyperlink>
      <w:r>
        <w:rPr/>
        <w:t xml:space="preserve"> | </w:t>
      </w:r>
      <w:hyperlink r:id="rId30">
        <w:r>
          <w:rPr>
            <w:color w:val="154D66"/>
          </w:rPr>
          <w:t>Code and reproduction instructions</w:t>
        </w:r>
      </w:hyperlink>
      <w:r>
        <w:rPr/>
        <w:t xml:space="preserve"> | </w:t>
      </w:r>
      <w:hyperlink r:id="rId31">
        <w:r>
          <w:rPr>
            <w:color w:val="154D66"/>
          </w:rPr>
          <w:t>Study guide and complete companion</w:t>
        </w:r>
      </w:hyperlink>
    </w:p>
    <w:p>
      <w:pPr>
        <w:pStyle w:val="Entry"/>
      </w:pPr>
      <w:r>
        <w:rPr>
          <w:b/>
        </w:rPr>
        <w:t>No emotion-specific image-computable code in the human left amygdala.</w:t>
      </w:r>
      <w:r>
        <w:rPr/>
        <w:t xml:space="preserve"> Peer Community In, preprint review.</w:t>
      </w:r>
    </w:p>
    <w:p>
      <w:pPr>
        <w:pStyle w:val="Bullet"/>
        <w:keepNext/>
        <w:numPr>
          <w:ilvl w:val="0"/>
          <w:numId w:val="1027"/>
        </w:numPr>
        <w:ind w:left="202" w:hanging="202"/>
      </w:pPr>
      <w:r>
        <w:rPr/>
        <w:t>Evaluated encoder-specific prediction and cross-encoder corroboration across three datasets and four analysis arms. Distinguished corrected movie effects from stronger left-amygdala session-based contrasts, with conclusions restricted to tested samples and representations.</w:t>
      </w:r>
    </w:p>
    <w:p>
      <w:pPr>
        <w:pStyle w:val="LinkLine"/>
        <w:ind w:left="202"/>
      </w:pPr>
      <w:hyperlink r:id="rId32">
        <w:r>
          <w:rPr>
            <w:color w:val="154D66"/>
          </w:rPr>
          <w:t>Latest preprint</w:t>
        </w:r>
      </w:hyperlink>
      <w:r>
        <w:rPr/>
        <w:t xml:space="preserve"> | </w:t>
      </w:r>
      <w:hyperlink r:id="rId33">
        <w:r>
          <w:rPr>
            <w:color w:val="154D66"/>
          </w:rPr>
          <w:t>Code and reconstruction runbooks</w:t>
        </w:r>
      </w:hyperlink>
      <w:r>
        <w:rPr/>
        <w:t xml:space="preserve"> | </w:t>
      </w:r>
      <w:hyperlink r:id="rId34">
        <w:r>
          <w:rPr>
            <w:color w:val="154D66"/>
          </w:rPr>
          <w:t>Study guide and complete companion</w:t>
        </w:r>
      </w:hyperlink>
    </w:p>
    <w:p>
      <w:pPr>
        <w:pStyle w:val="Heading1"/>
      </w:pPr>
      <w:r>
        <w:rPr/>
        <w:t>Teaching and research communication</w:t>
      </w:r>
    </w:p>
    <w:p>
      <w:pPr>
        <w:pStyle w:val="Bullet"/>
        <w:numPr>
          <w:ilvl w:val="0"/>
          <w:numId w:val="1027"/>
        </w:numPr>
        <w:ind w:left="202" w:hanging="202"/>
      </w:pPr>
      <w:r>
        <w:rPr/>
        <w:t>Authored six concise study guides and six complete educational companions tied to exact manuscript versions. All twelve editions are publicly available. The teaching sets include worked examples, answered exercises, glossaries and source-coverage maps.</w:t>
      </w:r>
    </w:p>
    <w:p>
      <w:pPr>
        <w:pStyle w:val="Bullet"/>
        <w:numPr>
          <w:ilvl w:val="0"/>
          <w:numId w:val="1027"/>
        </w:numPr>
        <w:ind w:left="202" w:hanging="202"/>
      </w:pPr>
      <w:r>
        <w:rPr/>
        <w:t xml:space="preserve">Connected manuscripts to code, data deposits, interactive demonstrations and teaching editions through a public </w:t>
      </w:r>
      <w:hyperlink r:id="rId1">
        <w:r>
          <w:rPr>
            <w:color w:val="154D66"/>
          </w:rPr>
          <w:t>research index</w:t>
        </w:r>
      </w:hyperlink>
      <w:r>
        <w:rPr/>
        <w:t>. The CRT complete companion spans 97 pages; the other studies have their own full methods walkthroughs.</w:t>
      </w:r>
    </w:p>
    <w:p>
      <w:pPr>
        <w:pStyle w:val="Bullet"/>
        <w:numPr>
          <w:ilvl w:val="0"/>
          <w:numId w:val="1027"/>
        </w:numPr>
        <w:ind w:left="202" w:hanging="202"/>
      </w:pPr>
      <w:r>
        <w:rPr/>
        <w:t>Developed interactive statistical demonstrations and domain-specific explanations of the ten parameters used in response planning, supporting hover, keyboard focus and touch interaction.</w:t>
      </w:r>
    </w:p>
    <w:p>
      <w:pPr>
        <w:pStyle w:val="Heading1"/>
        <w:pageBreakBefore/>
      </w:pPr>
      <w:r>
        <w:rPr/>
        <w:t>Research engineering and scientific software</w:t>
      </w:r>
    </w:p>
    <w:p>
      <w:pPr>
        <w:pStyle w:val="Entry"/>
      </w:pPr>
      <w:hyperlink r:id="rId35">
        <w:r>
          <w:rPr>
            <w:color w:val="000000"/>
            <w:b/>
          </w:rPr>
          <w:t>Public Data Consoles</w:t>
        </w:r>
      </w:hyperlink>
      <w:r>
        <w:rPr/>
        <w:t xml:space="preserve"> | </w:t>
      </w:r>
      <w:hyperlink r:id="rId36">
        <w:r>
          <w:rPr>
            <w:color w:val="000000"/>
          </w:rPr>
          <w:t>Source</w:t>
        </w:r>
      </w:hyperlink>
    </w:p>
    <w:p>
      <w:pPr>
        <w:pStyle w:val="Bullet"/>
        <w:numPr>
          <w:ilvl w:val="0"/>
          <w:numId w:val="1027"/>
        </w:numPr>
        <w:ind w:left="202" w:hanging="202"/>
      </w:pPr>
      <w:r>
        <w:rPr/>
        <w:t>Built 32 self-contained browser consoles spanning hazards, infrastructure, healthcare, public health and markets. Examples include river-flood propagation, earthquake consequences, U.S. grid strain, NHS Scotland hospital strain, CDC surveillance and the World Bank global-health atlas.</w:t>
      </w:r>
    </w:p>
    <w:p>
      <w:pPr>
        <w:pStyle w:val="Bullet"/>
        <w:numPr>
          <w:ilvl w:val="0"/>
          <w:numId w:val="1027"/>
        </w:numPr>
        <w:ind w:left="202" w:hanging="202"/>
      </w:pPr>
      <w:r>
        <w:rPr/>
        <w:t>Integrated public observations, source-issued forecasts, published estimates and dated snapshots; implemented scheduled data publication, schema and timestamp checks, fallback behavior and source-specific freshness displays. Visitors need no provider API key.</w:t>
      </w:r>
    </w:p>
    <w:p>
      <w:pPr>
        <w:pStyle w:val="Bullet"/>
        <w:numPr>
          <w:ilvl w:val="0"/>
          <w:numId w:val="1027"/>
        </w:numPr>
        <w:ind w:left="202" w:hanging="202"/>
      </w:pPr>
      <w:r>
        <w:rPr/>
        <w:t>Adapted the ten-parameter planning framework across all 32 consoles. Response plans prioritize supported actions using the selected data, with review timing, escalation triggers, public/operator tracks and explanations of each parameter's practical relevance.</w:t>
      </w:r>
    </w:p>
    <w:p>
      <w:pPr>
        <w:pStyle w:val="Bullet"/>
        <w:numPr>
          <w:ilvl w:val="0"/>
          <w:numId w:val="1027"/>
        </w:numPr>
        <w:ind w:left="202" w:hanging="202"/>
      </w:pPr>
      <w:r>
        <w:rPr/>
        <w:t>Added mobile usability and keyboard/touch-accessible explanations; used catalog, unit and browser checks to verify source handling, plans and unavailable-feed states.</w:t>
      </w:r>
    </w:p>
    <w:p>
      <w:pPr>
        <w:pStyle w:val="Entry"/>
      </w:pPr>
      <w:hyperlink r:id="rId37">
        <w:r>
          <w:rPr>
            <w:color w:val="000000"/>
            <w:b/>
          </w:rPr>
          <w:t>Coastal Water Resilience</w:t>
        </w:r>
      </w:hyperlink>
    </w:p>
    <w:p>
      <w:pPr>
        <w:pStyle w:val="Bullet"/>
        <w:numPr>
          <w:ilvl w:val="0"/>
          <w:numId w:val="1027"/>
        </w:numPr>
        <w:ind w:left="202" w:hanging="202"/>
      </w:pPr>
      <w:r>
        <w:rPr/>
        <w:t>Combined CRT spatial-exposure principles and source/sink concepts informed by network-contagion research in an infrastructure planning console.</w:t>
      </w:r>
    </w:p>
    <w:p>
      <w:pPr>
        <w:pStyle w:val="Bullet"/>
        <w:numPr>
          <w:ilvl w:val="0"/>
          <w:numId w:val="1027"/>
        </w:numPr>
        <w:ind w:left="202" w:hanging="202"/>
      </w:pPr>
      <w:r>
        <w:rPr/>
        <w:t>Joined official public wastewater-station inventories to evacuation zones, USGS terrain and source-defined sewer basins, alongside NOAA/NWS observations and forecasts. Linked projected-impact screens to the same station scope used by the ten-parameter response plans.</w:t>
      </w:r>
    </w:p>
    <w:p>
      <w:pPr>
        <w:pStyle w:val="Bullet"/>
        <w:numPr>
          <w:ilvl w:val="0"/>
          <w:numId w:val="1027"/>
        </w:numPr>
        <w:ind w:left="202" w:hanging="202"/>
      </w:pPr>
      <w:r>
        <w:rPr/>
        <w:t>Incorporated Census population context and published annual treatment flows while distinguishing geographic exposure from operational outages, customer losses and hydraulic connectivity. The synthetic exercise remains a separately labeled demonstration.</w:t>
      </w:r>
    </w:p>
    <w:p>
      <w:pPr>
        <w:pStyle w:val="Bullet"/>
        <w:numPr>
          <w:ilvl w:val="0"/>
          <w:numId w:val="1027"/>
        </w:numPr>
        <w:ind w:left="202" w:hanging="202"/>
      </w:pPr>
      <w:r>
        <w:rPr/>
        <w:t>Connected parameters to phase-specific actions, explaining why a diagnostic matters at a particular timepoint and when to recheck or escalate.</w:t>
      </w:r>
    </w:p>
    <w:p>
      <w:pPr>
        <w:pStyle w:val="Entry"/>
      </w:pPr>
      <w:hyperlink r:id="rId38">
        <w:r>
          <w:rPr>
            <w:color w:val="000000"/>
            <w:b/>
          </w:rPr>
          <w:t>Autonomic Telemetry</w:t>
        </w:r>
      </w:hyperlink>
      <w:r>
        <w:rPr/>
        <w:t xml:space="preserve"> | </w:t>
      </w:r>
      <w:hyperlink r:id="rId39">
        <w:r>
          <w:rPr>
            <w:color w:val="000000"/>
          </w:rPr>
          <w:t>Source</w:t>
        </w:r>
      </w:hyperlink>
    </w:p>
    <w:p>
      <w:pPr>
        <w:pStyle w:val="Bullet"/>
        <w:numPr>
          <w:ilvl w:val="0"/>
          <w:numId w:val="1027"/>
        </w:numPr>
        <w:ind w:left="202" w:hanging="202"/>
      </w:pPr>
      <w:r>
        <w:rPr/>
        <w:t>Built a local wearable-to-browser system using Bluetooth adapters, an in-memory Mac bridge and mobile visualization, with Work/Rest views and a fixed personal reference.</w:t>
      </w:r>
    </w:p>
    <w:p>
      <w:pPr>
        <w:pStyle w:val="Bullet"/>
        <w:numPr>
          <w:ilvl w:val="0"/>
          <w:numId w:val="1027"/>
        </w:numPr>
        <w:ind w:left="202" w:hanging="202"/>
      </w:pPr>
      <w:r>
        <w:rPr/>
        <w:t>Implemented source identity, freshness, signal-quality and channel-coverage controls, plus missing-channel handling and replayable feature exports. The physiological-pattern estimate is experimental.</w:t>
      </w:r>
    </w:p>
    <w:p>
      <w:pPr>
        <w:pStyle w:val="Bullet"/>
        <w:numPr>
          <w:ilvl w:val="0"/>
          <w:numId w:val="1027"/>
        </w:numPr>
        <w:ind w:left="202" w:hanging="202"/>
      </w:pPr>
      <w:r>
        <w:rPr/>
        <w:t xml:space="preserve">Built a separate </w:t>
      </w:r>
      <w:hyperlink r:id="rId40">
        <w:r>
          <w:rPr>
            <w:color w:val="154D66"/>
          </w:rPr>
          <w:t>Signal Lab</w:t>
        </w:r>
      </w:hyperlink>
      <w:r>
        <w:rPr/>
        <w:t xml:space="preserve"> with numerical lenses, analytic checks and regression tests. Live wearable input runs through the local bridge.</w:t>
      </w:r>
    </w:p>
    <w:p>
      <w:pPr>
        <w:pStyle w:val="Entry"/>
      </w:pPr>
      <w:hyperlink r:id="rId41">
        <w:r>
          <w:rPr>
            <w:color w:val="000000"/>
            <w:b/>
          </w:rPr>
          <w:t>Resilience Telemetry</w:t>
        </w:r>
      </w:hyperlink>
      <w:r>
        <w:rPr/>
        <w:t xml:space="preserve"> | </w:t>
      </w:r>
      <w:hyperlink r:id="rId42">
        <w:r>
          <w:rPr>
            <w:color w:val="000000"/>
          </w:rPr>
          <w:t>Method correspondence</w:t>
        </w:r>
      </w:hyperlink>
    </w:p>
    <w:p>
      <w:pPr>
        <w:pStyle w:val="Bullet"/>
        <w:numPr>
          <w:ilvl w:val="0"/>
          <w:numId w:val="1027"/>
        </w:numPr>
        <w:ind w:left="202" w:hanging="202"/>
      </w:pPr>
      <w:r>
        <w:rPr/>
        <w:t>Implemented cross-asset fragility diagnostics, directed volatility networks, transmitter stability, historical replay and held-out comparisons against highest-volatility and persistence baselines.</w:t>
      </w:r>
    </w:p>
    <w:p>
      <w:pPr>
        <w:pStyle w:val="Bullet"/>
        <w:numPr>
          <w:ilvl w:val="0"/>
          <w:numId w:val="1027"/>
        </w:numPr>
        <w:ind w:left="202" w:hanging="202"/>
      </w:pPr>
      <w:r>
        <w:rPr/>
        <w:t>Integrated public market and macroeconomic data with source timestamps and interpretation limits. The ridge-regularized VAR/FEVD implementation is an exploratory adaptation of the network-contagion research; the manuscript's non-negative VAR intervention experiments are documented separately.</w:t>
      </w:r>
    </w:p>
    <w:p>
      <w:pPr>
        <w:pStyle w:val="Entry"/>
      </w:pPr>
      <w:hyperlink r:id="rId30">
        <w:r>
          <w:rPr>
            <w:color w:val="000000"/>
            <w:b/>
          </w:rPr>
          <w:t>Consilience Engine</w:t>
        </w:r>
      </w:hyperlink>
    </w:p>
    <w:p>
      <w:pPr>
        <w:pStyle w:val="Bullet"/>
        <w:numPr>
          <w:ilvl w:val="0"/>
          <w:numId w:val="1027"/>
        </w:numPr>
        <w:ind w:left="202" w:hanging="202"/>
      </w:pPr>
      <w:r>
        <w:rPr/>
        <w:t>Packaged gene-set analysis as an installable Python library and configurable CLI with offline cache support. Constructed modality-specific graphs from InterPro, Human Protein Atlas, STRING and Gene Ontology sources, with permutation-null separation and class-recovery analyses.</w:t>
      </w:r>
    </w:p>
    <w:p>
      <w:pPr>
        <w:pStyle w:val="Bullet"/>
        <w:numPr>
          <w:ilvl w:val="0"/>
          <w:numId w:val="1027"/>
        </w:numPr>
        <w:ind w:left="202" w:hanging="202"/>
      </w:pPr>
      <w:r>
        <w:rPr/>
        <w:t>Applied the framework to a 410-gene nervous-system map and a 132-gene immune replication. Added unit, property and metamorphic tests, clustering-sensitivity analyses, numerical tolerance checks and reproducibility manifests.</w:t>
      </w:r>
    </w:p>
    <w:p>
      <w:pPr>
        <w:pStyle w:val="Heading1"/>
      </w:pPr>
      <w:r>
        <w:rPr/>
        <w:t>Programming and evaluation skills</w:t>
      </w:r>
    </w:p>
    <w:p>
      <w:pPr>
        <w:pStyle w:val="Bullet"/>
        <w:numPr>
          <w:ilvl w:val="0"/>
          <w:numId w:val="1027"/>
        </w:numPr>
        <w:ind w:left="202" w:hanging="202"/>
      </w:pPr>
      <w:r>
        <w:rPr>
          <w:b/>
        </w:rPr>
        <w:t>Programming and engineering:</w:t>
      </w:r>
      <w:r>
        <w:rPr/>
        <w:t xml:space="preserve"> R (tidyverse and pharmaverse), SAS (Base, Macro, STAT, SQL), Python, SQL, JavaScript, LaTeX, Git, Docker, high-performance computing, public API integration and browser testing.</w:t>
      </w:r>
    </w:p>
    <w:p>
      <w:pPr>
        <w:pStyle w:val="Bullet"/>
        <w:numPr>
          <w:ilvl w:val="0"/>
          <w:numId w:val="1027"/>
        </w:numPr>
        <w:ind w:left="202" w:hanging="202"/>
      </w:pPr>
      <w:r>
        <w:rPr>
          <w:b/>
        </w:rPr>
        <w:t>AI evaluation:</w:t>
      </w:r>
      <w:r>
        <w:rPr/>
        <w:t xml:space="preserve"> numeric grounding, provenance auditing, retrieval evaluation, model comparison, synthetic-oracle checks and reproducibility testing.</w:t>
      </w:r>
    </w:p>
    <w:p>
      <w:pPr>
        <w:pStyle w:val="Heading1"/>
        <w:pageBreakBefore/>
      </w:pPr>
      <w:r>
        <w:rPr/>
        <w:t>Clinical biometrics software</w:t>
      </w:r>
    </w:p>
    <w:p>
      <w:pPr>
        <w:pStyle w:val="Entry"/>
      </w:pPr>
      <w:hyperlink r:id="rId43">
        <w:r>
          <w:rPr>
            <w:color w:val="000000"/>
            <w:b/>
          </w:rPr>
          <w:t>Clinical biostatistics and AI portfolio</w:t>
        </w:r>
      </w:hyperlink>
      <w:r>
        <w:rPr/>
        <w:t xml:space="preserve"> | </w:t>
      </w:r>
      <w:hyperlink r:id="rId44">
        <w:r>
          <w:rPr>
            <w:color w:val="000000"/>
          </w:rPr>
          <w:t>Source</w:t>
        </w:r>
      </w:hyperlink>
    </w:p>
    <w:p>
      <w:pPr>
        <w:pStyle w:val="Bullet"/>
        <w:numPr>
          <w:ilvl w:val="0"/>
          <w:numId w:val="1027"/>
        </w:numPr>
        <w:ind w:left="202" w:hanging="202"/>
      </w:pPr>
      <w:r>
        <w:rPr/>
        <w:t>Developed 217 ADaM-based TLF pseudocode templates per language in SAS and R for parallel, crossover, fixed-sequence, SAD and MAD designs, with executable examples identified separately.</w:t>
      </w:r>
    </w:p>
    <w:p>
      <w:pPr>
        <w:pStyle w:val="Bullet"/>
        <w:numPr>
          <w:ilvl w:val="0"/>
          <w:numId w:val="1027"/>
        </w:numPr>
        <w:ind w:left="202" w:hanging="202"/>
      </w:pPr>
      <w:r>
        <w:rPr/>
        <w:t>Built an eight-domain synthetic ADaM sandbox with one-compartment oral PK/NCA and a 2-by-2 bioequivalence crossover ANOVA.</w:t>
      </w:r>
    </w:p>
    <w:p>
      <w:pPr>
        <w:pStyle w:val="Bullet"/>
        <w:numPr>
          <w:ilvl w:val="0"/>
          <w:numId w:val="1027"/>
        </w:numPr>
        <w:ind w:left="202" w:hanging="202"/>
      </w:pPr>
      <w:r>
        <w:rPr/>
        <w:t>Developed protocol-to-CSR templates, numeric-provenance checks for TLF interpretation and a seven-gate QC workflow covering reproducibility, CDISC, SAS/R parity, adversarial QC, reporting and AI-use documentation.</w:t>
      </w:r>
    </w:p>
    <w:p>
      <w:pPr>
        <w:pStyle w:val="Bullet"/>
        <w:numPr>
          <w:ilvl w:val="0"/>
          <w:numId w:val="1027"/>
        </w:numPr>
        <w:ind w:left="202" w:hanging="202"/>
      </w:pPr>
      <w:r>
        <w:rPr/>
        <w:t>Created participant-monitoring and trial-risk prototypes, SAS/R monitoring, continuity materials and an IRT/RTSM user-acceptance workbook with traceability and release criteria.</w:t>
      </w:r>
    </w:p>
    <w:p>
      <w:pPr>
        <w:pStyle w:val="Bullet"/>
        <w:numPr>
          <w:ilvl w:val="0"/>
          <w:numId w:val="1027"/>
        </w:numPr>
        <w:ind w:left="202" w:hanging="202"/>
      </w:pPr>
      <w:r>
        <w:rPr/>
        <w:t>Documented hybrid cloud/on-premises and on-device model patterns, with AI training for biometrics.</w:t>
      </w:r>
    </w:p>
    <w:p>
      <w:pPr>
        <w:pStyle w:val="Entry"/>
      </w:pPr>
      <w:hyperlink r:id="rId45">
        <w:r>
          <w:rPr>
            <w:color w:val="000000"/>
            <w:b/>
          </w:rPr>
          <w:t>eCRF pipeline applications</w:t>
        </w:r>
      </w:hyperlink>
      <w:r>
        <w:rPr/>
        <w:t xml:space="preserve"> | </w:t>
      </w:r>
      <w:hyperlink r:id="rId46">
        <w:r>
          <w:rPr>
            <w:color w:val="000000"/>
          </w:rPr>
          <w:t>Demo overview</w:t>
        </w:r>
      </w:hyperlink>
    </w:p>
    <w:p>
      <w:pPr>
        <w:pStyle w:val="Bullet"/>
        <w:numPr>
          <w:ilvl w:val="0"/>
          <w:numId w:val="1027"/>
        </w:numPr>
        <w:ind w:left="202" w:hanging="202"/>
      </w:pPr>
      <w:r>
        <w:rPr/>
        <w:t>Built four Streamlit prototypes for adverse-event coding, PII/PHI flagging/redaction, rule-based participant-risk review and longitudinal anomaly/drift detection.</w:t>
      </w:r>
    </w:p>
    <w:p>
      <w:pPr>
        <w:pStyle w:val="Bullet"/>
        <w:numPr>
          <w:ilvl w:val="0"/>
          <w:numId w:val="1027"/>
        </w:numPr>
        <w:ind w:left="202" w:hanging="202"/>
      </w:pPr>
      <w:r>
        <w:rPr/>
        <w:t>Separated deterministic stand-ins from optional model, Sinkhorn and Isolation Forest paths; public demonstrations and evaluations use synthetic data.</w:t>
      </w:r>
    </w:p>
    <w:p>
      <w:pPr>
        <w:pStyle w:val="Bullet"/>
        <w:numPr>
          <w:ilvl w:val="0"/>
          <w:numId w:val="1027"/>
        </w:numPr>
        <w:ind w:left="202" w:hanging="202"/>
      </w:pPr>
      <w:r>
        <w:rPr/>
        <w:t>Logged input hashes, configuration, paths and thresholds for traceable reruns with retained inputs and software/model artifacts; provided runnable QC.</w:t>
      </w:r>
    </w:p>
    <w:p>
      <w:pPr>
        <w:pStyle w:val="Heading1"/>
      </w:pPr>
      <w:r>
        <w:rPr/>
        <w:t>AI evaluation tools</w:t>
      </w:r>
    </w:p>
    <w:p>
      <w:pPr>
        <w:pStyle w:val="Bullet"/>
        <w:numPr>
          <w:ilvl w:val="0"/>
          <w:numId w:val="1027"/>
        </w:numPr>
        <w:ind w:left="202" w:hanging="202"/>
      </w:pPr>
      <w:hyperlink r:id="rId47">
        <w:r>
          <w:rPr>
            <w:color w:val="154D66"/>
            <w:b/>
          </w:rPr>
          <w:t>numguard</w:t>
        </w:r>
      </w:hyperlink>
      <w:r>
        <w:rPr>
          <w:b/>
        </w:rPr>
        <w:t>.</w:t>
      </w:r>
      <w:r>
        <w:rPr/>
        <w:t xml:space="preserve"> Implemented dependency-free numeric-membership, required-fact and finite phrase-denylist checks, with declarative cases, JUnit/JSON reports and CI exit codes.</w:t>
      </w:r>
    </w:p>
    <w:p>
      <w:pPr>
        <w:pStyle w:val="Bullet"/>
        <w:numPr>
          <w:ilvl w:val="0"/>
          <w:numId w:val="1027"/>
        </w:numPr>
        <w:ind w:left="202" w:hanging="202"/>
      </w:pPr>
      <w:hyperlink r:id="rId48">
        <w:r>
          <w:rPr>
            <w:color w:val="154D66"/>
            <w:b/>
          </w:rPr>
          <w:t>guarded-llm-service</w:t>
        </w:r>
      </w:hyperlink>
      <w:r>
        <w:rPr>
          <w:b/>
        </w:rPr>
        <w:t>.</w:t>
      </w:r>
      <w:r>
        <w:rPr/>
        <w:t xml:space="preserve"> Served the guard over FastAPI with evaluation and health endpoints, Prometheus-style metrics, a non-root Docker image and container smoke tests.</w:t>
      </w:r>
    </w:p>
    <w:p>
      <w:pPr>
        <w:pStyle w:val="Bullet"/>
        <w:numPr>
          <w:ilvl w:val="0"/>
          <w:numId w:val="1027"/>
        </w:numPr>
        <w:ind w:left="202" w:hanging="202"/>
      </w:pPr>
      <w:hyperlink r:id="rId49">
        <w:r>
          <w:rPr>
            <w:color w:val="154D66"/>
            <w:b/>
          </w:rPr>
          <w:t>tool-grounded-agent</w:t>
        </w:r>
      </w:hyperlink>
      <w:r>
        <w:rPr>
          <w:b/>
        </w:rPr>
        <w:t>.</w:t>
      </w:r>
      <w:r>
        <w:rPr/>
        <w:t xml:space="preserve"> Built a scripted planning prototype with tool-ledger provenance, a text guard and known-gap tests separating value membership from retrieved evidence.</w:t>
      </w:r>
    </w:p>
    <w:p>
      <w:pPr>
        <w:pStyle w:val="Bullet"/>
        <w:numPr>
          <w:ilvl w:val="0"/>
          <w:numId w:val="1027"/>
        </w:numPr>
        <w:ind w:left="202" w:hanging="202"/>
      </w:pPr>
      <w:hyperlink r:id="rId50">
        <w:r>
          <w:rPr>
            <w:color w:val="154D66"/>
            <w:b/>
          </w:rPr>
          <w:t>grounded-rag</w:t>
        </w:r>
      </w:hyperlink>
      <w:r>
        <w:rPr>
          <w:b/>
        </w:rPr>
        <w:t>.</w:t>
      </w:r>
      <w:r>
        <w:rPr/>
        <w:t xml:space="preserve"> Implemented lexical retrieval and extractive answering with retrieval metrics, numeric-membership checks and lexical-support evaluation.</w:t>
      </w:r>
    </w:p>
    <w:p>
      <w:pPr>
        <w:pStyle w:val="Bullet"/>
        <w:numPr>
          <w:ilvl w:val="0"/>
          <w:numId w:val="1027"/>
        </w:numPr>
        <w:ind w:left="202" w:hanging="202"/>
      </w:pPr>
      <w:hyperlink r:id="rId51">
        <w:r>
          <w:rPr>
            <w:color w:val="154D66"/>
            <w:b/>
          </w:rPr>
          <w:t>calibrated-clinical-ml</w:t>
        </w:r>
      </w:hyperlink>
      <w:r>
        <w:rPr>
          <w:b/>
        </w:rPr>
        <w:t>.</w:t>
      </w:r>
      <w:r>
        <w:rPr/>
        <w:t xml:space="preserve"> Implemented discrimination, calibration, recalibration, decision curves and resampling against a synthetic oracle; demonstrated threshold-decision differences between predictors with identical AUC.</w:t>
      </w:r>
    </w:p>
    <w:p>
      <w:pPr>
        <w:pStyle w:val="Heading1"/>
      </w:pPr>
      <w:r>
        <w:rPr/>
        <w:t>Publications and acknowledged contributions</w:t>
      </w:r>
    </w:p>
    <w:p>
      <w:pPr>
        <w:pStyle w:val="Bullet"/>
        <w:numPr>
          <w:ilvl w:val="0"/>
          <w:numId w:val="1027"/>
        </w:numPr>
        <w:ind w:left="202" w:hanging="202"/>
      </w:pPr>
      <w:r>
        <w:rPr>
          <w:b/>
        </w:rPr>
        <w:t>Acknowledged contributor:</w:t>
      </w:r>
      <w:r>
        <w:rPr/>
        <w:t xml:space="preserve"> developed data extraction and normalization programs for the study dataset in Osterhage KP, Hser YI, Mooney LJ, Sherman S, Saxon AJ, Ledgerwood M, Holtzer CC, Gehring MA, Clingan SE, Curtis ME, Baldwin LM. Identifying patients with opioid use disorder using International Classification of Diseases (ICD) codes: challenges and opportunities. </w:t>
      </w:r>
      <w:r>
        <w:rPr>
          <w:i/>
        </w:rPr>
        <w:t>Addiction</w:t>
      </w:r>
      <w:r>
        <w:rPr/>
        <w:t xml:space="preserve">. 2024;119(1):160-168. </w:t>
      </w:r>
      <w:hyperlink r:id="rId52">
        <w:r>
          <w:rPr>
            <w:color w:val="154D66"/>
          </w:rPr>
          <w:t>doi:10.1111/add.16338</w:t>
        </w:r>
      </w:hyperlink>
      <w:r>
        <w:rPr/>
        <w:t>.</w:t>
      </w:r>
    </w:p>
    <w:p>
      <w:pPr>
        <w:pStyle w:val="Bullet"/>
        <w:numPr>
          <w:ilvl w:val="0"/>
          <w:numId w:val="1027"/>
        </w:numPr>
        <w:ind w:left="202" w:hanging="202"/>
      </w:pPr>
      <w:r>
        <w:rPr/>
        <w:t xml:space="preserve">Ben-Avie M, Rosenwald L, Depastino R, Iben P. How can we help young adults with autism thrive in the workplace? </w:t>
      </w:r>
      <w:r>
        <w:rPr>
          <w:i/>
        </w:rPr>
        <w:t>The Conversation</w:t>
      </w:r>
      <w:r>
        <w:rPr/>
        <w:t>, 2016.</w:t>
      </w:r>
    </w:p>
    <w:p>
      <w:pPr>
        <w:pStyle w:val="Heading1"/>
      </w:pPr>
      <w:r>
        <w:rPr/>
        <w:t>Clinical expertise</w:t>
      </w:r>
    </w:p>
    <w:p>
      <w:pPr>
        <w:pStyle w:val="Bullet"/>
        <w:numPr>
          <w:ilvl w:val="0"/>
          <w:numId w:val="1027"/>
        </w:numPr>
        <w:ind w:left="202" w:hanging="202"/>
      </w:pPr>
      <w:r>
        <w:rPr>
          <w:b/>
        </w:rPr>
        <w:t>Therapeutic areas:</w:t>
      </w:r>
      <w:r>
        <w:rPr/>
        <w:t xml:space="preserve"> cardiovascular, dermatology, immunology, neurology (MS, ALS, Parkinson's, Alzheimer's), oncology (hematologic malignancies and solid tumors), psychiatry (opioid use disorder and schizophrenia), and respiratory.</w:t>
      </w:r>
    </w:p>
    <w:p>
      <w:pPr>
        <w:pStyle w:val="Bullet"/>
        <w:numPr>
          <w:ilvl w:val="0"/>
          <w:numId w:val="1027"/>
        </w:numPr>
        <w:ind w:left="202" w:hanging="202"/>
      </w:pPr>
      <w:r>
        <w:rPr>
          <w:b/>
        </w:rPr>
        <w:t>Study designs:</w:t>
      </w:r>
      <w:r>
        <w:rPr/>
        <w:t xml:space="preserve"> first-in-human, SAD/MAD, crossover, fixed sequence, parallel group, adaptive, placebo-controlled, double-blind, open-label and cohort.</w:t>
      </w:r>
    </w:p>
    <w:p>
      <w:pPr>
        <w:pStyle w:val="Bullet"/>
        <w:numPr>
          <w:ilvl w:val="0"/>
          <w:numId w:val="1027"/>
        </w:numPr>
        <w:ind w:left="202" w:hanging="202"/>
      </w:pPr>
      <w:r>
        <w:rPr>
          <w:b/>
        </w:rPr>
        <w:t>Statistical methods:</w:t>
      </w:r>
      <w:r>
        <w:rPr/>
        <w:t xml:space="preserve"> PK/PD and NCA, bioequivalence, survival and longitudinal analysis, missing-data imputation, simulation, permutation and resampling inference, multiplicity, cluster randomized designs, calibration and decision curves.</w:t>
      </w:r>
    </w:p>
    <w:p>
      <w:pPr>
        <w:pStyle w:val="Bullet"/>
        <w:numPr>
          <w:ilvl w:val="0"/>
          <w:numId w:val="1027"/>
        </w:numPr>
        <w:ind w:left="202" w:hanging="202"/>
      </w:pPr>
      <w:r>
        <w:rPr>
          <w:b/>
        </w:rPr>
        <w:t>Clinical standards and tools:</w:t>
      </w:r>
      <w:r>
        <w:rPr/>
        <w:t xml:space="preserve"> CDISC SDTM/ADaM, MedDRA and WHODrug coding, Veeva Vault, TLF specifications and review.</w:t>
      </w:r>
    </w:p>
    <w:sectPr>
      <w:headerReference r:id="rId4" w:type="default"/>
      <w:footerReference r:id="rId5" w:type="default"/>
      <w:pgSz w:h="15840" w:orient="portrait" w:w="12240"/>
      <w:pgMar w:bottom="1037" w:footer="360" w:header="360" w:left="1440" w:right="1440" w:top="1037"/>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bidi w:val="0"/>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p>
</w:hdr>
</file>

<file path=word/numbering.xml><?xml version="1.0" encoding="utf-8"?>
<w:numbering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12"/>
  </w:abstractNum>
  <w:abstractNum w:abstractNumId="9">
    <w:multiLevelType w:val="hybridMultilevel"/>
    <w:styleLink w:val="Imported Style 12"/>
    <w:lvl w:ilvl="0">
      <w:start w:val="1"/>
      <w:numFmt w:val="decimal"/>
      <w:suff w:val="tab"/>
      <w:lvlText w:val="%1."/>
      <w:lvlJc w:val="left"/>
      <w:pPr>
        <w:ind w:hanging="360" w:left="7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hanging="360" w:left="1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hanging="291" w:left="21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hanging="360" w:left="28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hanging="360" w:left="36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hanging="291" w:left="43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hanging="360" w:left="50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hanging="360" w:left="57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hanging="291" w:left="6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3">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3"/>
  </w:num>
  <w:num w:numId="7">
    <w:abstractNumId w:val="2"/>
  </w:num>
  <w:num w:numId="8">
    <w:abstractNumId w:val="5"/>
  </w:num>
  <w:num w:numId="9">
    <w:abstractNumId w:val="4"/>
  </w:num>
  <w:num w:numId="10">
    <w:abstractNumId w:val="7"/>
  </w:num>
  <w:num w:numId="11">
    <w:abstractNumId w:val="6"/>
  </w:num>
  <w:num w:numId="12">
    <w:abstractNumId w:val="9"/>
  </w:num>
  <w:num w:numId="13">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autoHyphenation w:val="1"/>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widowControl w:val="1"/>
        <w:suppressLineNumbers w:val="0"/>
        <w:pBdr>
          <w:top w:val="nil"/>
          <w:left w:val="nil"/>
          <w:bottom w:val="nil"/>
          <w:right w:val="nil"/>
          <w:between w:val="nil"/>
          <w:bar w:val="nil"/>
        </w:pBdr>
        <w:shd w:color="auto" w:fill="auto" w:val="clear"/>
        <w:suppressAutoHyphens w:val="0"/>
        <w:spacing w:after="0" w:afterAutospacing="0" w:before="0" w:beforeAutospacing="0" w:line="240" w:lineRule="auto"/>
        <w:ind w:firstLine="0" w:left="0" w:right="0"/>
        <w:jc w:val="left"/>
        <w:outlineLvl w:val="9"/>
      </w:pPr>
    </w:pPrDefault>
  </w:docDefaults>
  <w:style w:default="1" w:styleId="Normal" w:type="paragraph">
    <w:name w:val="Normal"/>
    <w:next w:val="Normal"/>
    <w:pPr>
      <w:keepNext w:val="0"/>
      <w:keepLines/>
      <w:widowControl/>
      <w:spacing w:before="0" w:after="60" w:line="247" w:lineRule="auto"/>
      <w:jc w:val="left"/>
    </w:pPr>
    <w:rPr>
      <w:rFonts w:ascii="Times New Roman" w:hAnsi="Times New Roman"/>
      <w:b w:val="0"/>
      <w:color w:val="000000"/>
      <w:sz w:val="21"/>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suppressAutoHyphens w:val="0"/>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1"/>
      <w:bidi w:val="0"/>
      <w:spacing w:after="0" w:before="0" w:line="259" w:lineRule="auto"/>
      <w:ind w:firstLine="0" w:left="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da-DK"/>
      <w14:textOutline>
        <w14:noFill/>
      </w14:textOutline>
      <w14:textFill>
        <w14:solidFill>
          <w14:srgbClr w14:val="000000"/>
        </w14:solidFill>
      </w14:textFill>
    </w:rPr>
  </w:style>
  <w:style w:styleId="Default" w:type="paragraph">
    <w:name w:val="Default"/>
    <w:next w:val="Default"/>
    <w:pPr>
      <w:keepNext w:val="0"/>
      <w:keepLines w:val="0"/>
      <w:pageBreakBefore w:val="0"/>
      <w:widowControl w:val="1"/>
      <w:shd w:color="auto" w:fill="auto" w:val="clear"/>
      <w:suppressAutoHyphens w:val="0"/>
      <w:bidi w:val="0"/>
      <w:spacing w:after="0" w:before="160" w:line="288"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lang w:val="en-US"/>
      <w14:textOutline>
        <w14:noFill/>
      </w14:textOutline>
      <w14:textFill>
        <w14:solidFill>
          <w14:srgbClr w14:val="000000"/>
        </w14:solidFill>
      </w14:textFill>
    </w:rPr>
  </w:style>
  <w:style w:styleId="Bullets" w:type="numbering">
    <w:name w:val="Bullets"/>
    <w:pPr>
      <w:numPr>
        <w:numId w:val="1"/>
      </w:numPr>
    </w:pPr>
  </w:style>
  <w:style w:styleId="List Paragraph" w:type="paragraph">
    <w:name w:val="List Paragraph"/>
    <w:next w:val="List Paragraph"/>
    <w:pPr>
      <w:keepNext w:val="0"/>
      <w:keepLines w:val="0"/>
      <w:pageBreakBefore w:val="0"/>
      <w:widowControl w:val="1"/>
      <w:shd w:color="auto" w:fill="auto" w:val="clear"/>
      <w:suppressAutoHyphens w:val="1"/>
      <w:bidi w:val="0"/>
      <w:spacing w:after="0" w:before="0" w:line="259" w:lineRule="auto"/>
      <w:ind w:firstLine="0" w:left="72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en-US"/>
      <w14:textFill>
        <w14:solidFill>
          <w14:srgbClr w14:val="000000"/>
        </w14:solidFill>
      </w14:textFill>
    </w:rPr>
  </w:style>
  <w:style w:styleId="Imported Style 2" w:type="numbering">
    <w:name w:val="Imported Style 2"/>
    <w:pPr>
      <w:numPr>
        <w:numId w:val="6"/>
      </w:numPr>
    </w:pPr>
  </w:style>
  <w:style w:styleId="Imported Style 3" w:type="numbering">
    <w:name w:val="Imported Style 3"/>
    <w:pPr>
      <w:numPr>
        <w:numId w:val="8"/>
      </w:numPr>
    </w:pPr>
  </w:style>
  <w:style w:styleId="Imported Style 4" w:type="numbering">
    <w:name w:val="Imported Style 4"/>
    <w:pPr>
      <w:numPr>
        <w:numId w:val="10"/>
      </w:numPr>
    </w:pPr>
  </w:style>
  <w:style w:styleId="Imported Style 12" w:type="numbering">
    <w:name w:val="Imported Style 12"/>
    <w:pPr>
      <w:numPr>
        <w:numId w:val="12"/>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
    <w:name w:val="Title"/>
    <w:pPr>
      <w:keepNext/>
      <w:keepLines/>
      <w:widowControl/>
      <w:spacing w:before="0" w:after="40" w:line="240" w:lineRule="auto"/>
      <w:jc w:val="left"/>
    </w:pPr>
    <w:rPr>
      <w:rFonts w:ascii="Times New Roman" w:hAnsi="Times New Roman"/>
      <w:b/>
      <w:color w:val="000000"/>
      <w:sz w:val="48"/>
    </w:rPr>
  </w:style>
  <w:style w:type="paragraph" w:customStyle="1" w:styleId="Subtitle">
    <w:name w:val="Subtitle"/>
    <w:pPr>
      <w:keepNext/>
      <w:keepLines/>
      <w:widowControl/>
      <w:spacing w:before="0" w:after="80" w:line="240" w:lineRule="auto"/>
      <w:jc w:val="left"/>
    </w:pPr>
    <w:rPr>
      <w:rFonts w:ascii="Times New Roman" w:hAnsi="Times New Roman"/>
      <w:b w:val="0"/>
      <w:color w:val="000000"/>
      <w:sz w:val="22"/>
    </w:rPr>
  </w:style>
  <w:style w:type="paragraph" w:customStyle="1" w:styleId="Heading1">
    <w:name w:val="heading 1"/>
    <w:pPr>
      <w:keepNext/>
      <w:keepLines/>
      <w:widowControl/>
      <w:spacing w:before="160" w:after="80" w:line="250" w:lineRule="auto"/>
      <w:jc w:val="left"/>
    </w:pPr>
    <w:rPr>
      <w:rFonts w:ascii="Times New Roman" w:hAnsi="Times New Roman"/>
      <w:b/>
      <w:color w:val="000000"/>
      <w:sz w:val="25"/>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7"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4" Type="http://schemas.openxmlformats.org/officeDocument/2006/relationships/header" Target="header1.xml"/><Relationship Id="rId5" Type="http://schemas.openxmlformats.org/officeDocument/2006/relationships/footer" Target="footer1.xml"/><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 Id="rId1" Type="http://schemas.openxmlformats.org/officeDocument/2006/relationships/hyperlink" Target="https://github.com/patrickiben/patrickiben/blob/main/RESEARCH_MAP.md" TargetMode="External"/><Relationship Id="rId2" Type="http://schemas.openxmlformats.org/officeDocument/2006/relationships/hyperlink" Target="https://doi.org/10.5281/zenodo.23486176" TargetMode="External"/><Relationship Id="rId3" Type="http://schemas.openxmlformats.org/officeDocument/2006/relationships/hyperlink" Target="https://doi.org/10.17605/OSF.IO/XPA4S" TargetMode="External"/><Relationship Id="rId16" Type="http://schemas.openxmlformats.org/officeDocument/2006/relationships/hyperlink" Target="https://patrickiben.github.io/crt-design-demo/" TargetMode="External"/><Relationship Id="rId17" Type="http://schemas.openxmlformats.org/officeDocument/2006/relationships/hyperlink" Target="https://github.com/patrickiben/crt-design-demo/tree/main/education" TargetMode="External"/><Relationship Id="rId18" Type="http://schemas.openxmlformats.org/officeDocument/2006/relationships/hyperlink" Target="https://doi.org/10.5281/zenodo.23543154" TargetMode="External"/><Relationship Id="rId19" Type="http://schemas.openxmlformats.org/officeDocument/2006/relationships/hyperlink" Target="https://doi.org/10.5281/zenodo.23537469" TargetMode="External"/><Relationship Id="rId20" Type="http://schemas.openxmlformats.org/officeDocument/2006/relationships/hyperlink" Target="https://patrickiben.github.io/alphagenome-allele-demo/" TargetMode="External"/><Relationship Id="rId21" Type="http://schemas.openxmlformats.org/officeDocument/2006/relationships/hyperlink" Target="https://github.com/patrickiben/alphagenome-allele-demo/tree/main/education" TargetMode="External"/><Relationship Id="rId22" Type="http://schemas.openxmlformats.org/officeDocument/2006/relationships/hyperlink" Target="https://doi.org/10.5281/zenodo.23519299" TargetMode="External"/><Relationship Id="rId23" Type="http://schemas.openxmlformats.org/officeDocument/2006/relationships/hyperlink" Target="https://doi.org/10.5281/zenodo.23569075" TargetMode="External"/><Relationship Id="rId24" Type="http://schemas.openxmlformats.org/officeDocument/2006/relationships/hyperlink" Target="https://github.com/patrickiben/patrickiben/tree/main/education/false-floor" TargetMode="External"/><Relationship Id="rId25" Type="http://schemas.openxmlformats.org/officeDocument/2006/relationships/hyperlink" Target="https://github.com/patrickiben/directed-asymmetry-contagion/blob/main/manuscript/anticipating_network_contagions_draft.pdf" TargetMode="External"/><Relationship Id="rId26" Type="http://schemas.openxmlformats.org/officeDocument/2006/relationships/hyperlink" Target="https://github.com/patrickiben/directed-asymmetry-contagion" TargetMode="External"/><Relationship Id="rId27" Type="http://schemas.openxmlformats.org/officeDocument/2006/relationships/hyperlink" Target="https://osf.io/49kn7/" TargetMode="External"/><Relationship Id="rId28" Type="http://schemas.openxmlformats.org/officeDocument/2006/relationships/hyperlink" Target="https://github.com/patrickiben/directed-asymmetry-contagion/tree/main/education" TargetMode="External"/><Relationship Id="rId29" Type="http://schemas.openxmlformats.org/officeDocument/2006/relationships/hyperlink" Target="https://github.com/patrickiben/consilience-engine/blob/main/manuscript/consilience_PeerJ_draft.pdf" TargetMode="External"/><Relationship Id="rId30" Type="http://schemas.openxmlformats.org/officeDocument/2006/relationships/hyperlink" Target="https://github.com/patrickiben/consilience-engine" TargetMode="External"/><Relationship Id="rId31" Type="http://schemas.openxmlformats.org/officeDocument/2006/relationships/hyperlink" Target="https://github.com/patrickiben/consilience-engine/tree/main/education" TargetMode="External"/><Relationship Id="rId32" Type="http://schemas.openxmlformats.org/officeDocument/2006/relationships/hyperlink" Target="https://doi.org/10.5281/zenodo.21422754" TargetMode="External"/><Relationship Id="rId33" Type="http://schemas.openxmlformats.org/officeDocument/2006/relationships/hyperlink" Target="https://github.com/patrickiben/amygdala-invariance" TargetMode="External"/><Relationship Id="rId34" Type="http://schemas.openxmlformats.org/officeDocument/2006/relationships/hyperlink" Target="https://github.com/patrickiben/amygdala-invariance/tree/main/education" TargetMode="External"/><Relationship Id="rId35" Type="http://schemas.openxmlformats.org/officeDocument/2006/relationships/hyperlink" Target="https://patrickiben.github.io/public-data-consoles/" TargetMode="External"/><Relationship Id="rId36" Type="http://schemas.openxmlformats.org/officeDocument/2006/relationships/hyperlink" Target="https://github.com/patrickiben/public-data-consoles" TargetMode="External"/><Relationship Id="rId37" Type="http://schemas.openxmlformats.org/officeDocument/2006/relationships/hyperlink" Target="https://patrickiben.github.io/public-data-consoles/consoles/coastal-water-resilience/" TargetMode="External"/><Relationship Id="rId38" Type="http://schemas.openxmlformats.org/officeDocument/2006/relationships/hyperlink" Target="https://patrickiben.github.io/autonomic-telemetry/" TargetMode="External"/><Relationship Id="rId39" Type="http://schemas.openxmlformats.org/officeDocument/2006/relationships/hyperlink" Target="https://github.com/patrickiben/autonomic-telemetry" TargetMode="External"/><Relationship Id="rId40" Type="http://schemas.openxmlformats.org/officeDocument/2006/relationships/hyperlink" Target="https://patrickiben.github.io/autonomic-telemetry/Autonomic_Telemetry_Signal_Lab.html" TargetMode="External"/><Relationship Id="rId41" Type="http://schemas.openxmlformats.org/officeDocument/2006/relationships/hyperlink" Target="https://patrickiben.github.io/public-data-consoles/consoles/resilience-telemetry/" TargetMode="External"/><Relationship Id="rId42" Type="http://schemas.openxmlformats.org/officeDocument/2006/relationships/hyperlink" Target="https://patrickiben.github.io/public-data-consoles/consoles/resilience-telemetry/wiki.html#s8b" TargetMode="External"/><Relationship Id="rId43" Type="http://schemas.openxmlformats.org/officeDocument/2006/relationships/hyperlink" Target="https://patrickiben.github.io/biometrics-ai-portfolio/" TargetMode="External"/><Relationship Id="rId44" Type="http://schemas.openxmlformats.org/officeDocument/2006/relationships/hyperlink" Target="https://github.com/patrickiben/biometrics-ai-portfolio" TargetMode="External"/><Relationship Id="rId45" Type="http://schemas.openxmlformats.org/officeDocument/2006/relationships/hyperlink" Target="https://github.com/patrickiben/ecrf-pipeline-apps" TargetMode="External"/><Relationship Id="rId46" Type="http://schemas.openxmlformats.org/officeDocument/2006/relationships/hyperlink" Target="https://patrickiben.github.io/ecrf-pipeline-apps/" TargetMode="External"/><Relationship Id="rId47" Type="http://schemas.openxmlformats.org/officeDocument/2006/relationships/hyperlink" Target="https://github.com/patrickiben/numguard" TargetMode="External"/><Relationship Id="rId48" Type="http://schemas.openxmlformats.org/officeDocument/2006/relationships/hyperlink" Target="https://github.com/patrickiben/guarded-llm-service" TargetMode="External"/><Relationship Id="rId49" Type="http://schemas.openxmlformats.org/officeDocument/2006/relationships/hyperlink" Target="https://github.com/patrickiben/tool-grounded-agent" TargetMode="External"/><Relationship Id="rId50" Type="http://schemas.openxmlformats.org/officeDocument/2006/relationships/hyperlink" Target="https://github.com/patrickiben/grounded-rag" TargetMode="External"/><Relationship Id="rId51" Type="http://schemas.openxmlformats.org/officeDocument/2006/relationships/hyperlink" Target="https://github.com/patrickiben/calibrated-clinical-ml" TargetMode="External"/><Relationship Id="rId52" Type="http://schemas.openxmlformats.org/officeDocument/2006/relationships/hyperlink" Target="https://doi.org/10.1111/add.16338"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Curriculum vitae</dc:title>
  <dc:creator>Patrick Iben</dc:creator>
  <cp:keywords>biostatistics, research engineering, AI evaluation, statistical methods</cp:keywords>
  <dcterms:created xsi:type="dcterms:W3CDTF">2026-10-22T17:44:20Z</dcterms:created>
  <dcterms:modified xsi:type="dcterms:W3CDTF">2026-10-22T17:44:20Z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