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/>
        <w:t>Patrick Iben</w:t>
      </w:r>
    </w:p>
    <w:p>
      <w:pPr>
        <w:pStyle w:val="Subtitle"/>
      </w:pPr>
      <w:r>
        <w:rPr/>
        <w:t>Applied mathematics and research engineering</w:t>
      </w:r>
    </w:p>
    <w:p>
      <w:pPr>
        <w:pStyle w:val="Contact"/>
      </w:pPr>
      <w:r>
        <w:rPr/>
        <w:t>Saint Petersburg, FL | Remote US | patrickiben@gmail.com | (203) 645-1825</w:t>
      </w:r>
    </w:p>
    <w:p>
      <w:pPr>
        <w:pStyle w:val="Contact"/>
      </w:pPr>
      <w:hyperlink r:id="rId10">
        <w:r>
          <w:rPr>
            <w:color w:val="154D66"/>
          </w:rPr>
          <w:t>GitHub portfolio</w:t>
        </w:r>
      </w:hyperlink>
      <w:r>
        <w:rPr/>
        <w:t xml:space="preserve"> | </w:t>
      </w:r>
      <w:hyperlink r:id="rId13">
        <w:r>
          <w:rPr>
            <w:color w:val="154D66"/>
          </w:rPr>
          <w:t>Research and teaching</w:t>
        </w:r>
      </w:hyperlink>
      <w:r>
        <w:rPr/>
        <w:t xml:space="preserve"> | </w:t>
      </w:r>
      <w:hyperlink r:id="rId9">
        <w:r>
          <w:rPr>
            <w:color w:val="154D66"/>
          </w:rPr>
          <w:t>ORCID 0009-0005-2443-7973</w:t>
        </w:r>
      </w:hyperlink>
    </w:p>
    <w:p>
      <w:pPr>
        <w:pStyle w:val="Heading1"/>
      </w:pPr>
      <w:r>
        <w:rPr/>
        <w:t>Profile</w:t>
      </w:r>
    </w:p>
    <w:p>
      <w:pPr/>
      <w:r>
        <w:rPr/>
        <w:t>Applied mathematician and biostatistician with seven years in clinical biostatistics and twelve years in research. Builds statistical frameworks, AI-evaluation tools and public-data systems with traceable inputs and testable assumptions. Independent work includes six research manuscripts, scientific Python software, wearable sensing and 32 public-data consoles. Seeking research-scientist, research-engineering, AI-evaluation and biostatistical methods roles.</w:t>
      </w:r>
    </w:p>
    <w:p>
      <w:pPr>
        <w:pStyle w:val="Heading1"/>
      </w:pPr>
      <w:r>
        <w:rPr/>
        <w:t>Technical expertise</w:t>
      </w:r>
    </w:p>
    <w:p>
      <w:pPr/>
      <w:r>
        <w:rPr>
          <w:b/>
        </w:rPr>
        <w:t>Methods:</w:t>
      </w:r>
      <w:r>
        <w:rPr/>
        <w:t xml:space="preserve"> trial design, simulation, permutation inference, calibration, decision curves, PK/NCA, bioequivalence, CDISC SDTM/ADaM and statistical analysis plans.</w:t>
      </w:r>
    </w:p>
    <w:p>
      <w:pPr/>
      <w:r>
        <w:rPr>
          <w:b/>
        </w:rPr>
        <w:t>Tools:</w:t>
      </w:r>
      <w:r>
        <w:rPr/>
        <w:t xml:space="preserve"> R and pharmaverse, SAS, Python, SQL, JavaScript, Git, Docker and LaTeX. Data provenance, automated QC, browser testing, public API integration and numerical validation.</w:t>
      </w:r>
    </w:p>
    <w:p>
      <w:pPr>
        <w:pStyle w:val="Heading1"/>
      </w:pPr>
      <w:r>
        <w:rPr/>
        <w:t>Professional experience</w:t>
      </w:r>
    </w:p>
    <w:p>
      <w:pPr>
        <w:pStyle w:val="Entry"/>
      </w:pPr>
      <w:r>
        <w:rPr>
          <w:b/>
        </w:rPr>
        <w:t>Biostatistician II | Syneos Health</w:t>
      </w:r>
      <w:r>
        <w:rPr/>
        <w:t xml:space="preserve"> | Remote | December 2021 to October 2026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Served as lead biostatistician from December 2022 on early-phase clinical pharmacology studies, including first-in-human, SAD/MAD, crossover, bioequivalence and bioavailability designs.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Owned protocol statistical sections, randomization schedules, analysis plans and mock tables, listings and figures; created or reviewed CDISC analysis specifications.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Performed PK/PD analyses, reviewed outputs and contributed to clinical study reports; reviewed interim study data, annotated CRFs and database designs against analysis requirements.</w:t>
      </w:r>
    </w:p>
    <w:p>
      <w:pPr>
        <w:pStyle w:val="Entry"/>
      </w:pPr>
      <w:r>
        <w:rPr>
          <w:b/>
        </w:rPr>
        <w:t>Associate Biostatistician | Emmes</w:t>
      </w:r>
      <w:r>
        <w:rPr/>
        <w:t xml:space="preserve"> | Rockville, MD | September 2019 to December 2021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Led and supported federally sponsored Phase 1 and Phase 3 opioid-use-disorder trials; wrote protocol and analysis-plan sections, DSMB reports and final statistical reports.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Built dynamic study-progress reporting and SAS/R tools; harmonized multi-clinic EHR data and supported external research partners.</w:t>
      </w:r>
    </w:p>
    <w:p>
      <w:pPr>
        <w:pStyle w:val="Entry"/>
      </w:pPr>
      <w:r>
        <w:rPr>
          <w:b/>
        </w:rPr>
        <w:t>Research Assistant and Teaching Assistant | University of Colorado Anschutz</w:t>
      </w:r>
      <w:r>
        <w:rPr/>
        <w:t xml:space="preserve"> | August 2016 to July 2019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Harmonized hospital databases containing millions of records and hundreds of derived variables for pediatric nursing-cost research and reuse in later studies.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Advised doctoral nursing candidates on design and sample size; taught graduate biostatistics review sessions and office hours.</w:t>
      </w:r>
    </w:p>
    <w:p>
      <w:pPr>
        <w:pStyle w:val="Entry"/>
      </w:pPr>
      <w:r>
        <w:rPr>
          <w:b/>
        </w:rPr>
        <w:t>Earlier research roles</w:t>
      </w:r>
      <w:r>
        <w:rPr/>
        <w:t xml:space="preserve"> | 2014 to 2016</w:t>
      </w:r>
    </w:p>
    <w:p>
      <w:pPr/>
      <w:r>
        <w:rPr/>
        <w:t>Postsecondary and Policy Analysis Fellow, State Higher Education Executive Officers; Data Analysis Fellow, Yale School of Child Development; Senior Data Analyst, SCSU Office of Assessment and Planning.</w:t>
      </w:r>
    </w:p>
    <w:p>
      <w:pPr>
        <w:pStyle w:val="Heading1"/>
      </w:pPr>
      <w:r>
        <w:rPr/>
        <w:t>Education</w:t>
      </w:r>
    </w:p>
    <w:p>
      <w:pPr>
        <w:pStyle w:val="Entry"/>
      </w:pPr>
      <w:r>
        <w:rPr>
          <w:b/>
        </w:rPr>
        <w:t>MS, Biostatistics</w:t>
      </w:r>
      <w:r>
        <w:rPr/>
        <w:t>, Data Science Analytics minor | University of Colorado Anschutz | 2019</w:t>
      </w:r>
    </w:p>
    <w:p>
      <w:pPr>
        <w:pStyle w:val="Entry"/>
      </w:pPr>
      <w:r>
        <w:rPr>
          <w:b/>
        </w:rPr>
        <w:t>BS, Mathematics</w:t>
      </w:r>
      <w:r>
        <w:rPr/>
        <w:t>, Applications of Mathematics | Southern Connecticut State University | 2016 | Magna cum laude</w:t>
      </w:r>
    </w:p>
    <w:p>
      <w:pPr>
        <w:pStyle w:val="Heading1"/>
        <w:pageBreakBefore/>
      </w:pPr>
      <w:r>
        <w:rPr/>
        <w:t>Selected research engineering</w:t>
      </w:r>
    </w:p>
    <w:p>
      <w:pPr>
        <w:pStyle w:val="Entry"/>
      </w:pPr>
      <w:hyperlink r:id="rId14">
        <w:r>
          <w:rPr>
            <w:color w:val="000000"/>
            <w:b/>
          </w:rPr>
          <w:t>Public Data Consoles</w:t>
        </w:r>
      </w:hyperlink>
      <w:r>
        <w:rPr>
          <w:b/>
        </w:rPr>
        <w:t xml:space="preserve"> and </w:t>
      </w:r>
      <w:hyperlink r:id="rId15">
        <w:r>
          <w:rPr>
            <w:color w:val="000000"/>
            <w:b/>
          </w:rPr>
          <w:t>Coastal Water Resilience</w:t>
        </w:r>
      </w:hyperlink>
    </w:p>
    <w:p>
      <w:pPr>
        <w:pStyle w:val="Bullet"/>
        <w:numPr>
          <w:ilvl w:val="0"/>
          <w:numId w:val="1027"/>
        </w:numPr>
        <w:ind w:left="202" w:hanging="202"/>
      </w:pPr>
      <w:r>
        <w:rPr/>
        <w:t>Built 32 browser consoles integrating public observations, official forecasts and dated reference data, with source provenance, refresh checks, mobile layouts and no visitor API-key requirement.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Adapted a ten-parameter research framework into data-informed response plans with action priorities, timing, escalation and parameter explanations. Coastal joins public station inventories, terrain, evacuation zones and NOAA feeds for geographic exposure screening; unsupported hydraulic quantities remain explicit.</w:t>
      </w:r>
    </w:p>
    <w:p>
      <w:pPr>
        <w:pStyle w:val="Entry"/>
      </w:pPr>
      <w:hyperlink r:id="rId16">
        <w:r>
          <w:rPr>
            <w:color w:val="000000"/>
            <w:b/>
          </w:rPr>
          <w:t>Autonomic Telemetry</w:t>
        </w:r>
      </w:hyperlink>
      <w:r>
        <w:rPr>
          <w:b/>
        </w:rPr>
        <w:t xml:space="preserve"> and </w:t>
      </w:r>
      <w:hyperlink r:id="rId17">
        <w:r>
          <w:rPr>
            <w:color w:val="000000"/>
            <w:b/>
          </w:rPr>
          <w:t>Resilience Telemetry</w:t>
        </w:r>
      </w:hyperlink>
    </w:p>
    <w:p>
      <w:pPr>
        <w:pStyle w:val="Bullet"/>
        <w:numPr>
          <w:ilvl w:val="0"/>
          <w:numId w:val="1027"/>
        </w:numPr>
        <w:ind w:left="202" w:hanging="202"/>
      </w:pPr>
      <w:r>
        <w:rPr/>
        <w:t>Built Bluetooth-to-Mac-to-mobile wearable data transport with personal references, signal-quality and freshness controls, and replayable numerical views.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Implemented cross-asset volatility-network diagnostics, historical replay and held-out comparisons against highest-volatility and persistence baselines as an exploratory adaptation of directed-contagion research.</w:t>
      </w:r>
    </w:p>
    <w:p>
      <w:pPr>
        <w:pStyle w:val="Entry"/>
      </w:pPr>
      <w:hyperlink r:id="rId18">
        <w:r>
          <w:rPr>
            <w:color w:val="000000"/>
            <w:b/>
          </w:rPr>
          <w:t>Clinical biometrics toolkit</w:t>
        </w:r>
      </w:hyperlink>
      <w:r>
        <w:rPr>
          <w:b/>
        </w:rPr>
        <w:t xml:space="preserve"> and </w:t>
      </w:r>
      <w:hyperlink r:id="rId19">
        <w:r>
          <w:rPr>
            <w:color w:val="000000"/>
            <w:b/>
          </w:rPr>
          <w:t>eCRF workflow prototypes</w:t>
        </w:r>
      </w:hyperlink>
    </w:p>
    <w:p>
      <w:pPr>
        <w:pStyle w:val="Bullet"/>
        <w:numPr>
          <w:ilvl w:val="0"/>
          <w:numId w:val="1027"/>
        </w:numPr>
        <w:ind w:left="202" w:hanging="202"/>
      </w:pPr>
      <w:r>
        <w:rPr/>
        <w:t>Developed 217 ADaM-based TLF pseudocode templates per language in SAS and R, an executable synthetic PK/NCA and bioequivalence sandbox, and a seven-gate QC workflow.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Built four Streamlit prototypes for coding assistance, PHI review, participant-risk screening and anomaly/drift checks, with traceable configuration and synthetic-data demonstrations.</w:t>
      </w:r>
    </w:p>
    <w:p>
      <w:pPr>
        <w:pStyle w:val="Entry"/>
      </w:pPr>
      <w:hyperlink r:id="rId20">
        <w:r>
          <w:rPr>
            <w:color w:val="000000"/>
            <w:b/>
          </w:rPr>
          <w:t>AI evaluation and scientific software</w:t>
        </w:r>
      </w:hyperlink>
    </w:p>
    <w:p>
      <w:pPr>
        <w:pStyle w:val="Bullet"/>
        <w:numPr>
          <w:ilvl w:val="0"/>
          <w:numId w:val="1027"/>
        </w:numPr>
        <w:ind w:left="202" w:hanging="202"/>
      </w:pPr>
      <w:r>
        <w:rPr/>
        <w:t>Implemented deterministic numeric and phrase checks, tool-ledger provenance, lexical retrieval evaluation and a containerized FastAPI service, with structured reports and executable known-gap tests.</w:t>
      </w:r>
    </w:p>
    <w:p>
      <w:pPr>
        <w:pStyle w:val="Bullet"/>
        <w:numPr>
          <w:ilvl w:val="0"/>
          <w:numId w:val="1027"/>
        </w:numPr>
        <w:ind w:left="202" w:hanging="202"/>
      </w:pPr>
      <w:r>
        <w:rPr/>
        <w:t>Evaluated calibration and decision curves against a synthetic oracle; packaged the Consilience Engine as an offline-capable Python library and configurable CLI.</w:t>
      </w:r>
    </w:p>
    <w:p>
      <w:pPr>
        <w:pStyle w:val="Heading1"/>
      </w:pPr>
      <w:r>
        <w:rPr/>
        <w:t>Research and teaching</w:t>
      </w:r>
    </w:p>
    <w:p>
      <w:pPr/>
      <w:r>
        <w:rPr/>
        <w:t>Six manuscripts have public drafts and paired concise and complete teaching editions. Research topics and review status as of 23 October 2026:</w:t>
      </w:r>
    </w:p>
    <w:p>
      <w:pPr>
        <w:pStyle w:val="Bullet"/>
        <w:numPr>
          <w:ilvl w:val="0"/>
          <w:numId w:val="1027"/>
        </w:numPr>
        <w:ind w:left="202" w:hanging="202"/>
      </w:pPr>
      <w:r>
        <w:rPr>
          <w:b/>
        </w:rPr>
        <w:t>Cluster randomized trial design under spatial interference.</w:t>
      </w:r>
      <w:r>
        <w:rPr/>
        <w:t xml:space="preserve"> Monte Carlo evaluation of contamination control. </w:t>
      </w:r>
      <w:r>
        <w:rPr>
          <w:i/>
        </w:rPr>
        <w:t>Statistics in Medicine</w:t>
      </w:r>
      <w:r>
        <w:rPr/>
        <w:t>, submitted.</w:t>
      </w:r>
    </w:p>
    <w:p>
      <w:pPr>
        <w:pStyle w:val="Bullet"/>
        <w:numPr>
          <w:ilvl w:val="0"/>
          <w:numId w:val="1027"/>
        </w:numPr>
        <w:ind w:left="202" w:hanging="202"/>
      </w:pPr>
      <w:r>
        <w:rPr>
          <w:b/>
        </w:rPr>
        <w:t>AlphaGenome within-site audit.</w:t>
      </w:r>
      <w:r>
        <w:rPr/>
        <w:t xml:space="preserve"> Permutation tests and replication across 11 genes. </w:t>
      </w:r>
      <w:r>
        <w:rPr>
          <w:i/>
        </w:rPr>
        <w:t>Human Genomics</w:t>
      </w:r>
      <w:r>
        <w:rPr/>
        <w:t>, submitted.</w:t>
      </w:r>
    </w:p>
    <w:p>
      <w:pPr>
        <w:pStyle w:val="Bullet"/>
        <w:numPr>
          <w:ilvl w:val="0"/>
          <w:numId w:val="1027"/>
        </w:numPr>
        <w:ind w:left="202" w:hanging="202"/>
      </w:pPr>
      <w:r>
        <w:rPr>
          <w:b/>
        </w:rPr>
        <w:t>A False Floor.</w:t>
      </w:r>
      <w:r>
        <w:rPr/>
        <w:t xml:space="preserve"> Stronger-baseline counterexamples, training-catalog overlap and literature audit. PLOS ONE, submitted 22 October 2026.</w:t>
      </w:r>
    </w:p>
    <w:p>
      <w:pPr>
        <w:pStyle w:val="Bullet"/>
        <w:numPr>
          <w:ilvl w:val="0"/>
          <w:numId w:val="1027"/>
        </w:numPr>
        <w:ind w:left="202" w:hanging="202"/>
      </w:pPr>
      <w:r>
        <w:rPr>
          <w:b/>
        </w:rPr>
        <w:t>Directed network contagion.</w:t>
      </w:r>
      <w:r>
        <w:rPr/>
        <w:t xml:space="preserve"> Directional asymmetry and simulated interventions across seven datasets. </w:t>
      </w:r>
      <w:r>
        <w:rPr>
          <w:i/>
        </w:rPr>
        <w:t>Applied Network Science</w:t>
      </w:r>
      <w:r>
        <w:rPr/>
        <w:t>, with editor.</w:t>
      </w:r>
    </w:p>
    <w:p>
      <w:pPr>
        <w:pStyle w:val="Bullet"/>
        <w:numPr>
          <w:ilvl w:val="0"/>
          <w:numId w:val="1027"/>
        </w:numPr>
        <w:ind w:left="202" w:hanging="202"/>
      </w:pPr>
      <w:r>
        <w:rPr>
          <w:b/>
        </w:rPr>
        <w:t>Consilience Engine.</w:t>
      </w:r>
      <w:r>
        <w:rPr/>
        <w:t xml:space="preserve"> Permutation-based comparison of gene-group coherence across data modalities. </w:t>
      </w:r>
      <w:r>
        <w:rPr>
          <w:i/>
        </w:rPr>
        <w:t>PeerJ</w:t>
      </w:r>
      <w:r>
        <w:rPr/>
        <w:t>, in peer review.</w:t>
      </w:r>
    </w:p>
    <w:p>
      <w:pPr>
        <w:pStyle w:val="Bullet"/>
        <w:numPr>
          <w:ilvl w:val="0"/>
          <w:numId w:val="1027"/>
        </w:numPr>
        <w:ind w:left="202" w:hanging="202"/>
      </w:pPr>
      <w:r>
        <w:rPr>
          <w:b/>
        </w:rPr>
        <w:t>Amygdala invariance.</w:t>
      </w:r>
      <w:r>
        <w:rPr/>
        <w:t xml:space="preserve"> Encoder-specific prediction and corroboration across three datasets. Peer Community In, preprint review.</w:t>
      </w:r>
    </w:p>
    <w:p>
      <w:pPr/>
      <w:r>
        <w:rPr/>
        <w:t xml:space="preserve">Authored twelve educational editions with worked examples, answered exercises and manuscript-version provenance. </w:t>
      </w:r>
      <w:hyperlink r:id="rId13">
        <w:r>
          <w:rPr>
            <w:color w:val="154D66"/>
          </w:rPr>
          <w:t>Manuscripts, repositories, demonstrations and companions</w:t>
        </w:r>
      </w:hyperlink>
      <w:r>
        <w:rPr/>
        <w:t>.</w:t>
      </w:r>
    </w:p>
    <w:sectPr>
      <w:headerReference w:type="default" r:id="rId11"/>
      <w:footerReference w:type="default" r:id="rId12"/>
      <w:footnotePr>
        <w:numRestart w:val="eachSect"/>
      </w:footnotePr>
      <w:pgSz w:w="12240" w:h="15840"/>
      <w:pgMar w:left="1008" w:right="1008" w:top="864" w:bottom="821" w:header="360" w:footer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Patrick Iben  |  </w:t>
    </w: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abstractNum w:abstractNumId="992">
    <w:lvl w:ilvl="0">
      <w:start w:val="1"/>
      <w:numFmt w:val="bullet"/>
      <w:lvlText w:val="•"/>
      <w:lvlJc w:val="left"/>
    </w:lvl>
  </w:abstract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keepLines/>
      <w:widowControl/>
      <w:spacing w:before="0" w:after="60" w:line="245" w:lineRule="auto"/>
      <w:jc w:val="left"/>
    </w:pPr>
    <w:rPr>
      <w:rFonts w:ascii="Times New Roman" w:hAnsi="Times New Roman"/>
      <w:b w:val="0"/>
      <w:color w:val="000000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widowControl/>
      <w:spacing w:after="40" w:line="240" w:lineRule="auto" w:before="0"/>
      <w:contextualSpacing/>
      <w:jc w:val="left"/>
    </w:pPr>
    <w:rPr>
      <w:rFonts w:asciiTheme="majorHAnsi" w:cstheme="majorBidi" w:eastAsiaTheme="majorEastAsia" w:hAnsiTheme="majorHAnsi" w:ascii="Times New Roman" w:hAnsi="Times New Roman"/>
      <w:b/>
      <w:color w:val="000000"/>
      <w:sz w:val="4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keepLines/>
      <w:widowControl/>
      <w:numPr>
        <w:ilvl w:val="1"/>
      </w:numPr>
      <w:spacing w:before="0" w:after="80" w:line="240" w:lineRule="auto"/>
      <w:jc w:val="left"/>
    </w:pPr>
    <w:rPr>
      <w:rFonts w:cstheme="majorBidi" w:eastAsiaTheme="majorEastAsia" w:ascii="Times New Roman" w:hAnsi="Times New Roman"/>
      <w:b w:val="0"/>
      <w:color w:val="000000"/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80" w:before="160" w:line="250" w:lineRule="auto"/>
      <w:jc w:val="left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3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Entry">
    <w:name w:val="Entry"/>
    <w:pPr>
      <w:keepNext/>
      <w:keepLines/>
      <w:widowControl/>
      <w:spacing w:before="100" w:after="60" w:line="250" w:lineRule="auto"/>
      <w:jc w:val="left"/>
    </w:pPr>
    <w:rPr>
      <w:rFonts w:ascii="Times New Roman" w:hAnsi="Times New Roman"/>
      <w:b w:val="0"/>
      <w:color w:val="000000"/>
      <w:sz w:val="21"/>
    </w:rPr>
  </w:style>
  <w:style w:type="paragraph" w:customStyle="1" w:styleId="Bullet">
    <w:name w:val="Bullet"/>
    <w:pPr>
      <w:keepNext w:val="0"/>
      <w:keepLines/>
      <w:widowControl/>
      <w:spacing w:before="0" w:after="60" w:line="245" w:lineRule="auto"/>
      <w:jc w:val="left"/>
    </w:pPr>
    <w:rPr>
      <w:rFonts w:ascii="Times New Roman" w:hAnsi="Times New Roman"/>
      <w:b w:val="0"/>
      <w:color w:val="000000"/>
      <w:sz w:val="21"/>
    </w:rPr>
  </w:style>
  <w:style w:type="paragraph" w:customStyle="1" w:styleId="Contact">
    <w:name w:val="Contact"/>
    <w:pPr>
      <w:keepNext/>
      <w:keepLines/>
      <w:widowControl/>
      <w:spacing w:before="0" w:after="60" w:line="240" w:lineRule="auto"/>
      <w:jc w:val="left"/>
    </w:pPr>
    <w:rPr>
      <w:rFonts w:ascii="Times New Roman" w:hAnsi="Times New Roman"/>
      <w:b w:val="0"/>
      <w:color w:val="000000"/>
      <w:sz w:val="19"/>
    </w:rPr>
  </w:style>
  <w:style w:type="paragraph" w:customStyle="1" w:styleId="LinkLine">
    <w:name w:val="Link Line"/>
    <w:pPr>
      <w:keepNext w:val="0"/>
      <w:keepLines/>
      <w:widowControl/>
      <w:spacing w:before="0" w:after="80" w:line="240" w:lineRule="auto"/>
      <w:jc w:val="left"/>
    </w:pPr>
    <w:rPr>
      <w:rFonts w:ascii="Times New Roman" w:hAnsi="Times New Roman"/>
      <w:b w:val="0"/>
      <w:color w:val="000000"/>
      <w:sz w:val="19"/>
    </w:rPr>
  </w:style>
  <w:style w:type="paragraph" w:customStyle="1" w:styleId="footer">
    <w:name w:val="footer"/>
    <w:pPr>
      <w:keepNext w:val="0"/>
      <w:keepLines/>
      <w:widowControl/>
      <w:spacing w:before="0" w:after="60" w:line="240" w:lineRule="auto"/>
      <w:jc w:val="left"/>
    </w:pPr>
    <w:rPr>
      <w:rFonts w:ascii="Times New Roman" w:hAnsi="Times New Roman"/>
      <w:b w:val="0"/>
      <w:color w:val="000000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https://github.com/patrickiben" TargetMode="External"/><Relationship Id="rId9" Type="http://schemas.openxmlformats.org/officeDocument/2006/relationships/hyperlink" Target="https://orcid.org/0009-0005-2443-7973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yperlink" Target="https://github.com/patrickiben/patrickiben/blob/main/RESEARCH_MAP.md" TargetMode="External"/><Relationship Id="rId14" Type="http://schemas.openxmlformats.org/officeDocument/2006/relationships/hyperlink" Target="https://patrickiben.github.io/public-data-consoles/" TargetMode="External"/><Relationship Id="rId15" Type="http://schemas.openxmlformats.org/officeDocument/2006/relationships/hyperlink" Target="https://patrickiben.github.io/public-data-consoles/consoles/coastal-water-resilience/" TargetMode="External"/><Relationship Id="rId16" Type="http://schemas.openxmlformats.org/officeDocument/2006/relationships/hyperlink" Target="https://patrickiben.github.io/autonomic-telemetry/" TargetMode="External"/><Relationship Id="rId17" Type="http://schemas.openxmlformats.org/officeDocument/2006/relationships/hyperlink" Target="https://patrickiben.github.io/public-data-consoles/consoles/resilience-telemetry/" TargetMode="External"/><Relationship Id="rId18" Type="http://schemas.openxmlformats.org/officeDocument/2006/relationships/hyperlink" Target="https://patrickiben.github.io/biometrics-ai-portfolio/" TargetMode="External"/><Relationship Id="rId19" Type="http://schemas.openxmlformats.org/officeDocument/2006/relationships/hyperlink" Target="https://github.com/patrickiben/ecrf-pipeline-apps" TargetMode="External"/><Relationship Id="rId20" Type="http://schemas.openxmlformats.org/officeDocument/2006/relationships/hyperlink" Target="https://github.com/patrickiben#ai-evaluation-and-grounding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github.com/patrickiben" TargetMode="External"/><Relationship Id="rId9" Type="http://schemas.openxmlformats.org/officeDocument/2006/relationships/hyperlink" Target="https://orcid.org/0009-0005-2443-79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Patrick Iben Resume</dc:title>
  <dc:creator>Patrick Iben</dc:creator>
  <cp:keywords>biostatistics, research engineering, AI evaluation, statistical methods</cp:keywords>
  <dcterms:created xsi:type="dcterms:W3CDTF">2026-10-22T17:44:22Z</dcterms:created>
  <dcterms:modified xsi:type="dcterms:W3CDTF">2026-10-22T17:44:22Z</dcterms:modified>
  <dc:subject>Research engineering, AI evaluation and clinical biostatistics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