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C2A39"/>
        </w:rPr>
        <w:t>EREQ-2147 UAT Test Plan: Expedited request option</w:t>
      </w:r>
    </w:p>
    <w:p>
      <w:r>
        <w:rPr>
          <w:b w:val="0"/>
          <w:i/>
        </w:rPr>
        <w:t>Prepared 2026-09-28 · UAT lead: Mary Siems (Client Services) · Target release 2026.11 · Status: DRAFT</w:t>
      </w:r>
    </w:p>
    <w:p>
      <w:r>
        <w:rPr>
          <w:b/>
          <w:i w:val="0"/>
          <w:color w:val="F15A29"/>
        </w:rPr>
        <w:t>Provisional: the module list, regression checks, severity rubric and holiday calendar come from the SAMPLE reference files (modules.SAMPLE.md, severity-rubric.SAMPLE.md, holidays.SAMPLE.csv). Confirm them with Heidy before sign-off. Only the Harborline Mutual and Tri-County contracts were checked; other clients' contracts were not provided.</w:t>
      </w:r>
    </w:p>
    <w:p>
      <w:r>
        <w:rPr>
          <w:b w:val="0"/>
          <w:i w:val="0"/>
        </w:rPr>
        <w:t>Companion workbook: EREQ-2147 UAT - 2026-09-28.xlsx (test cases, traceability, contract conflicts, due-date matrix, open questions, test data, defect log).</w:t>
      </w:r>
    </w:p>
    <w:p>
      <w:pPr>
        <w:pStyle w:val="Heading1"/>
      </w:pPr>
      <w:r>
        <w:rPr>
          <w:color w:val="1C2A39"/>
        </w:rPr>
        <w:t>1. Change summary</w:t>
      </w:r>
    </w:p>
    <w:p>
      <w:r>
        <w:rPr>
          <w:b w:val="0"/>
          <w:i w:val="0"/>
        </w:rPr>
        <w:t>Requestors, mostly plaintiff firms, can pay $35 to have a request expedited. Checking a new box on the portal intake form gives the request a 2-business-day due date in place of the client's contracted turnaround. Expedited requests sort to the top of the review queue with a red EXPEDITE badge, the requestor invoice gets a $35 Expedite fee line, the confirmation email states the expedited due date, and the daily SLA report gets an Expedited filter and column. The ticket does not say who is eligible, what happens when the contracted deadline is already shorter, or what the requestor gets if ClaimFox misses the 2-day date.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rPr>
                <w:b/>
              </w:rPr>
              <w:t>Change in the ticket</w:t>
            </w:r>
          </w:p>
        </w:tc>
      </w:tr>
      <w:tr>
        <w:tc>
          <w:tcPr>
            <w:tcW w:type="dxa" w:w="4320"/>
          </w:tcPr>
          <w:p>
            <w:r>
              <w:t>C-1</w:t>
            </w:r>
          </w:p>
        </w:tc>
        <w:tc>
          <w:tcPr>
            <w:tcW w:type="dxa" w:w="4320"/>
          </w:tcPr>
          <w:p>
            <w:r>
              <w:t>"Expedite this request (+$35)" checkbox on the portal intake form</w:t>
            </w:r>
          </w:p>
        </w:tc>
      </w:tr>
      <w:tr>
        <w:tc>
          <w:tcPr>
            <w:tcW w:type="dxa" w:w="4320"/>
          </w:tcPr>
          <w:p>
            <w:r>
              <w:t>C-2</w:t>
            </w:r>
          </w:p>
        </w:tc>
        <w:tc>
          <w:tcPr>
            <w:tcW w:type="dxa" w:w="4320"/>
          </w:tcPr>
          <w:p>
            <w:r>
              <w:t>2-business-day clock instead of the client's contracted clock</w:t>
            </w:r>
          </w:p>
        </w:tc>
      </w:tr>
      <w:tr>
        <w:tc>
          <w:tcPr>
            <w:tcW w:type="dxa" w:w="4320"/>
          </w:tcPr>
          <w:p>
            <w:r>
              <w:t>C-3</w:t>
            </w:r>
          </w:p>
        </w:tc>
        <w:tc>
          <w:tcPr>
            <w:tcW w:type="dxa" w:w="4320"/>
          </w:tcPr>
          <w:p>
            <w:r>
              <w:t>Top of the review queue, red EXPEDITE badge</w:t>
            </w:r>
          </w:p>
        </w:tc>
      </w:tr>
      <w:tr>
        <w:tc>
          <w:tcPr>
            <w:tcW w:type="dxa" w:w="4320"/>
          </w:tcPr>
          <w:p>
            <w:r>
              <w:t>C-4</w:t>
            </w:r>
          </w:p>
        </w:tc>
        <w:tc>
          <w:tcPr>
            <w:tcW w:type="dxa" w:w="4320"/>
          </w:tcPr>
          <w:p>
            <w:r>
              <w:t>$35 "Expedite fee" line on the requestor invoice</w:t>
            </w:r>
          </w:p>
        </w:tc>
      </w:tr>
      <w:tr>
        <w:tc>
          <w:tcPr>
            <w:tcW w:type="dxa" w:w="4320"/>
          </w:tcPr>
          <w:p>
            <w:r>
              <w:t>C-5</w:t>
            </w:r>
          </w:p>
        </w:tc>
        <w:tc>
          <w:tcPr>
            <w:tcW w:type="dxa" w:w="4320"/>
          </w:tcPr>
          <w:p>
            <w:r>
              <w:t>Confirmation email states the expedited due date</w:t>
            </w:r>
          </w:p>
        </w:tc>
      </w:tr>
      <w:tr>
        <w:tc>
          <w:tcPr>
            <w:tcW w:type="dxa" w:w="4320"/>
          </w:tcPr>
          <w:p>
            <w:r>
              <w:t>C-6</w:t>
            </w:r>
          </w:p>
        </w:tc>
        <w:tc>
          <w:tcPr>
            <w:tcW w:type="dxa" w:w="4320"/>
          </w:tcPr>
          <w:p>
            <w:r>
              <w:t>"Expedited" filter and column on the daily SLA report</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rPr>
                <w:b/>
              </w:rPr>
              <w:t>Acceptance criterion (from CX)</w:t>
            </w:r>
          </w:p>
        </w:tc>
      </w:tr>
      <w:tr>
        <w:tc>
          <w:tcPr>
            <w:tcW w:type="dxa" w:w="4320"/>
          </w:tcPr>
          <w:p>
            <w:r>
              <w:t>AC-1</w:t>
            </w:r>
          </w:p>
        </w:tc>
        <w:tc>
          <w:tcPr>
            <w:tcW w:type="dxa" w:w="4320"/>
          </w:tcPr>
          <w:p>
            <w:r>
              <w:t>Checkbox appears on the intake form and is saved with the request</w:t>
            </w:r>
          </w:p>
        </w:tc>
      </w:tr>
      <w:tr>
        <w:tc>
          <w:tcPr>
            <w:tcW w:type="dxa" w:w="4320"/>
          </w:tcPr>
          <w:p>
            <w:r>
              <w:t>AC-2</w:t>
            </w:r>
          </w:p>
        </w:tc>
        <w:tc>
          <w:tcPr>
            <w:tcW w:type="dxa" w:w="4320"/>
          </w:tcPr>
          <w:p>
            <w:r>
              <w:t>Expedited requests show the badge and sort first in the queue</w:t>
            </w:r>
          </w:p>
        </w:tc>
      </w:tr>
      <w:tr>
        <w:tc>
          <w:tcPr>
            <w:tcW w:type="dxa" w:w="4320"/>
          </w:tcPr>
          <w:p>
            <w:r>
              <w:t>AC-3</w:t>
            </w:r>
          </w:p>
        </w:tc>
        <w:tc>
          <w:tcPr>
            <w:tcW w:type="dxa" w:w="4320"/>
          </w:tcPr>
          <w:p>
            <w:r>
              <w:t>Invoice shows the $35 line</w:t>
            </w:r>
          </w:p>
        </w:tc>
      </w:tr>
      <w:tr>
        <w:tc>
          <w:tcPr>
            <w:tcW w:type="dxa" w:w="4320"/>
          </w:tcPr>
          <w:p>
            <w:r>
              <w:t>AC-4</w:t>
            </w:r>
          </w:p>
        </w:tc>
        <w:tc>
          <w:tcPr>
            <w:tcW w:type="dxa" w:w="4320"/>
          </w:tcPr>
          <w:p>
            <w:r>
              <w:t>Confirmation email shows the correct due date</w:t>
            </w:r>
          </w:p>
        </w:tc>
      </w:tr>
    </w:tbl>
    <w:p/>
    <w:p>
      <w:r>
        <w:rPr>
          <w:b w:val="0"/>
          <w:i w:val="0"/>
        </w:rPr>
        <w:t>Gap in the ticket: no acceptance criterion covers C-2 (the due date on the request itself) or C-6 (the SLA report). Cases cover both anyway; CX should add ACs.</w:t>
      </w:r>
    </w:p>
    <w:p>
      <w:pPr>
        <w:pStyle w:val="Heading1"/>
      </w:pPr>
      <w:r>
        <w:rPr>
          <w:color w:val="1C2A39"/>
        </w:rPr>
        <w:t>2. Scope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Module (in scope)</w:t>
            </w:r>
          </w:p>
        </w:tc>
        <w:tc>
          <w:tcPr>
            <w:tcW w:type="dxa" w:w="2880"/>
          </w:tcPr>
          <w:p>
            <w:r>
              <w:rPr>
                <w:b/>
              </w:rPr>
              <w:t>Why</w:t>
            </w:r>
          </w:p>
        </w:tc>
        <w:tc>
          <w:tcPr>
            <w:tcW w:type="dxa" w:w="2880"/>
          </w:tcPr>
          <w:p>
            <w:r>
              <w:rPr>
                <w:b/>
              </w:rPr>
              <w:t>Cases</w:t>
            </w:r>
          </w:p>
        </w:tc>
      </w:tr>
      <w:tr>
        <w:tc>
          <w:tcPr>
            <w:tcW w:type="dxa" w:w="2880"/>
          </w:tcPr>
          <w:p>
            <w:r>
              <w:t>Requestor Portal - Intake</w:t>
            </w:r>
          </w:p>
        </w:tc>
        <w:tc>
          <w:tcPr>
            <w:tcW w:type="dxa" w:w="2880"/>
          </w:tcPr>
          <w:p>
            <w:r>
              <w:t>New checkbox (C-1); eligibility and edits after submission</w:t>
            </w:r>
          </w:p>
        </w:tc>
        <w:tc>
          <w:tcPr>
            <w:tcW w:type="dxa" w:w="2880"/>
          </w:tcPr>
          <w:p>
            <w:r>
              <w:t>9</w:t>
            </w:r>
          </w:p>
        </w:tc>
      </w:tr>
      <w:tr>
        <w:tc>
          <w:tcPr>
            <w:tcW w:type="dxa" w:w="2880"/>
          </w:tcPr>
          <w:p>
            <w:r>
              <w:t>Intake Processing</w:t>
            </w:r>
          </w:p>
        </w:tc>
        <w:tc>
          <w:tcPr>
            <w:tcW w:type="dxa" w:w="2880"/>
          </w:tcPr>
          <w:p>
            <w:r>
              <w:t>Associate-entered requests, deficiencies, subpoena return dates</w:t>
            </w:r>
          </w:p>
        </w:tc>
        <w:tc>
          <w:tcPr>
            <w:tcW w:type="dxa" w:w="2880"/>
          </w:tcPr>
          <w:p>
            <w:r>
              <w:t>4</w:t>
            </w:r>
          </w:p>
        </w:tc>
      </w:tr>
      <w:tr>
        <w:tc>
          <w:tcPr>
            <w:tcW w:type="dxa" w:w="2880"/>
          </w:tcPr>
          <w:p>
            <w:r>
              <w:t>Queue &amp; Assignment</w:t>
            </w:r>
          </w:p>
        </w:tc>
        <w:tc>
          <w:tcPr>
            <w:tcW w:type="dxa" w:w="2880"/>
          </w:tcPr>
          <w:p>
            <w:r>
              <w:t>Due-date calculation (C-2), sort and badge (C-3), holds</w:t>
            </w:r>
          </w:p>
        </w:tc>
        <w:tc>
          <w:tcPr>
            <w:tcW w:type="dxa" w:w="2880"/>
          </w:tcPr>
          <w:p>
            <w:r>
              <w:t>22</w:t>
            </w:r>
          </w:p>
        </w:tc>
      </w:tr>
      <w:tr>
        <w:tc>
          <w:tcPr>
            <w:tcW w:type="dxa" w:w="2880"/>
          </w:tcPr>
          <w:p>
            <w:r>
              <w:t>Page Selection</w:t>
            </w:r>
          </w:p>
        </w:tc>
        <w:tc>
          <w:tcPr>
            <w:tcW w:type="dxa" w:w="2880"/>
          </w:tcPr>
          <w:p>
            <w:r>
              <w:t>Regression only: contract withholding rules on a compressed clock</w:t>
            </w:r>
          </w:p>
        </w:tc>
        <w:tc>
          <w:tcPr>
            <w:tcW w:type="dxa" w:w="2880"/>
          </w:tcPr>
          <w:p>
            <w:r>
              <w:t>4</w:t>
            </w:r>
          </w:p>
        </w:tc>
      </w:tr>
      <w:tr>
        <w:tc>
          <w:tcPr>
            <w:tcW w:type="dxa" w:w="2880"/>
          </w:tcPr>
          <w:p>
            <w:r>
              <w:t>Redaction</w:t>
            </w:r>
          </w:p>
        </w:tc>
        <w:tc>
          <w:tcPr>
            <w:tcW w:type="dxa" w:w="2880"/>
          </w:tcPr>
          <w:p>
            <w:r>
              <w:t>Regression only: standard and Harborline redactions</w:t>
            </w:r>
          </w:p>
        </w:tc>
        <w:tc>
          <w:tcPr>
            <w:tcW w:type="dxa" w:w="2880"/>
          </w:tcPr>
          <w:p>
            <w:r>
              <w:t>1</w:t>
            </w:r>
          </w:p>
        </w:tc>
      </w:tr>
      <w:tr>
        <w:tc>
          <w:tcPr>
            <w:tcW w:type="dxa" w:w="2880"/>
          </w:tcPr>
          <w:p>
            <w:r>
              <w:t>Billing</w:t>
            </w:r>
          </w:p>
        </w:tc>
        <w:tc>
          <w:tcPr>
            <w:tcW w:type="dxa" w:w="2880"/>
          </w:tcPr>
          <w:p>
            <w:r>
              <w:t>Fee line (C-4), tax, cancellations, refunds</w:t>
            </w:r>
          </w:p>
        </w:tc>
        <w:tc>
          <w:tcPr>
            <w:tcW w:type="dxa" w:w="2880"/>
          </w:tcPr>
          <w:p>
            <w:r>
              <w:t>6</w:t>
            </w:r>
          </w:p>
        </w:tc>
      </w:tr>
      <w:tr>
        <w:tc>
          <w:tcPr>
            <w:tcW w:type="dxa" w:w="2880"/>
          </w:tcPr>
          <w:p>
            <w:r>
              <w:t>Notifications</w:t>
            </w:r>
          </w:p>
        </w:tc>
        <w:tc>
          <w:tcPr>
            <w:tcW w:type="dxa" w:w="2880"/>
          </w:tcPr>
          <w:p>
            <w:r>
              <w:t>Confirmation email date (C-5)</w:t>
            </w:r>
          </w:p>
        </w:tc>
        <w:tc>
          <w:tcPr>
            <w:tcW w:type="dxa" w:w="2880"/>
          </w:tcPr>
          <w:p>
            <w:r>
              <w:t>5</w:t>
            </w:r>
          </w:p>
        </w:tc>
      </w:tr>
      <w:tr>
        <w:tc>
          <w:tcPr>
            <w:tcW w:type="dxa" w:w="2880"/>
          </w:tcPr>
          <w:p>
            <w:r>
              <w:t>Portal Delivery</w:t>
            </w:r>
          </w:p>
        </w:tc>
        <w:tc>
          <w:tcPr>
            <w:tcW w:type="dxa" w:w="2880"/>
          </w:tcPr>
          <w:p>
            <w:r>
              <w:t>Release after payment; which event meets the due date</w:t>
            </w:r>
          </w:p>
        </w:tc>
        <w:tc>
          <w:tcPr>
            <w:tcW w:type="dxa" w:w="2880"/>
          </w:tcPr>
          <w:p>
            <w:r>
              <w:t>2</w:t>
            </w:r>
          </w:p>
        </w:tc>
      </w:tr>
      <w:tr>
        <w:tc>
          <w:tcPr>
            <w:tcW w:type="dxa" w:w="2880"/>
          </w:tcPr>
          <w:p>
            <w:r>
              <w:t>Reporting</w:t>
            </w:r>
          </w:p>
        </w:tc>
        <w:tc>
          <w:tcPr>
            <w:tcW w:type="dxa" w:w="2880"/>
          </w:tcPr>
          <w:p>
            <w:r>
              <w:t>SLA report column and filter (C-6); carrier-facing reports</w:t>
            </w:r>
          </w:p>
        </w:tc>
        <w:tc>
          <w:tcPr>
            <w:tcW w:type="dxa" w:w="2880"/>
          </w:tcPr>
          <w:p>
            <w:r>
              <w:t>5</w:t>
            </w:r>
          </w:p>
        </w:tc>
      </w:tr>
      <w:tr>
        <w:tc>
          <w:tcPr>
            <w:tcW w:type="dxa" w:w="2880"/>
          </w:tcPr>
          <w:p>
            <w:r>
              <w:t>Admin &amp; Configuration</w:t>
            </w:r>
          </w:p>
        </w:tc>
        <w:tc>
          <w:tcPr>
            <w:tcW w:type="dxa" w:w="2880"/>
          </w:tcPr>
          <w:p>
            <w:r>
              <w:t>Per-client on/off, permissions, audit log, new-client default</w:t>
            </w:r>
          </w:p>
        </w:tc>
        <w:tc>
          <w:tcPr>
            <w:tcW w:type="dxa" w:w="2880"/>
          </w:tcPr>
          <w:p>
            <w:r>
              <w:t>2</w:t>
            </w:r>
          </w:p>
        </w:tc>
      </w:tr>
      <w:tr>
        <w:tc>
          <w:tcPr>
            <w:tcW w:type="dxa" w:w="2880"/>
          </w:tcPr>
          <w:p>
            <w:r>
              <w:t>Total</w:t>
            </w:r>
          </w:p>
        </w:tc>
        <w:tc>
          <w:tcPr>
            <w:tcW w:type="dxa" w:w="2880"/>
          </w:tcPr>
          <w:p>
            <w:r/>
          </w:p>
        </w:tc>
        <w:tc>
          <w:tcPr>
            <w:tcW w:type="dxa" w:w="2880"/>
          </w:tcPr>
          <w:p>
            <w:r>
              <w:t>60</w:t>
            </w:r>
          </w:p>
        </w:tc>
      </w:tr>
    </w:tbl>
    <w:p/>
    <w:p>
      <w:r>
        <w:rPr>
          <w:b w:val="0"/>
          <w:i w:val="0"/>
        </w:rPr>
        <w:t>Out of scope: changes to carrier business rules (Harborline Exhibit B was not provided), the payment processor itself, contracts for clients other than Harborline and Tri-County, and performance or load testing.</w:t>
      </w:r>
    </w:p>
    <w:p>
      <w:pPr>
        <w:pStyle w:val="Heading1"/>
      </w:pPr>
      <w:r>
        <w:rPr>
          <w:color w:val="1C2A39"/>
        </w:rPr>
        <w:t>3. Environment and test data</w:t>
      </w:r>
    </w:p>
    <w:p>
      <w:pPr>
        <w:pStyle w:val="ListBullet"/>
      </w:pPr>
      <w:r>
        <w:t>Test environment URL: [FILL IN]</w:t>
      </w:r>
    </w:p>
    <w:p>
      <w:pPr>
        <w:pStyle w:val="ListBullet"/>
      </w:pPr>
      <w:r>
        <w:t>How to get test accounts: [FILL IN]</w:t>
      </w:r>
    </w:p>
    <w:p>
      <w:pPr>
        <w:pStyle w:val="ListBullet"/>
      </w:pPr>
      <w:r>
        <w:t>Test data: all fake, listed on the workbook's Test data sheet: 5 requestors (RQ-01 to RQ-05, incl. a non-charged state board and a Pacific-time firm), 4 claims (CL-01 to CL-04) with planted SIU, reserve, mental health, 42 CFR Part 2 and HIV pages, 9 files, 4 internal users, and 21 test requests (R-A to R-U) with exact received times.</w:t>
      </w:r>
    </w:p>
    <w:p>
      <w:pPr>
        <w:pStyle w:val="ListBullet"/>
      </w:pPr>
      <w:r>
        <w:t>Due dates: every expected date comes from business_days.py (receipt day = day 0; after 5:00 pm ET, weekends and holidays roll to the next business day). See the Due-date matrix sheet.</w:t>
      </w:r>
    </w:p>
    <w:p>
      <w:pPr>
        <w:pStyle w:val="Heading1"/>
      </w:pPr>
      <w:r>
        <w:rPr>
          <w:color w:val="1C2A39"/>
        </w:rPr>
        <w:t>4. Entry criteria</w:t>
      </w:r>
    </w:p>
    <w:p>
      <w:pPr>
        <w:pStyle w:val="ListBullet"/>
      </w:pPr>
      <w:r>
        <w:t>EC-1  Release 2026.11 candidate deployed to the test environment; Heidy confirms the build number.</w:t>
      </w:r>
    </w:p>
    <w:p>
      <w:pPr>
        <w:pStyle w:val="ListBullet"/>
      </w:pPr>
      <w:r>
        <w:t>EC-2  Test accounts U-01 to U-04 and RQ-01 to RQ-05 exist with the roles on the Test data sheet.</w:t>
      </w:r>
    </w:p>
    <w:p>
      <w:pPr>
        <w:pStyle w:val="ListBullet"/>
      </w:pPr>
      <w:r>
        <w:t>EC-3  Claims CL-01 to CL-04 and files F-01 to F-09 are loaded.</w:t>
      </w:r>
    </w:p>
    <w:p>
      <w:pPr>
        <w:pStyle w:val="ListBullet"/>
      </w:pPr>
      <w:r>
        <w:t>EC-4  Expedite is switched on for the Harborline and Tri-County test clients.</w:t>
      </w:r>
    </w:p>
    <w:p>
      <w:pPr>
        <w:pStyle w:val="ListBullet"/>
      </w:pPr>
      <w:r>
        <w:t>EC-5  A test-environment clock override (or received-time override) is available. Needed for the Thanksgiving, Christmas Eve and late-delivery cases, and for weekend cases if nobody submits on Saturday.</w:t>
      </w:r>
    </w:p>
    <w:p>
      <w:pPr>
        <w:pStyle w:val="ListBullet"/>
      </w:pPr>
      <w:r>
        <w:t>EC-6  Heidy confirms expedited requests don't route to any automated page-selection step (Harborline MSA Sec. 4.4 requires carrier approval for automated release decisions).</w:t>
      </w:r>
    </w:p>
    <w:p>
      <w:pPr>
        <w:pStyle w:val="ListBullet"/>
      </w:pPr>
      <w:r>
        <w:t>EC-7  Holiday calendar and cutoff confirmed (OQ-12), or both branches run.</w:t>
      </w:r>
    </w:p>
    <w:p>
      <w:pPr>
        <w:pStyle w:val="Heading1"/>
      </w:pPr>
      <w:r>
        <w:rPr>
          <w:color w:val="1C2A39"/>
        </w:rPr>
        <w:t>5. Exit criteria</w:t>
      </w:r>
    </w:p>
    <w:p>
      <w:pPr>
        <w:pStyle w:val="ListBullet"/>
      </w:pPr>
      <w:r>
        <w:t>All S1 and S2 cases Pass.</w:t>
      </w:r>
    </w:p>
    <w:p>
      <w:pPr>
        <w:pStyle w:val="ListBullet"/>
      </w:pPr>
      <w:r>
        <w:t>No open S1 defects. No open S2 defects unless the owner signs off on a workaround (severity rubric).</w:t>
      </w:r>
    </w:p>
    <w:p>
      <w:pPr>
        <w:pStyle w:val="ListBullet"/>
      </w:pPr>
      <w:r>
        <w:t>All 13 open questions answered, and every case blocked by one rerun against the chosen answer.</w:t>
      </w:r>
    </w:p>
    <w:p>
      <w:pPr>
        <w:pStyle w:val="ListBullet"/>
      </w:pPr>
      <w:r>
        <w:t>Summary sheet shows "Exit criteria met?" = YES.</w:t>
      </w:r>
    </w:p>
    <w:p>
      <w:pPr>
        <w:pStyle w:val="ListBullet"/>
      </w:pPr>
      <w:r>
        <w:t>Mary Siems signs off.</w:t>
      </w:r>
    </w:p>
    <w:p>
      <w:pPr>
        <w:pStyle w:val="Heading1"/>
      </w:pPr>
      <w:r>
        <w:rPr>
          <w:color w:val="1C2A39"/>
        </w:rPr>
        <w:t>6. Biggest risks</w:t>
      </w:r>
    </w:p>
    <w:p>
      <w:pPr>
        <w:pStyle w:val="ListBullet"/>
      </w:pPr>
      <w:r>
        <w:t>Due-date calculation (22 queue cases, 17 of them S1): one holiday or cutoff error is a 50% error on a 2-day clock and hits every expedited request.</w:t>
      </w:r>
    </w:p>
    <w:p>
      <w:pPr>
        <w:pStyle w:val="ListBullet"/>
      </w:pPr>
      <w:r>
        <w:t>Contract breach built into the ticket: "instead of the client's contracted clock" can give a Harborline subpoena a later due date than its return date (Amendment 2 Sec. 2.2). OQ-1.</w:t>
      </w:r>
    </w:p>
    <w:p>
      <w:pPr>
        <w:pStyle w:val="ListBullet"/>
      </w:pPr>
      <w:r>
        <w:t>Queue jumping can push standard Harborline requests past 5 days and toward the 2% service credit (Amendment 2 Sec. 2.4). OQ-4, OQ-9.</w:t>
      </w:r>
    </w:p>
    <w:p>
      <w:pPr>
        <w:pStyle w:val="ListBullet"/>
      </w:pPr>
      <w:r>
        <w:t>Rushed review: page selection and redaction rules must hold on the shorter clock (all S1).</w:t>
      </w:r>
    </w:p>
    <w:p>
      <w:pPr>
        <w:pStyle w:val="Heading1"/>
      </w:pPr>
      <w:r>
        <w:rPr>
          <w:color w:val="1C2A39"/>
        </w:rPr>
        <w:t>7. Roles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Who</w:t>
            </w:r>
          </w:p>
        </w:tc>
        <w:tc>
          <w:tcPr>
            <w:tcW w:type="dxa" w:w="2880"/>
          </w:tcPr>
          <w:p>
            <w:r>
              <w:rPr>
                <w:b/>
              </w:rPr>
              <w:t>Does</w:t>
            </w:r>
          </w:p>
        </w:tc>
      </w:tr>
      <w:tr>
        <w:tc>
          <w:tcPr>
            <w:tcW w:type="dxa" w:w="2880"/>
          </w:tcPr>
          <w:p>
            <w:r>
              <w:t>UAT lead, sign-off</w:t>
            </w:r>
          </w:p>
        </w:tc>
        <w:tc>
          <w:tcPr>
            <w:tcW w:type="dxa" w:w="2880"/>
          </w:tcPr>
          <w:p>
            <w:r>
              <w:t>Mary Siems</w:t>
            </w:r>
          </w:p>
        </w:tc>
        <w:tc>
          <w:tcPr>
            <w:tcW w:type="dxa" w:w="2880"/>
          </w:tcPr>
          <w:p>
            <w:r>
              <w:t>Runs UAT, triages defects, signs off</w:t>
            </w:r>
          </w:p>
        </w:tc>
      </w:tr>
      <w:tr>
        <w:tc>
          <w:tcPr>
            <w:tcW w:type="dxa" w:w="2880"/>
          </w:tcPr>
          <w:p>
            <w:r>
              <w:t>Development and test env</w:t>
            </w:r>
          </w:p>
        </w:tc>
        <w:tc>
          <w:tcPr>
            <w:tcW w:type="dxa" w:w="2880"/>
          </w:tcPr>
          <w:p>
            <w:r>
              <w:t>Heidy</w:t>
            </w:r>
          </w:p>
        </w:tc>
        <w:tc>
          <w:tcPr>
            <w:tcW w:type="dxa" w:w="2880"/>
          </w:tcPr>
          <w:p>
            <w:r>
              <w:t>Build, test env, clock override, defect fixes, OQ-2/8/12/13</w:t>
            </w:r>
          </w:p>
        </w:tc>
      </w:tr>
      <w:tr>
        <w:tc>
          <w:tcPr>
            <w:tcW w:type="dxa" w:w="2880"/>
          </w:tcPr>
          <w:p>
            <w:r>
              <w:t>Ticket owner</w:t>
            </w:r>
          </w:p>
        </w:tc>
        <w:tc>
          <w:tcPr>
            <w:tcW w:type="dxa" w:w="2880"/>
          </w:tcPr>
          <w:p>
            <w:r>
              <w:t>Customer Experience</w:t>
            </w:r>
          </w:p>
        </w:tc>
        <w:tc>
          <w:tcPr>
            <w:tcW w:type="dxa" w:w="2880"/>
          </w:tcPr>
          <w:p>
            <w:r>
              <w:t>Answers OQ-1 to OQ-9, OQ-13</w:t>
            </w:r>
          </w:p>
        </w:tc>
      </w:tr>
      <w:tr>
        <w:tc>
          <w:tcPr>
            <w:tcW w:type="dxa" w:w="2880"/>
          </w:tcPr>
          <w:p>
            <w:r>
              <w:t>Finance / Legal</w:t>
            </w:r>
          </w:p>
        </w:tc>
        <w:tc>
          <w:tcPr>
            <w:tcW w:type="dxa" w:w="2880"/>
          </w:tcPr>
          <w:p>
            <w:r>
              <w:t>[FILL IN]</w:t>
            </w:r>
          </w:p>
        </w:tc>
        <w:tc>
          <w:tcPr>
            <w:tcW w:type="dxa" w:w="2880"/>
          </w:tcPr>
          <w:p>
            <w:r>
              <w:t>OQ-3, OQ-5, OQ-10</w:t>
            </w:r>
          </w:p>
        </w:tc>
      </w:tr>
      <w:tr>
        <w:tc>
          <w:tcPr>
            <w:tcW w:type="dxa" w:w="2880"/>
          </w:tcPr>
          <w:p>
            <w:r>
              <w:t>Account owners</w:t>
            </w:r>
          </w:p>
        </w:tc>
        <w:tc>
          <w:tcPr>
            <w:tcW w:type="dxa" w:w="2880"/>
          </w:tcPr>
          <w:p>
            <w:r>
              <w:t>[FILL IN] (Harborline, Tri-County)</w:t>
            </w:r>
          </w:p>
        </w:tc>
        <w:tc>
          <w:tcPr>
            <w:tcW w:type="dxa" w:w="2880"/>
          </w:tcPr>
          <w:p>
            <w:r>
              <w:t>OQ-4, OQ-11</w:t>
            </w:r>
          </w:p>
        </w:tc>
      </w:tr>
      <w:tr>
        <w:tc>
          <w:tcPr>
            <w:tcW w:type="dxa" w:w="2880"/>
          </w:tcPr>
          <w:p>
            <w:r>
              <w:t>Testers</w:t>
            </w:r>
          </w:p>
        </w:tc>
        <w:tc>
          <w:tcPr>
            <w:tcW w:type="dxa" w:w="2880"/>
          </w:tcPr>
          <w:p>
            <w:r>
              <w:t>[FILL IN]</w:t>
            </w:r>
          </w:p>
        </w:tc>
        <w:tc>
          <w:tcPr>
            <w:tcW w:type="dxa" w:w="2880"/>
          </w:tcPr>
          <w:p>
            <w:r>
              <w:t>Run cases, record Result, log defects</w:t>
            </w:r>
          </w:p>
        </w:tc>
      </w:tr>
    </w:tbl>
    <w:p/>
    <w:p>
      <w:pPr>
        <w:pStyle w:val="Heading1"/>
      </w:pPr>
      <w:r>
        <w:rPr>
          <w:color w:val="1C2A39"/>
        </w:rPr>
        <w:t>8. Schedule (placeholder)</w:t>
      </w:r>
    </w:p>
    <w:tbl>
      <w:tblPr>
        <w:tblStyle w:val="LightGrid-Accent1"/>
        <w:tblW w:type="auto" w:w="0"/>
        <w:tblLook w:firstColumn="1" w:firstRow="1" w:lastColumn="0" w:lastRow="0" w:noHBand="0" w:noVBand="1" w:val="04A0"/>
      </w:tblPr>
      <w:tblGrid>
        <w:gridCol w:w="4320"/>
        <w:gridCol w:w="4320"/>
      </w:tblGrid>
      <w:tr>
        <w:tc>
          <w:tcPr>
            <w:tcW w:type="dxa" w:w="4320"/>
          </w:tcPr>
          <w:p>
            <w:r>
              <w:rPr>
                <w:b/>
              </w:rPr>
              <w:t>Milestone</w:t>
            </w:r>
          </w:p>
        </w:tc>
        <w:tc>
          <w:tcPr>
            <w:tcW w:type="dxa" w:w="4320"/>
          </w:tcPr>
          <w:p>
            <w:r>
              <w:rPr>
                <w:b/>
              </w:rPr>
              <w:t>Date</w:t>
            </w:r>
          </w:p>
        </w:tc>
      </w:tr>
      <w:tr>
        <w:tc>
          <w:tcPr>
            <w:tcW w:type="dxa" w:w="4320"/>
          </w:tcPr>
          <w:p>
            <w:r>
              <w:t>Open questions sent to owners</w:t>
            </w:r>
          </w:p>
        </w:tc>
        <w:tc>
          <w:tcPr>
            <w:tcW w:type="dxa" w:w="4320"/>
          </w:tcPr>
          <w:p>
            <w:r>
              <w:t>[FILL IN]</w:t>
            </w:r>
          </w:p>
        </w:tc>
      </w:tr>
      <w:tr>
        <w:tc>
          <w:tcPr>
            <w:tcW w:type="dxa" w:w="4320"/>
          </w:tcPr>
          <w:p>
            <w:r>
              <w:t>Entry criteria met</w:t>
            </w:r>
          </w:p>
        </w:tc>
        <w:tc>
          <w:tcPr>
            <w:tcW w:type="dxa" w:w="4320"/>
          </w:tcPr>
          <w:p>
            <w:r>
              <w:t>[FILL IN]</w:t>
            </w:r>
          </w:p>
        </w:tc>
      </w:tr>
      <w:tr>
        <w:tc>
          <w:tcPr>
            <w:tcW w:type="dxa" w:w="4320"/>
          </w:tcPr>
          <w:p>
            <w:r>
              <w:t>UAT run: unblocked cases (UAT week)</w:t>
            </w:r>
          </w:p>
        </w:tc>
        <w:tc>
          <w:tcPr>
            <w:tcW w:type="dxa" w:w="4320"/>
          </w:tcPr>
          <w:p>
            <w:r>
              <w:t>Mon 2026-10-05 to Fri 2026-10-09 [confirm]</w:t>
            </w:r>
          </w:p>
        </w:tc>
      </w:tr>
      <w:tr>
        <w:tc>
          <w:tcPr>
            <w:tcW w:type="dxa" w:w="4320"/>
          </w:tcPr>
          <w:p>
            <w:r>
              <w:t>Rerun of blocked cases after answers</w:t>
            </w:r>
          </w:p>
        </w:tc>
        <w:tc>
          <w:tcPr>
            <w:tcW w:type="dxa" w:w="4320"/>
          </w:tcPr>
          <w:p>
            <w:r>
              <w:t>[FILL IN]</w:t>
            </w:r>
          </w:p>
        </w:tc>
      </w:tr>
      <w:tr>
        <w:tc>
          <w:tcPr>
            <w:tcW w:type="dxa" w:w="4320"/>
          </w:tcPr>
          <w:p>
            <w:r>
              <w:t>Defect fixes retested</w:t>
            </w:r>
          </w:p>
        </w:tc>
        <w:tc>
          <w:tcPr>
            <w:tcW w:type="dxa" w:w="4320"/>
          </w:tcPr>
          <w:p>
            <w:r>
              <w:t>[FILL IN]</w:t>
            </w:r>
          </w:p>
        </w:tc>
      </w:tr>
      <w:tr>
        <w:tc>
          <w:tcPr>
            <w:tcW w:type="dxa" w:w="4320"/>
          </w:tcPr>
          <w:p>
            <w:r>
              <w:t>Sign-off</w:t>
            </w:r>
          </w:p>
        </w:tc>
        <w:tc>
          <w:tcPr>
            <w:tcW w:type="dxa" w:w="4320"/>
          </w:tcPr>
          <w:p>
            <w:r>
              <w:t>[FILL IN], before the 2026.11 release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