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996e505a9f6989ae0419bcd31e55795fd71d0d"/>
    <w:p>
      <w:pPr>
        <w:pStyle w:val="Heading1"/>
      </w:pPr>
      <w:r>
        <w:t xml:space="preserve">AMENDMENT NO. 2 TO MASTER SERVICES AGREEMENT HMI-VND-2023-0147</w:t>
      </w:r>
    </w:p>
    <w:p>
      <w:pPr>
        <w:pStyle w:val="FirstParagraph"/>
      </w:pPr>
      <w:r>
        <w:rPr>
          <w:b/>
          <w:bCs/>
        </w:rPr>
        <w:t xml:space="preserve">Between</w:t>
      </w:r>
      <w:r>
        <w:t xml:space="preserve"> </w:t>
      </w:r>
      <w:r>
        <w:t xml:space="preserve">Harborline Mutual Insurance Company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ClaimFox, Inc. ·</w:t>
      </w:r>
      <w:r>
        <w:t xml:space="preserve"> </w:t>
      </w:r>
      <w:r>
        <w:rPr>
          <w:b/>
          <w:bCs/>
        </w:rPr>
        <w:t xml:space="preserve">Amendment Effective Date:</w:t>
      </w:r>
      <w:r>
        <w:t xml:space="preserve"> </w:t>
      </w:r>
      <w:r>
        <w:t xml:space="preserve">February 1, 2026</w:t>
      </w:r>
    </w:p>
    <w:p>
      <w:pPr>
        <w:pStyle w:val="BodyText"/>
      </w:pPr>
      <w:r>
        <w:rPr>
          <w:i/>
          <w:iCs/>
        </w:rPr>
        <w:t xml:space="preserve">SAMPLE DOCUMENT FOR TRAINING. Fictional parties and terms.</w:t>
      </w:r>
    </w:p>
    <w:p>
      <w:pPr>
        <w:pStyle w:val="BodyText"/>
      </w:pPr>
      <w:r>
        <w:t xml:space="preserve">The parties agree to amend the Agreement as follows. All other terms remain in full force and effect.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Section 2.1 is deleted and replaced with:</w:t>
      </w:r>
      <w:r>
        <w:t xml:space="preserve"> </w:t>
      </w:r>
      <w:r>
        <w:t xml:space="preserve">“Vendor shall fulfill each complete Record Request within five (5) business days of receipt.”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Section 2.2 is deleted and replaced with:</w:t>
      </w:r>
      <w:r>
        <w:t xml:space="preserve"> </w:t>
      </w:r>
      <w:r>
        <w:t xml:space="preserve">“Record Requests made by subpoena shall be fulfilled within three (3) business days of receipt or by the return date, whichever is earlier.”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New Section 2.4 is added:</w:t>
      </w:r>
      <w:r>
        <w:t xml:space="preserve"> </w:t>
      </w:r>
      <w:r>
        <w:t xml:space="preserve">“If Vendor misses the turnaround in Section 2.1 on more than five percent (5%) of Record Requests in any calendar month, Vendor shall credit Carrier two percent (2%) of that month’s service fees.”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New Section 3.4 is added:</w:t>
      </w:r>
      <w:r>
        <w:t xml:space="preserve"> </w:t>
      </w:r>
      <w:r>
        <w:t xml:space="preserve">“Vendor shall withhold any page that references a claimant’s mental health treatment unless the authorization presented specifically names mental health records.”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2026-09-28T20:30:11Z</dcterms:created>
  <dcterms:modified xsi:type="dcterms:W3CDTF">2026-09-28T20:30:11Z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