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aster-services-agreement"/>
    <w:p>
      <w:pPr>
        <w:pStyle w:val="Heading1"/>
      </w:pPr>
      <w:r>
        <w:t xml:space="preserve">MASTER SERVICES AGREEMENT</w:t>
      </w:r>
    </w:p>
    <w:p>
      <w:pPr>
        <w:pStyle w:val="FirstParagraph"/>
      </w:pPr>
      <w:r>
        <w:rPr>
          <w:b/>
          <w:bCs/>
        </w:rPr>
        <w:t xml:space="preserve">Between</w:t>
      </w:r>
      <w:r>
        <w:t xml:space="preserve"> </w:t>
      </w:r>
      <w:r>
        <w:t xml:space="preserve">Harborline Mutual Insurance Company (</w:t>
      </w:r>
      <w:r>
        <w:t xml:space="preserve">“Carrier”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ClaimFox, Inc. (</w:t>
      </w:r>
      <w:r>
        <w:t xml:space="preserve">“Vendor”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March 1, 2023 ·</w:t>
      </w:r>
      <w:r>
        <w:t xml:space="preserve"> </w:t>
      </w:r>
      <w:r>
        <w:rPr>
          <w:b/>
          <w:bCs/>
        </w:rPr>
        <w:t xml:space="preserve">Agreement No.</w:t>
      </w:r>
      <w:r>
        <w:t xml:space="preserve"> </w:t>
      </w:r>
      <w:r>
        <w:t xml:space="preserve">HMI-VND-2023-0147</w:t>
      </w:r>
    </w:p>
    <w:p>
      <w:pPr>
        <w:pStyle w:val="BodyText"/>
      </w:pPr>
      <w:r>
        <w:rPr>
          <w:i/>
          <w:iCs/>
        </w:rPr>
        <w:t xml:space="preserve">SAMPLE DOCUMENT FOR TRAINING. Fictional parties and terms.</w:t>
      </w:r>
    </w:p>
    <w:bookmarkStart w:id="9" w:name="services"/>
    <w:p>
      <w:pPr>
        <w:pStyle w:val="Heading2"/>
      </w:pPr>
      <w:r>
        <w:t xml:space="preserve">1. Services</w:t>
      </w:r>
    </w:p>
    <w:p>
      <w:pPr>
        <w:pStyle w:val="FirstParagraph"/>
      </w:pPr>
      <w:r>
        <w:t xml:space="preserve">1.1 Vendor shall receive, review and fulfill requests for copies of Carrier claim files (</w:t>
      </w:r>
      <w:r>
        <w:t xml:space="preserve">“Record Requests”</w:t>
      </w:r>
      <w:r>
        <w:t xml:space="preserve">) received from third parties, including attorneys, record retrieval companies, adverse carriers and state agencies.</w:t>
      </w:r>
    </w:p>
    <w:p>
      <w:pPr>
        <w:pStyle w:val="BodyText"/>
      </w:pPr>
      <w:r>
        <w:t xml:space="preserve">1.2 Vendor shall perform page selection and redaction in accordance with the Carrier Business Rules attached as Exhibit B, as amended from time to time.</w:t>
      </w:r>
    </w:p>
    <w:bookmarkEnd w:id="9"/>
    <w:bookmarkStart w:id="10" w:name="service-levels"/>
    <w:p>
      <w:pPr>
        <w:pStyle w:val="Heading2"/>
      </w:pPr>
      <w:r>
        <w:t xml:space="preserve">2. Service Levels</w:t>
      </w:r>
    </w:p>
    <w:p>
      <w:pPr>
        <w:pStyle w:val="FirstParagraph"/>
      </w:pPr>
      <w:r>
        <w:t xml:space="preserve">2.1</w:t>
      </w:r>
      <w:r>
        <w:t xml:space="preserve"> </w:t>
      </w:r>
      <w:r>
        <w:rPr>
          <w:b/>
          <w:bCs/>
        </w:rPr>
        <w:t xml:space="preserve">Turnaround.</w:t>
      </w:r>
      <w:r>
        <w:t xml:space="preserve"> </w:t>
      </w:r>
      <w:r>
        <w:t xml:space="preserve">Vendor shall fulfill each complete Record Request within seven (7) business days of receipt.</w:t>
      </w:r>
    </w:p>
    <w:p>
      <w:pPr>
        <w:pStyle w:val="BodyText"/>
      </w:pPr>
      <w:r>
        <w:t xml:space="preserve">2.2</w:t>
      </w:r>
      <w:r>
        <w:t xml:space="preserve"> </w:t>
      </w:r>
      <w:r>
        <w:rPr>
          <w:b/>
          <w:bCs/>
        </w:rPr>
        <w:t xml:space="preserve">Subpoenas.</w:t>
      </w:r>
      <w:r>
        <w:t xml:space="preserve"> </w:t>
      </w:r>
      <w:r>
        <w:t xml:space="preserve">Record Requests made by subpoena shall be fulfilled within five (5) business days of receipt or by the return date, whichever is earlier.</w:t>
      </w:r>
    </w:p>
    <w:p>
      <w:pPr>
        <w:pStyle w:val="BodyText"/>
      </w:pPr>
      <w:r>
        <w:t xml:space="preserve">2.3</w:t>
      </w:r>
      <w:r>
        <w:t xml:space="preserve"> </w:t>
      </w:r>
      <w:r>
        <w:rPr>
          <w:b/>
          <w:bCs/>
        </w:rPr>
        <w:t xml:space="preserve">Reporting.</w:t>
      </w:r>
      <w:r>
        <w:t xml:space="preserve"> </w:t>
      </w:r>
      <w:r>
        <w:t xml:space="preserve">Vendor shall deliver a service level report to Carrier each Monday covering the prior week’s volume, turnaround and any missed service levels.</w:t>
      </w:r>
    </w:p>
    <w:bookmarkEnd w:id="10"/>
    <w:bookmarkStart w:id="11" w:name="release-restrictions"/>
    <w:p>
      <w:pPr>
        <w:pStyle w:val="Heading2"/>
      </w:pPr>
      <w:r>
        <w:t xml:space="preserve">3. Release Restrictions</w:t>
      </w:r>
    </w:p>
    <w:p>
      <w:pPr>
        <w:pStyle w:val="FirstParagraph"/>
      </w:pPr>
      <w:r>
        <w:t xml:space="preserve">3.1 Vendor shall not release any page containing Special Investigations Unit (SIU) notes, reserve information or internal claim valuations. Such pages shall be withheld in their entirety.</w:t>
      </w:r>
    </w:p>
    <w:p>
      <w:pPr>
        <w:pStyle w:val="BodyText"/>
      </w:pPr>
      <w:r>
        <w:t xml:space="preserve">3.2 Vendor shall obtain written approval from Carrier’s claim representative before releasing records to an adverse carrier.</w:t>
      </w:r>
    </w:p>
    <w:p>
      <w:pPr>
        <w:pStyle w:val="BodyText"/>
      </w:pPr>
      <w:r>
        <w:t xml:space="preserve">3.3 In addition to Vendor’s standard redactions, Vendor shall redact driver’s license numbers, vehicle license plate numbers and vehicle identification numbers (VINs) of any party other than the requestor’s client.</w:t>
      </w:r>
    </w:p>
    <w:bookmarkEnd w:id="11"/>
    <w:bookmarkStart w:id="12" w:name="data-security"/>
    <w:p>
      <w:pPr>
        <w:pStyle w:val="Heading2"/>
      </w:pPr>
      <w:r>
        <w:t xml:space="preserve">4. Data Security</w:t>
      </w:r>
    </w:p>
    <w:p>
      <w:pPr>
        <w:pStyle w:val="FirstParagraph"/>
      </w:pPr>
      <w:r>
        <w:t xml:space="preserve">4.1 Vendor shall maintain an information security program certified to ISO/IEC 27001 or a current SOC 2 Type II report, and shall provide evidence of the same annually upon request.</w:t>
      </w:r>
    </w:p>
    <w:p>
      <w:pPr>
        <w:pStyle w:val="BodyText"/>
      </w:pPr>
      <w:r>
        <w:t xml:space="preserve">4.2 Vendor shall notify Carrier of any actual or reasonably suspected security incident involving Carrier data within twenty-four (24) hours of discovery.</w:t>
      </w:r>
    </w:p>
    <w:p>
      <w:pPr>
        <w:pStyle w:val="BodyText"/>
      </w:pPr>
      <w:r>
        <w:t xml:space="preserve">4.3 Carrier data shall be stored and processed only within the continental United States. Offshore access to Carrier data is prohibited.</w:t>
      </w:r>
    </w:p>
    <w:p>
      <w:pPr>
        <w:pStyle w:val="BodyText"/>
      </w:pPr>
      <w:r>
        <w:t xml:space="preserve">4.4 Vendor shall not use automated decision-making tools, including machine learning or artificial intelligence systems, to determine what information is released without Carrier’s prior written approval.</w:t>
      </w:r>
    </w:p>
    <w:bookmarkEnd w:id="12"/>
    <w:bookmarkStart w:id="13" w:name="subcontracting"/>
    <w:p>
      <w:pPr>
        <w:pStyle w:val="Heading2"/>
      </w:pPr>
      <w:r>
        <w:t xml:space="preserve">5. Subcontracting</w:t>
      </w:r>
    </w:p>
    <w:p>
      <w:pPr>
        <w:pStyle w:val="FirstParagraph"/>
      </w:pPr>
      <w:r>
        <w:t xml:space="preserve">5.1 Vendor shall not subcontract any portion of the Services without Carrier’s prior written consent.</w:t>
      </w:r>
    </w:p>
    <w:bookmarkEnd w:id="13"/>
    <w:bookmarkStart w:id="14" w:name="retention-and-destruction"/>
    <w:p>
      <w:pPr>
        <w:pStyle w:val="Heading2"/>
      </w:pPr>
      <w:r>
        <w:t xml:space="preserve">6. Retention and Destruction</w:t>
      </w:r>
    </w:p>
    <w:p>
      <w:pPr>
        <w:pStyle w:val="FirstParagraph"/>
      </w:pPr>
      <w:r>
        <w:t xml:space="preserve">6.1 Vendor shall securely delete all working copies of Carrier records within fourteen (14) days after delivery of the fulfilled Record Request, and shall retain only the delivery log.</w:t>
      </w:r>
    </w:p>
    <w:bookmarkEnd w:id="14"/>
    <w:bookmarkStart w:id="15" w:name="audit"/>
    <w:p>
      <w:pPr>
        <w:pStyle w:val="Heading2"/>
      </w:pPr>
      <w:r>
        <w:t xml:space="preserve">7. Audit</w:t>
      </w:r>
    </w:p>
    <w:p>
      <w:pPr>
        <w:pStyle w:val="FirstParagraph"/>
      </w:pPr>
      <w:r>
        <w:t xml:space="preserve">7.1 Carrier may audit Vendor’s compliance with this Agreement upon ten (10) business days’ written notice, not more than once per calendar year.</w:t>
      </w:r>
    </w:p>
    <w:bookmarkEnd w:id="15"/>
    <w:bookmarkStart w:id="16" w:name="term"/>
    <w:p>
      <w:pPr>
        <w:pStyle w:val="Heading2"/>
      </w:pPr>
      <w:r>
        <w:t xml:space="preserve">8. Term</w:t>
      </w:r>
    </w:p>
    <w:p>
      <w:pPr>
        <w:pStyle w:val="FirstParagraph"/>
      </w:pPr>
      <w:r>
        <w:t xml:space="preserve">8.1 This Agreement shall remain in effect for three (3) years and renew automatically for successive one-year terms unless either party gives ninety (90) days’ written notice.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2026-09-28T20:30:11Z</dcterms:created>
  <dcterms:modified xsi:type="dcterms:W3CDTF">2026-09-28T20:30:11Z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