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cords-release-services-agreement"/>
    <w:p>
      <w:pPr>
        <w:pStyle w:val="Heading1"/>
      </w:pPr>
      <w:r>
        <w:t xml:space="preserve">RECORDS RELEASE SERVICES AGREEMENT</w:t>
      </w:r>
    </w:p>
    <w:p>
      <w:pPr>
        <w:pStyle w:val="FirstParagraph"/>
      </w:pPr>
      <w:r>
        <w:rPr>
          <w:b/>
          <w:bCs/>
        </w:rPr>
        <w:t xml:space="preserve">Between</w:t>
      </w:r>
      <w:r>
        <w:t xml:space="preserve"> </w:t>
      </w:r>
      <w:r>
        <w:t xml:space="preserve">Tri-County Workers’ Compensation Fund (</w:t>
      </w:r>
      <w:r>
        <w:t xml:space="preserve">“the Fund”</w:t>
      </w:r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ClaimFox, Inc. (</w:t>
      </w:r>
      <w:r>
        <w:t xml:space="preserve">“Provider”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Effective Date:</w:t>
      </w:r>
      <w:r>
        <w:t xml:space="preserve"> </w:t>
      </w:r>
      <w:r>
        <w:t xml:space="preserve">July 1, 2024</w:t>
      </w:r>
    </w:p>
    <w:p>
      <w:pPr>
        <w:pStyle w:val="BodyText"/>
      </w:pPr>
      <w:r>
        <w:rPr>
          <w:i/>
          <w:iCs/>
        </w:rPr>
        <w:t xml:space="preserve">SAMPLE DOCUMENT FOR TRAINING. Fictional parties and terms.</w:t>
      </w:r>
    </w:p>
    <w:bookmarkStart w:id="9" w:name="article-1.-scope"/>
    <w:p>
      <w:pPr>
        <w:pStyle w:val="Heading2"/>
      </w:pPr>
      <w:r>
        <w:t xml:space="preserve">Article 1. Scope</w:t>
      </w:r>
    </w:p>
    <w:p>
      <w:pPr>
        <w:pStyle w:val="FirstParagraph"/>
      </w:pPr>
      <w:r>
        <w:t xml:space="preserve">Provider shall respond on the Fund’s behalf to requests for workers’ compensation claim file records, including requests from the state Workers’ Compensation Board, claimant attorneys, employers and medical providers.</w:t>
      </w:r>
    </w:p>
    <w:bookmarkEnd w:id="9"/>
    <w:bookmarkStart w:id="10" w:name="article-2.-timeliness"/>
    <w:p>
      <w:pPr>
        <w:pStyle w:val="Heading2"/>
      </w:pPr>
      <w:r>
        <w:t xml:space="preserve">Article 2. Timeliness</w:t>
      </w:r>
    </w:p>
    <w:p>
      <w:pPr>
        <w:pStyle w:val="FirstParagraph"/>
      </w:pPr>
      <w:r>
        <w:t xml:space="preserve">2.1 Provider shall fulfill complete requests within ten (10) business days of receipt.</w:t>
      </w:r>
    </w:p>
    <w:p>
      <w:pPr>
        <w:pStyle w:val="BodyText"/>
      </w:pPr>
      <w:r>
        <w:t xml:space="preserve">2.2 Requests from the Workers’ Compensation Board shall be fulfilled within five (5) business days of receipt.</w:t>
      </w:r>
    </w:p>
    <w:p>
      <w:pPr>
        <w:pStyle w:val="BodyText"/>
      </w:pPr>
      <w:r>
        <w:t xml:space="preserve">2.3 Requests accompanied by a court order shall be handled promptly.</w:t>
      </w:r>
    </w:p>
    <w:bookmarkEnd w:id="10"/>
    <w:bookmarkStart w:id="11" w:name="article-3.-protected-records"/>
    <w:p>
      <w:pPr>
        <w:pStyle w:val="Heading2"/>
      </w:pPr>
      <w:r>
        <w:t xml:space="preserve">Article 3. Protected Records</w:t>
      </w:r>
    </w:p>
    <w:p>
      <w:pPr>
        <w:pStyle w:val="FirstParagraph"/>
      </w:pPr>
      <w:r>
        <w:t xml:space="preserve">3.1 Provider shall withhold records of psychiatric or psychological treatment unless the authorization specifically names such records.</w:t>
      </w:r>
    </w:p>
    <w:p>
      <w:pPr>
        <w:pStyle w:val="BodyText"/>
      </w:pPr>
      <w:r>
        <w:t xml:space="preserve">3.2 Provider shall withhold any records subject to 42 CFR Part 2 (substance use disorder treatment) and any HIV-related information, unless accompanied by a specific authorization or court order meeting applicable law.</w:t>
      </w:r>
    </w:p>
    <w:p>
      <w:pPr>
        <w:pStyle w:val="BodyText"/>
      </w:pPr>
      <w:r>
        <w:t xml:space="preserve">3.3 All other redactions shall follow Provider’s standard redaction procedures.</w:t>
      </w:r>
    </w:p>
    <w:bookmarkEnd w:id="11"/>
    <w:bookmarkStart w:id="12" w:name="article-4.-security"/>
    <w:p>
      <w:pPr>
        <w:pStyle w:val="Heading2"/>
      </w:pPr>
      <w:r>
        <w:t xml:space="preserve">Article 4. Security</w:t>
      </w:r>
    </w:p>
    <w:p>
      <w:pPr>
        <w:pStyle w:val="FirstParagraph"/>
      </w:pPr>
      <w:r>
        <w:t xml:space="preserve">4.1 Provider shall notify the Fund of any security incident affecting Fund data within forty-eight (48) hours.</w:t>
      </w:r>
    </w:p>
    <w:p>
      <w:pPr>
        <w:pStyle w:val="BodyText"/>
      </w:pPr>
      <w:r>
        <w:t xml:space="preserve">4.2 Provider shall maintain cyber liability insurance of not less than five million dollars ($5,000,000) per occurrence and shall name the Fund as an additional insured.</w:t>
      </w:r>
    </w:p>
    <w:p>
      <w:pPr>
        <w:pStyle w:val="BodyText"/>
      </w:pPr>
      <w:r>
        <w:t xml:space="preserve">4.3 Provider shall permit one (1) on-site security review per year at a mutually agreed time.</w:t>
      </w:r>
    </w:p>
    <w:bookmarkEnd w:id="12"/>
    <w:bookmarkStart w:id="13" w:name="article-5.-retention"/>
    <w:p>
      <w:pPr>
        <w:pStyle w:val="Heading2"/>
      </w:pPr>
      <w:r>
        <w:t xml:space="preserve">Article 5. Retention</w:t>
      </w:r>
    </w:p>
    <w:p>
      <w:pPr>
        <w:pStyle w:val="FirstParagraph"/>
      </w:pPr>
      <w:r>
        <w:t xml:space="preserve">5.1 Provider shall retain and destroy Fund records in accordance with Provider’s standard retention procedures.</w:t>
      </w:r>
    </w:p>
    <w:bookmarkEnd w:id="13"/>
    <w:bookmarkStart w:id="14" w:name="article-6.-reporting"/>
    <w:p>
      <w:pPr>
        <w:pStyle w:val="Heading2"/>
      </w:pPr>
      <w:r>
        <w:t xml:space="preserve">Article 6. Reporting</w:t>
      </w:r>
    </w:p>
    <w:p>
      <w:pPr>
        <w:pStyle w:val="FirstParagraph"/>
      </w:pPr>
      <w:r>
        <w:t xml:space="preserve">6.1 Provider shall deliver a monthly activity report by the tenth (10th) business day of each month.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2026-09-28T20:30:11Z</dcterms:created>
  <dcterms:modified xsi:type="dcterms:W3CDTF">2026-09-28T20:30:11Z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