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sp-03-incident-response-plan"/>
    <w:p>
      <w:pPr>
        <w:pStyle w:val="Heading1"/>
      </w:pPr>
      <w:r>
        <w:t xml:space="preserve">ISP-03 Incident Response Plan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Director of Technology ·</w:t>
      </w:r>
      <w:r>
        <w:t xml:space="preserve"> </w:t>
      </w:r>
      <w:r>
        <w:rPr>
          <w:b/>
          <w:bCs/>
        </w:rPr>
        <w:t xml:space="preserve">Version 2.4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Last reviewed:</w:t>
      </w:r>
      <w:r>
        <w:t xml:space="preserve"> </w:t>
      </w:r>
      <w:r>
        <w:t xml:space="preserve">January 22, 2026 ·</w:t>
      </w:r>
      <w:r>
        <w:t xml:space="preserve"> </w:t>
      </w:r>
      <w:r>
        <w:rPr>
          <w:b/>
          <w:bCs/>
        </w:rPr>
        <w:t xml:space="preserve">Last tabletop exercise:</w:t>
      </w:r>
      <w:r>
        <w:t xml:space="preserve"> </w:t>
      </w:r>
      <w:r>
        <w:t xml:space="preserve">February 10, 2026 ·</w:t>
      </w:r>
      <w:r>
        <w:t xml:space="preserve"> </w:t>
      </w:r>
      <w:r>
        <w:rPr>
          <w:b/>
          <w:bCs/>
        </w:rPr>
        <w:t xml:space="preserve">Status: APPROVED</w:t>
      </w:r>
    </w:p>
    <w:p>
      <w:pPr>
        <w:pStyle w:val="BodyText"/>
      </w:pPr>
      <w:r>
        <w:rPr>
          <w:i/>
          <w:iCs/>
        </w:rPr>
        <w:t xml:space="preserve">SAMPLE DOCUMENT FOR TRAINING. Fictional content.</w:t>
      </w:r>
    </w:p>
    <w:p>
      <w:pPr>
        <w:pStyle w:val="Compact"/>
        <w:numPr>
          <w:ilvl w:val="0"/>
          <w:numId w:val="1001"/>
        </w:numPr>
      </w:pPr>
      <w:r>
        <w:t xml:space="preserve">ClaimFox maintains a documented incident response plan covering detection, containment, eradication, recovery and post-incident review.</w:t>
      </w:r>
    </w:p>
    <w:p>
      <w:pPr>
        <w:pStyle w:val="Compact"/>
        <w:numPr>
          <w:ilvl w:val="0"/>
          <w:numId w:val="1001"/>
        </w:numPr>
      </w:pPr>
      <w:r>
        <w:t xml:space="preserve">The plan is tested at least annually through a tabletop exercise.</w:t>
      </w:r>
    </w:p>
    <w:p>
      <w:pPr>
        <w:pStyle w:val="Compact"/>
        <w:numPr>
          <w:ilvl w:val="0"/>
          <w:numId w:val="1001"/>
        </w:numPr>
      </w:pPr>
      <w:r>
        <w:t xml:space="preserve">Clients are notified of any confirmed security incident involving their data within seventy-two (72) hours of confirmation, or sooner where a client contract requires it.</w:t>
      </w:r>
    </w:p>
    <w:p>
      <w:pPr>
        <w:pStyle w:val="Compact"/>
        <w:numPr>
          <w:ilvl w:val="0"/>
          <w:numId w:val="1001"/>
        </w:numPr>
      </w:pPr>
      <w:r>
        <w:t xml:space="preserve">Critical vulnerabilities are patched within fourteen (14) days of vendor release; high within thirty (30) days.</w:t>
      </w:r>
    </w:p>
    <w:p>
      <w:pPr>
        <w:pStyle w:val="Compact"/>
        <w:numPr>
          <w:ilvl w:val="0"/>
          <w:numId w:val="1001"/>
        </w:numPr>
      </w:pPr>
      <w:r>
        <w:t xml:space="preserve">External penetration testing is performed annually by an independent third party.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2026-09-28T20:30:11Z</dcterms:created>
  <dcterms:modified xsi:type="dcterms:W3CDTF">2026-09-28T20:30:11Z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