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d3a30411614fab4de4ad30da85b1c4c53b04557"/>
    <w:p>
      <w:pPr>
        <w:pStyle w:val="Heading1"/>
      </w:pPr>
      <w:r>
        <w:t xml:space="preserve">ISP-04 Data Retention and Destruction Policy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VP of Operations ·</w:t>
      </w:r>
      <w:r>
        <w:t xml:space="preserve"> </w:t>
      </w:r>
      <w:r>
        <w:rPr>
          <w:b/>
          <w:bCs/>
        </w:rPr>
        <w:t xml:space="preserve">Version 1.6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Last reviewed:</w:t>
      </w:r>
      <w:r>
        <w:t xml:space="preserve"> </w:t>
      </w:r>
      <w:r>
        <w:t xml:space="preserve">April 2, 2026 ·</w:t>
      </w:r>
      <w:r>
        <w:t xml:space="preserve"> </w:t>
      </w:r>
      <w:r>
        <w:rPr>
          <w:b/>
          <w:bCs/>
        </w:rPr>
        <w:t xml:space="preserve">Status: APPROVED</w:t>
      </w:r>
    </w:p>
    <w:p>
      <w:pPr>
        <w:pStyle w:val="BodyText"/>
      </w:pPr>
      <w:r>
        <w:rPr>
          <w:i/>
          <w:iCs/>
        </w:rPr>
        <w:t xml:space="preserve">SAMPLE DOCUMENT FOR TRAINING. Fictional content.</w:t>
      </w:r>
    </w:p>
    <w:p>
      <w:pPr>
        <w:pStyle w:val="Compact"/>
        <w:numPr>
          <w:ilvl w:val="0"/>
          <w:numId w:val="1001"/>
        </w:numPr>
      </w:pPr>
      <w:r>
        <w:t xml:space="preserve">Working copies of client records are deleted thirty (30) days after the fulfilled request is delivered, unless a client contract requires a shorter period.</w:t>
      </w:r>
    </w:p>
    <w:p>
      <w:pPr>
        <w:pStyle w:val="Compact"/>
        <w:numPr>
          <w:ilvl w:val="0"/>
          <w:numId w:val="1001"/>
        </w:numPr>
      </w:pPr>
      <w:r>
        <w:t xml:space="preserve">Delivery logs are retained for seven (7) years.</w:t>
      </w:r>
    </w:p>
    <w:p>
      <w:pPr>
        <w:pStyle w:val="Compact"/>
        <w:numPr>
          <w:ilvl w:val="0"/>
          <w:numId w:val="1001"/>
        </w:numPr>
      </w:pPr>
      <w:r>
        <w:t xml:space="preserve">Electronic deletion uses cryptographic erasure. Any paper is destroyed by a certified shredding vendor, and certificates of destruction are retained.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2026-09-28T20:30:11Z</dcterms:created>
  <dcterms:modified xsi:type="dcterms:W3CDTF">2026-09-28T20:30:11Z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