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Ironbridge Payments</w:t>
      </w:r>
    </w:p>
    <w:p>
      <w:pPr>
        <w:pStyle w:val="Heading1"/>
      </w:pPr>
      <w:r>
        <w:t>Merchant Risk Policy</w:t>
      </w:r>
    </w:p>
    <w:p>
      <w:pPr>
        <w:spacing w:after="0"/>
      </w:pPr>
      <w:r>
        <w:rPr>
          <w:b/>
        </w:rPr>
        <w:t xml:space="preserve">To:  </w:t>
      </w:r>
      <w:r>
        <w:t>Merchant Services, Merchant Risk, Merchant Contracts</w:t>
      </w:r>
    </w:p>
    <w:p>
      <w:pPr>
        <w:spacing w:after="0"/>
      </w:pPr>
      <w:r>
        <w:rPr>
          <w:b/>
        </w:rPr>
        <w:t xml:space="preserve">From:  </w:t>
      </w:r>
      <w:r>
        <w:t>Helen Varga, Chief Risk Officer</w:t>
      </w:r>
    </w:p>
    <w:p>
      <w:pPr>
        <w:spacing w:after="0"/>
      </w:pPr>
      <w:r>
        <w:rPr>
          <w:b/>
        </w:rPr>
        <w:t xml:space="preserve">Date:  </w:t>
      </w:r>
      <w:r>
        <w:t>January 12, 2026</w:t>
      </w:r>
    </w:p>
    <w:p>
      <w:pPr>
        <w:spacing w:after="0"/>
      </w:pPr>
      <w:r>
        <w:rPr>
          <w:b/>
        </w:rPr>
        <w:t xml:space="preserve">Re:  </w:t>
      </w:r>
      <w:r>
        <w:t>Merchant risk policy for ACH origination, 2026 revision</w:t>
      </w:r>
    </w:p>
    <w:p/>
    <w:p>
      <w:pPr>
        <w:pStyle w:val="Heading2"/>
      </w:pPr>
      <w:r>
        <w:t>1. Purpose</w:t>
      </w:r>
    </w:p>
    <w:p>
      <w:r>
        <w:t>Ironbridge originates ACH debits on behalf of its merchants and is accountable to the network and to our ODFI for the quality of those entries. This memo sets the return-rate thresholds we monitor, the internal warning lines we act on before a network threshold is reached, what happens at each line, and how often the portfolio is reviewed. It replaces the June 2024 memo. Nothing in it changes a merchant's contract; it governs how we manage risk inside those contracts.</w:t>
      </w:r>
    </w:p>
    <w:p>
      <w:pPr>
        <w:pStyle w:val="Heading2"/>
      </w:pPr>
      <w:r>
        <w:t>2. Network thresholds</w:t>
      </w:r>
    </w:p>
    <w:p>
      <w:r>
        <w:t>The Nacha Operating Rules set three return-rate levels that an ODFI must monitor for each originator. Each rate is the number of returned debit entries in the month divided by the number of debit entries originated in the same month.</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Measure</w:t>
            </w:r>
          </w:p>
        </w:tc>
        <w:tc>
          <w:tcPr>
            <w:tcW w:type="dxa" w:w="3120"/>
          </w:tcPr>
          <w:p>
            <w:r>
              <w:rPr>
                <w:b/>
              </w:rPr>
              <w:t>Return reason codes</w:t>
            </w:r>
          </w:p>
        </w:tc>
        <w:tc>
          <w:tcPr>
            <w:tcW w:type="dxa" w:w="3120"/>
          </w:tcPr>
          <w:p>
            <w:r>
              <w:rPr>
                <w:b/>
              </w:rPr>
              <w:t>Network threshold</w:t>
            </w:r>
          </w:p>
        </w:tc>
      </w:tr>
      <w:tr>
        <w:tc>
          <w:tcPr>
            <w:tcW w:type="dxa" w:w="3120"/>
          </w:tcPr>
          <w:p>
            <w:r>
              <w:t>Unauthorized return rate</w:t>
            </w:r>
          </w:p>
        </w:tc>
        <w:tc>
          <w:tcPr>
            <w:tcW w:type="dxa" w:w="3120"/>
          </w:tcPr>
          <w:p>
            <w:r>
              <w:t>R05, R07, R10, R11, R29</w:t>
            </w:r>
          </w:p>
        </w:tc>
        <w:tc>
          <w:tcPr>
            <w:tcW w:type="dxa" w:w="3120"/>
          </w:tcPr>
          <w:p>
            <w:r>
              <w:t>0.5%</w:t>
            </w:r>
          </w:p>
        </w:tc>
      </w:tr>
      <w:tr>
        <w:tc>
          <w:tcPr>
            <w:tcW w:type="dxa" w:w="3120"/>
          </w:tcPr>
          <w:p>
            <w:r>
              <w:t>Administrative return rate</w:t>
            </w:r>
          </w:p>
        </w:tc>
        <w:tc>
          <w:tcPr>
            <w:tcW w:type="dxa" w:w="3120"/>
          </w:tcPr>
          <w:p>
            <w:r>
              <w:t>R02, R03, R04</w:t>
            </w:r>
          </w:p>
        </w:tc>
        <w:tc>
          <w:tcPr>
            <w:tcW w:type="dxa" w:w="3120"/>
          </w:tcPr>
          <w:p>
            <w:r>
              <w:t>3.0%</w:t>
            </w:r>
          </w:p>
        </w:tc>
      </w:tr>
      <w:tr>
        <w:tc>
          <w:tcPr>
            <w:tcW w:type="dxa" w:w="3120"/>
          </w:tcPr>
          <w:p>
            <w:r>
              <w:t>Overall return rate</w:t>
            </w:r>
          </w:p>
        </w:tc>
        <w:tc>
          <w:tcPr>
            <w:tcW w:type="dxa" w:w="3120"/>
          </w:tcPr>
          <w:p>
            <w:r>
              <w:t>All return reason codes</w:t>
            </w:r>
          </w:p>
        </w:tc>
        <w:tc>
          <w:tcPr>
            <w:tcW w:type="dxa" w:w="3120"/>
          </w:tcPr>
          <w:p>
            <w:r>
              <w:t>15.0%</w:t>
            </w:r>
          </w:p>
        </w:tc>
      </w:tr>
    </w:tbl>
    <w:p/>
    <w:p>
      <w:pPr>
        <w:pStyle w:val="Heading2"/>
      </w:pPr>
      <w:r>
        <w:t>3. Ironbridge internal warning lines</w:t>
      </w:r>
    </w:p>
    <w:p>
      <w:r>
        <w:t>We act before a merchant reaches a network threshold. The internal lines below apply to each merchant individually, measured monthly on the same basis as the network rates.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Measure</w:t>
            </w:r>
          </w:p>
        </w:tc>
        <w:tc>
          <w:tcPr>
            <w:tcW w:type="dxa" w:w="3120"/>
          </w:tcPr>
          <w:p>
            <w:r>
              <w:rPr>
                <w:b/>
              </w:rPr>
              <w:t>Internal warning line</w:t>
            </w:r>
          </w:p>
        </w:tc>
        <w:tc>
          <w:tcPr>
            <w:tcW w:type="dxa" w:w="3120"/>
          </w:tcPr>
          <w:p>
            <w:r>
              <w:rPr>
                <w:b/>
              </w:rPr>
              <w:t>Network threshold</w:t>
            </w:r>
          </w:p>
        </w:tc>
      </w:tr>
      <w:tr>
        <w:tc>
          <w:tcPr>
            <w:tcW w:type="dxa" w:w="3120"/>
          </w:tcPr>
          <w:p>
            <w:r>
              <w:t>Unauthorized return rate</w:t>
            </w:r>
          </w:p>
        </w:tc>
        <w:tc>
          <w:tcPr>
            <w:tcW w:type="dxa" w:w="3120"/>
          </w:tcPr>
          <w:p>
            <w:r>
              <w:t>0.40%</w:t>
            </w:r>
          </w:p>
        </w:tc>
        <w:tc>
          <w:tcPr>
            <w:tcW w:type="dxa" w:w="3120"/>
          </w:tcPr>
          <w:p>
            <w:r>
              <w:t>0.5%</w:t>
            </w:r>
          </w:p>
        </w:tc>
      </w:tr>
      <w:tr>
        <w:tc>
          <w:tcPr>
            <w:tcW w:type="dxa" w:w="3120"/>
          </w:tcPr>
          <w:p>
            <w:r>
              <w:t>Administrative return rate</w:t>
            </w:r>
          </w:p>
        </w:tc>
        <w:tc>
          <w:tcPr>
            <w:tcW w:type="dxa" w:w="3120"/>
          </w:tcPr>
          <w:p>
            <w:r>
              <w:t>2.5%</w:t>
            </w:r>
          </w:p>
        </w:tc>
        <w:tc>
          <w:tcPr>
            <w:tcW w:type="dxa" w:w="3120"/>
          </w:tcPr>
          <w:p>
            <w:r>
              <w:t>3.0%</w:t>
            </w:r>
          </w:p>
        </w:tc>
      </w:tr>
      <w:tr>
        <w:tc>
          <w:tcPr>
            <w:tcW w:type="dxa" w:w="3120"/>
          </w:tcPr>
          <w:p>
            <w:r>
              <w:t>Overall return rate</w:t>
            </w:r>
          </w:p>
        </w:tc>
        <w:tc>
          <w:tcPr>
            <w:tcW w:type="dxa" w:w="3120"/>
          </w:tcPr>
          <w:p>
            <w:r>
              <w:t>12%</w:t>
            </w:r>
          </w:p>
        </w:tc>
        <w:tc>
          <w:tcPr>
            <w:tcW w:type="dxa" w:w="3120"/>
          </w:tcPr>
          <w:p>
            <w:r>
              <w:t>15.0%</w:t>
            </w:r>
          </w:p>
        </w:tc>
      </w:tr>
    </w:tbl>
    <w:p/>
    <w:p>
      <w:r>
        <w:t>The portfolio-wide rate for each measure is reported to the board quarterly against the network thresholds. A portfolio rate that moves toward a line over several months is noted in the board report as a trend even when no single merchant has crossed it.</w:t>
      </w:r>
    </w:p>
    <w:p>
      <w:pPr>
        <w:pStyle w:val="Heading2"/>
      </w:pPr>
      <w:r>
        <w:t>4. What happens at each line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Event</w:t>
            </w:r>
          </w:p>
        </w:tc>
        <w:tc>
          <w:tcPr>
            <w:tcW w:type="dxa" w:w="2340"/>
          </w:tcPr>
          <w:p>
            <w:r>
              <w:rPr>
                <w:b/>
              </w:rPr>
              <w:t>Action</w:t>
            </w:r>
          </w:p>
        </w:tc>
        <w:tc>
          <w:tcPr>
            <w:tcW w:type="dxa" w:w="2340"/>
          </w:tcPr>
          <w:p>
            <w:r>
              <w:rPr>
                <w:b/>
              </w:rPr>
              <w:t>Owner</w:t>
            </w:r>
          </w:p>
        </w:tc>
        <w:tc>
          <w:tcPr>
            <w:tcW w:type="dxa" w:w="2340"/>
          </w:tcPr>
          <w:p>
            <w:r>
              <w:rPr>
                <w:b/>
              </w:rPr>
              <w:t>Timing</w:t>
            </w:r>
          </w:p>
        </w:tc>
      </w:tr>
      <w:tr>
        <w:tc>
          <w:tcPr>
            <w:tcW w:type="dxa" w:w="2340"/>
          </w:tcPr>
          <w:p>
            <w:r>
              <w:t>Merchant crosses an internal warning line in one month</w:t>
            </w:r>
          </w:p>
        </w:tc>
        <w:tc>
          <w:tcPr>
            <w:tcW w:type="dxa" w:w="2340"/>
          </w:tcPr>
          <w:p>
            <w:r>
              <w:t>Warning letter to the merchant's principal stating the rate, the entries behind it and the network threshold. Account manager opens a remediation file.</w:t>
            </w:r>
          </w:p>
        </w:tc>
        <w:tc>
          <w:tcPr>
            <w:tcW w:type="dxa" w:w="2340"/>
          </w:tcPr>
          <w:p>
            <w:r>
              <w:t>Merchant Services</w:t>
            </w:r>
          </w:p>
        </w:tc>
        <w:tc>
          <w:tcPr>
            <w:tcW w:type="dxa" w:w="2340"/>
          </w:tcPr>
          <w:p>
            <w:r>
              <w:t>Within 5 business days of month-end close</w:t>
            </w:r>
          </w:p>
        </w:tc>
      </w:tr>
      <w:tr>
        <w:tc>
          <w:tcPr>
            <w:tcW w:type="dxa" w:w="2340"/>
          </w:tcPr>
          <w:p>
            <w:r>
              <w:t>Merchant crosses an internal warning line in two consecutive months</w:t>
            </w:r>
          </w:p>
        </w:tc>
        <w:tc>
          <w:tcPr>
            <w:tcW w:type="dxa" w:w="2340"/>
          </w:tcPr>
          <w:p>
            <w:r>
              <w:t>Written remediation plan required from the merchant: root cause, authorization and timing changes, expected date back under the line.</w:t>
            </w:r>
          </w:p>
        </w:tc>
        <w:tc>
          <w:tcPr>
            <w:tcW w:type="dxa" w:w="2340"/>
          </w:tcPr>
          <w:p>
            <w:r>
              <w:t>Merchant Services with Merchant Risk</w:t>
            </w:r>
          </w:p>
        </w:tc>
        <w:tc>
          <w:tcPr>
            <w:tcW w:type="dxa" w:w="2340"/>
          </w:tcPr>
          <w:p>
            <w:r>
              <w:t>Plan due 10 business days after the letter</w:t>
            </w:r>
          </w:p>
        </w:tc>
      </w:tr>
      <w:tr>
        <w:tc>
          <w:tcPr>
            <w:tcW w:type="dxa" w:w="2340"/>
          </w:tcPr>
          <w:p>
            <w:r>
              <w:t>Merchant crosses a network threshold</w:t>
            </w:r>
          </w:p>
        </w:tc>
        <w:tc>
          <w:tcPr>
            <w:tcW w:type="dxa" w:w="2340"/>
          </w:tcPr>
          <w:p>
            <w:r>
              <w:t>Formal notice. Rolling reserve of 5% of monthly debit volume is established and held for 90 days. Volume caps may be set.</w:t>
            </w:r>
          </w:p>
        </w:tc>
        <w:tc>
          <w:tcPr>
            <w:tcW w:type="dxa" w:w="2340"/>
          </w:tcPr>
          <w:p>
            <w:r>
              <w:t>Merchant Risk</w:t>
            </w:r>
          </w:p>
        </w:tc>
        <w:tc>
          <w:tcPr>
            <w:tcW w:type="dxa" w:w="2340"/>
          </w:tcPr>
          <w:p>
            <w:r>
              <w:t>Immediately on close of the month</w:t>
            </w:r>
          </w:p>
        </w:tc>
      </w:tr>
      <w:tr>
        <w:tc>
          <w:tcPr>
            <w:tcW w:type="dxa" w:w="2340"/>
          </w:tcPr>
          <w:p>
            <w:r>
              <w:t>Merchant stays over a network threshold for two consecutive months</w:t>
            </w:r>
          </w:p>
        </w:tc>
        <w:tc>
          <w:tcPr>
            <w:tcW w:type="dxa" w:w="2340"/>
          </w:tcPr>
          <w:p>
            <w:r>
              <w:t>Termination review by the Chief Risk Officer. Default outcome is termination with 30 days notice unless the remediation plan shows the rate falling.</w:t>
            </w:r>
          </w:p>
        </w:tc>
        <w:tc>
          <w:tcPr>
            <w:tcW w:type="dxa" w:w="2340"/>
          </w:tcPr>
          <w:p>
            <w:r>
              <w:t>Chief Risk Officer</w:t>
            </w:r>
          </w:p>
        </w:tc>
        <w:tc>
          <w:tcPr>
            <w:tcW w:type="dxa" w:w="2340"/>
          </w:tcPr>
          <w:p>
            <w:r>
              <w:t>Decision within 10 business days of the second month's close</w:t>
            </w:r>
          </w:p>
        </w:tc>
      </w:tr>
    </w:tbl>
    <w:p/>
    <w:p>
      <w:r>
        <w:t>Unauthorized returns are treated more seriously than administrative or NSF returns because they indicate a consumer did not agree to the debit. A merchant over the unauthorized line is also required to produce authorization records for a sample of the returned entries.</w:t>
      </w:r>
    </w:p>
    <w:p>
      <w:pPr>
        <w:pStyle w:val="Heading2"/>
      </w:pPr>
      <w:r>
        <w:t>5. Monthly review</w:t>
      </w:r>
    </w:p>
    <w:p>
      <w:r>
        <w:t>Merchant Services calculates return rates for every merchant from the monthly ACH activity export within five business days of month end and circulates a portfolio review to Merchant Risk. The review lists every merchant over an internal line, the dollars at stake, and the action taken. Rates are calculated from the export, not from merchant-reported figures.</w:t>
      </w:r>
    </w:p>
    <w:p>
      <w:pPr>
        <w:pStyle w:val="Heading2"/>
      </w:pPr>
      <w:r>
        <w:t>6. Concentration</w:t>
      </w:r>
    </w:p>
    <w:p>
      <w:r>
        <w:t>Any single merchant that accounts for more than 25% of trailing-twelve-month debit volume is reported to the board with the account's contract renewal date, its return rates and the steps being taken to retain it or to reduce reliance on it. Concentration above 25% is not a breach of policy. It is a risk the board has asked to see.</w:t>
      </w:r>
    </w:p>
    <w:p>
      <w:pPr>
        <w:pStyle w:val="Heading2"/>
      </w:pPr>
      <w:r>
        <w:t>7. Definitions</w:t>
      </w:r>
    </w:p>
    <w:p>
      <w:r>
        <w:t>Unauthorized returns: R05 (unauthorized debit to consumer account using corporate SEC code), R07 (authorization revoked by customer), R10 (customer advises not authorized), R11 (customer advises entry not in accordance with the terms of the authorization), R29 (corporate customer advises not authorized).</w:t>
      </w:r>
    </w:p>
    <w:p>
      <w:r>
        <w:t>Administrative returns: R02 (account closed), R03 (no account or unable to locate account), R04 (invalid account number).</w:t>
      </w:r>
    </w:p>
    <w:p>
      <w:r>
        <w:t>NSF returns: R01 (insufficient funds), R09 (uncollected funds). NSF returns count toward the overall rate only.</w:t>
      </w:r>
    </w:p>
    <w:p>
      <w:pPr>
        <w:jc w:val="left"/>
      </w:pPr>
      <w:r>
        <w:t>Questions about this policy go to Helen Varga. Questions about a specific merchant go to that merchant's account manager first.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Ironbridge</dc:creator>
  <cp:keywords/>
  <dc:description>generated by python-docx</dc:description>
  <cp:lastModifiedBy>Ironbridge</cp:lastModifiedBy>
  <cp:revision>1</cp:revision>
  <dcterms:created xsi:type="dcterms:W3CDTF">2026-01-12T09:30:00Z</dcterms:created>
  <dcterms:modified xsi:type="dcterms:W3CDTF">2026-01-12T09:30:00Z</dcterms:modified>
  <cp:category/>
</cp:coreProperties>
</file>