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lr3ja310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Hypothetical Due Diligence Interview Transcript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Interviewer (ID):</w:t>
      </w:r>
      <w:r w:rsidDel="00000000" w:rsidR="00000000" w:rsidRPr="00000000">
        <w:rPr>
          <w:rtl w:val="0"/>
        </w:rPr>
        <w:t xml:space="preserve"> Senior Human Intelligence Due Diligence Consultant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Interviewee (CFO):</w:t>
      </w:r>
      <w:r w:rsidDel="00000000" w:rsidR="00000000" w:rsidRPr="00000000">
        <w:rPr>
          <w:rtl w:val="0"/>
        </w:rPr>
        <w:t xml:space="preserve"> Chief Financial Officer, SuperHuman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To ground us, can you describe your responsibilities as CFO at SuperHuman?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Sure. I oversee finance, accounting, treasury, tax, and—loosely—risk. Compliance technically sits under legal, but we coordinate closely.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When you say “loosely,” what does that mean in practice?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I’m not involved in day-to-day compliance reviews. More escalation-based. If something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off, it comes to me.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Walk me through how you vet new enterprise customers.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Sales brings them in, legal runs contract review, and finance looks at credit risk. We don’t want to slow deals with excessive friction.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formal KYC or counterparty diligence?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For regulated customers, yes. For others, we rely on representations and warranties.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 you screen beneficial ownership?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Not systematically. Many of our customers are holding companies or SPVs—it’s hard to get clean data.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Are all customers operating companies?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Mostly. Some are investment vehicles, family offices, or regional distributors.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Distributors for what exactly?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They resell access, bundle us with other services, or act as implementation partners.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 you ever receive payments from entities different from the contracting counterparty?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Occasionally. Especially internationally. As long as the invoice is paid, we don’t get too hung up on form.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What percentage of revenue is non-US?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Roughly 40%.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high-risk jurisdictions?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Depends how you define “high-risk.” We have customers in the Middle East, parts of Eastern Europe, and Southeast Asia.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sanctioned or embargoed jurisdictions?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Not directly. Though some customers have affiliates… everywhere.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How do you monitor that?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We rely on customer certifications. Updating them continuously would be resource-intensive.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 you pay commissions to third parties?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Yes—referral partners, introducers, consultants.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Are those commissions standardized?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Not really. They’re deal-specific.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success fees?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Sometimes. Particularly in markets where relationships matter.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How do you vet those intermediaries?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Sales usually proposes them. Legal checks the contract language.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Background checks?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Not unless there’s a reason.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Have you noticed any expense categories that tend to spike unexpectedly?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Professional services can fluctuate.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examples?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Advisory fees, “market entry” costs, strategic consulting.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 you require detailed invoices?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Summaries are usually sufficient. We trust our teams.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Where does SuperHuman hold cash?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Mostly US accounts. Some regional accounts abroad for operational convenience.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jurisdictions known for banking secrecy?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I wouldn’t call them that—just efficient banking centers.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Are payments ever routed through multiple entities?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Sometimes, yes. Especially when customers or partners request it.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 you ever accept partial payments from multiple sources for one invoice?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On occasion. It simplifies things for customers.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 you have a whistleblower hotline?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Yes.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reports in the last year?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A couple.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Related to what?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Mostly cultural concerns. One mentioned “unusual payments,” but legal looked into it.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Outcome?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Inconclusive.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inquiries from regulators or banks?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Banks occasionally ask enhanced diligence questions.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Triggered by what?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Transaction patterns, I assume.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Any accounts closed?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One overseas bank exited us. Risk appetite change, they said.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