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Studio 2</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Team-o:</w:t>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 </w:t>
      </w:r>
      <w:r w:rsidDel="00000000" w:rsidR="00000000" w:rsidRPr="00000000">
        <w:rPr>
          <w:rtl w:val="0"/>
        </w:rPr>
        <w:t xml:space="preserve">redefine TA from just immigrants to individuals attending uoft who were born outside of Canada</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94% 17-30 years old seems obvious, if asking friend group (same age)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Giving us stats, but not really giving us the question before hand. We have no context.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In lecture, it stated to have about 10-12 interviewee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Interview question - conflict between your culture vs local culture</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Arent conflicts just subjective?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Interviewees, how do you select people? Why are some people better than the other?</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 range of age is too broad, 19 years can have way different experiences. Then a grad student.</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Good question, follow up on experiences in canada, or more specifically in UofT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The group 52’s</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Biggest problem is language barrier and no motivation to integrate into community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What justifies friend? Are classmates friends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Generally, in person interview seems like it would be more detailed. Rather than through digital. Immigrants touches on sensitive topics and to capture the different emotions in way of response is important to note.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10-19 seems like a wide range. Different experiences in these ages are huge. Its the difference of elementary school vs highschool vs university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Group 4</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Immigrants are affected by finance, education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Immigrants resources are not very available but this doesn't really relate to connecting the bridge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318 Legends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Found that immigrants talk more to locals, then locals to immigrants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