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Edge cases: words that must NOT be flagged</w:t>
      </w:r>
    </w:p>
    <w:p>
      <w:r>
        <w:t xml:space="preserve">other, there, the, theme, chairmanship, shelter, history, whisper, mother, together.</w:t>
      </w:r>
    </w:p>
    <w:p>
      <w:r>
        <w:t xml:space="preserve"/>
      </w:r>
    </w:p>
    <w:p>
      <w:r>
        <w:t xml:space="preserve">Edge cases: words that MUST be flagged (5 terms)</w:t>
      </w:r>
    </w:p>
    <w:p>
      <w:r>
        <w:t xml:space="preserve">(He) said "she" would come; ask him. HIS OR HER bag. STEWARDESS and Chairman.</w:t>
      </w:r>
    </w:p>
    <w:p>
      <w:r>
        <w:t xml:space="preserve"/>
      </w:r>
    </w:p>
    <w:p>
      <w:r>
        <w:t xml:space="preserve">Whitespace and hyphen variants (2 terms)</w:t>
      </w:r>
    </w:p>
    <w:p>
      <w:r>
        <w:t xml:space="preserve">his     or
her notebook, and a man‑made lake.</w:t>
      </w:r>
    </w:p>
    <w:sectPr/>
  </w:body>
</w:document>
</file>