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df" ContentType="application/pdf"/>
  <Override PartName="/word/media/rId25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Investigate</w:t>
      </w:r>
      <w:r>
        <w:t xml:space="preserve"> </w:t>
      </w:r>
      <w:r>
        <w:t xml:space="preserve">washout</w:t>
      </w:r>
    </w:p>
    <w:p>
      <w:pPr>
        <w:pStyle w:val="FirstParagraph"/>
      </w:pPr>
      <w:r>
        <w:t xml:space="preserve">Some studies have washout, which can mean different things for different studies.</w:t>
      </w:r>
    </w:p>
    <w:p>
      <w:pPr>
        <w:pStyle w:val="BodyText"/>
      </w:pPr>
      <w:r>
        <w:t xml:space="preserve">These are all the studies that are labeled as having washout: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(WashOut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(JournalVolumePage, Author, Year, subtype))</w:t>
      </w:r>
    </w:p>
    <w:tbl>
      <w:tblPr>
        <w:tblStyle w:val="TableNormal"/>
        <w:tblW w:type="pct" w:w="4444.444444444444"/>
        <w:tblLook w:firstRow="1"/>
      </w:tblPr>
      <w:tblGrid>
        <w:gridCol w:w="2970"/>
        <w:gridCol w:w="2310"/>
        <w:gridCol w:w="77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JournalVolumePage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JCRS, 36(407-412)</w:t>
            </w:r>
          </w:p>
        </w:tc>
        <w:tc>
          <w:p>
            <w:pPr>
              <w:pStyle w:val="Compact"/>
              <w:jc w:val="center"/>
            </w:pPr>
            <w:r>
              <w:t xml:space="preserve">Fea et. al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AAO, 118(459-467)</w:t>
            </w:r>
          </w:p>
        </w:tc>
        <w:tc>
          <w:p>
            <w:pPr>
              <w:pStyle w:val="Compact"/>
              <w:jc w:val="center"/>
            </w:pPr>
            <w:r>
              <w:t xml:space="preserve">Samuelson et al.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AAO, 122(1283-1293)</w:t>
            </w:r>
          </w:p>
        </w:tc>
        <w:tc>
          <w:p>
            <w:pPr>
              <w:pStyle w:val="Compact"/>
              <w:jc w:val="center"/>
            </w:pPr>
            <w:r>
              <w:t xml:space="preserve">Pfeiffer et al.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Lancet, 388(1389-1397)</w:t>
            </w:r>
          </w:p>
        </w:tc>
        <w:tc>
          <w:p>
            <w:pPr>
              <w:pStyle w:val="Compact"/>
              <w:jc w:val="center"/>
            </w:pPr>
            <w:r>
              <w:t xml:space="preserve">Azuara-Blanco et al.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ACG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Ophthalmol, 123(2103-2112)</w:t>
            </w:r>
          </w:p>
        </w:tc>
        <w:tc>
          <w:p>
            <w:pPr>
              <w:pStyle w:val="Compact"/>
              <w:jc w:val="center"/>
            </w:pPr>
            <w:r>
              <w:t xml:space="preserve">Vold et al.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</w:tr>
    </w:tbl>
    <w:p>
      <w:pPr>
        <w:pStyle w:val="BodyText"/>
      </w:pPr>
      <w:r>
        <w:t xml:space="preserve">This study has pre- and post-washout and no measurements without washout. This is</w:t>
      </w:r>
      <w:r>
        <w:t xml:space="preserve"> </w:t>
      </w:r>
      <w:r>
        <w:t xml:space="preserve">equivalent to setting the pre and post op meds to 0: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(Washoutbaseline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PreOpIOPMean,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(WashoutIOP))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(JournalVolumePage, Author, Year))</w:t>
      </w:r>
    </w:p>
    <w:tbl>
      <w:tblPr>
        <w:tblStyle w:val="TableNormal"/>
        <w:tblW w:type="pct" w:w="3402.777777777778"/>
        <w:tblLook w:firstRow="1"/>
      </w:tblPr>
      <w:tblGrid>
        <w:gridCol w:w="2970"/>
        <w:gridCol w:w="17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JournalVolumePage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AAO, 122(1283-1293)</w:t>
            </w:r>
          </w:p>
        </w:tc>
        <w:tc>
          <w:p>
            <w:pPr>
              <w:pStyle w:val="Compact"/>
              <w:jc w:val="center"/>
            </w:pPr>
            <w:r>
              <w:t xml:space="preserve">Pfeiffer et al.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Ophthalmol, 123(2103-2112)</w:t>
            </w:r>
          </w:p>
        </w:tc>
        <w:tc>
          <w:p>
            <w:pPr>
              <w:pStyle w:val="Compact"/>
              <w:jc w:val="center"/>
            </w:pPr>
            <w:r>
              <w:t xml:space="preserve">Vold et al.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</w:tr>
    </w:tbl>
    <w:p>
      <w:pPr>
        <w:pStyle w:val="BodyText"/>
      </w:pPr>
      <w:r>
        <w:t xml:space="preserve">This study has preop washout and no washout in the post period. Virgin patients</w:t>
      </w:r>
      <w:r>
        <w:t xml:space="preserve"> </w:t>
      </w:r>
      <w:r>
        <w:t xml:space="preserve">were enrolled, and had 0 pre-op meds; only after were they put on meds: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(Washoutbaseline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PreOpIOPMean,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(WashoutIOP))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(JournalVolumePage, Author, Year))</w:t>
      </w:r>
    </w:p>
    <w:tbl>
      <w:tblPr>
        <w:tblStyle w:val="TableNormal"/>
        <w:tblW w:type="pct" w:w="3472.2222222222226"/>
        <w:tblLook w:firstRow="1"/>
      </w:tblPr>
      <w:tblGrid>
        <w:gridCol w:w="2530"/>
        <w:gridCol w:w="231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JournalVolumePage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Lancet, 388(1389-1397)</w:t>
            </w:r>
          </w:p>
        </w:tc>
        <w:tc>
          <w:p>
            <w:pPr>
              <w:pStyle w:val="Compact"/>
              <w:jc w:val="center"/>
            </w:pPr>
            <w:r>
              <w:t xml:space="preserve">Azuara-Blanco et al.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</w:tr>
    </w:tbl>
    <w:p>
      <w:pPr>
        <w:pStyle w:val="BodyText"/>
      </w:pPr>
      <w:r>
        <w:t xml:space="preserve">These studies had both washout and regular measurements in the pre-period. That</w:t>
      </w:r>
      <w:r>
        <w:t xml:space="preserve"> </w:t>
      </w:r>
      <w:r>
        <w:t xml:space="preserve">tells us about the relationship between meds and IOP: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(Washoutbaseline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PreOpIOPMean)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mm.Hg.per.med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(Washoutbaseline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PreOpIOPMean)/RxPreOpMean,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-(Washoutbaseline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PreOpIOPMean)/Washoutbaseline),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rel.p.drop.per.med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(rel.p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RxPreOpMean)))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(Author, Year, PreOpIOPMean, RxPreOpMean, mm.Hg.per.med,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rel.p, rel.p.drop.per.med),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1771"/>
        <w:gridCol w:w="729"/>
        <w:gridCol w:w="1563"/>
        <w:gridCol w:w="1458"/>
        <w:gridCol w:w="1667"/>
        <w:gridCol w:w="7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PreOpIOPMean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RxPreOpMean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mm.Hg.per.med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rel.p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Samuelson et al.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</w:tr>
    </w:tbl>
    <w:tbl>
      <w:tblPr>
        <w:tblStyle w:val="TableNormal"/>
        <w:tblW w:type="pct" w:w="1388.888888888889"/>
        <w:tblLook w:firstRow="1"/>
      </w:tblPr>
      <w:tblGrid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rel.p.drop.per.med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</w:tbl>
    <w:p>
      <w:pPr>
        <w:pStyle w:val="BodyText"/>
      </w:pPr>
      <w:r>
        <w:t xml:space="preserve">Most commonly, 1 med corresponds to about a 15-20% drop in IOP; or a 4-5 mmHg</w:t>
      </w:r>
      <w:r>
        <w:t xml:space="preserve"> </w:t>
      </w:r>
      <w:r>
        <w:t xml:space="preserve">drop.</w:t>
      </w:r>
    </w:p>
    <w:p>
      <w:pPr>
        <w:pStyle w:val="BodyText"/>
      </w:pPr>
      <w:r>
        <w:rPr>
          <w:i/>
        </w:rPr>
        <w:t xml:space="preserve">Note</w:t>
      </w:r>
      <w:r>
        <w:t xml:space="preserve">: Pfeiffer has washout in the pre-periods and the post-periods. It also</w:t>
      </w:r>
      <w:r>
        <w:t xml:space="preserve"> </w:t>
      </w:r>
      <w:r>
        <w:t xml:space="preserve">has a baseline measurement (with meds).</w:t>
      </w:r>
    </w:p>
    <w:p>
      <w:pPr>
        <w:pStyle w:val="BodyText"/>
      </w:pPr>
      <w:r>
        <w:t xml:space="preserve">This study has washout only in the last period; we can also use this to estimate</w:t>
      </w:r>
      <w:r>
        <w:t xml:space="preserve"> </w:t>
      </w:r>
      <w:r>
        <w:t xml:space="preserve">the drop in IOP per med: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"Fea"</w:t>
      </w:r>
      <w:r>
        <w:rPr>
          <w:rStyle w:val="NormalTok"/>
        </w:rPr>
        <w:t xml:space="preserve">, Author)==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mm.Hg.per.med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(WashoutIOP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LastPeriodIOPMean)/RxPostOpMean,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-(WashoutIOP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LastPeriodIOPMean)/WashoutIOP),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rel.p.drop.per.med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(rel.p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RxPostOpMean)))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(Author, Year, LastPeriodIOPMean, RxPostOpMean, mm.Hg.per.med,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rel.p, rel.p.drop.per.med),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1146"/>
        <w:gridCol w:w="729"/>
        <w:gridCol w:w="2084"/>
        <w:gridCol w:w="1563"/>
        <w:gridCol w:w="1667"/>
        <w:gridCol w:w="7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LastPeriodIOPMean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RxPostOpMean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mm.Hg.per.med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rel.p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Fea et. al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tbl>
      <w:tblPr>
        <w:tblStyle w:val="TableNormal"/>
        <w:tblW w:type="pct" w:w="1388.888888888889"/>
        <w:tblLook w:firstRow="1"/>
      </w:tblPr>
      <w:tblGrid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rel.p.drop.per.med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This study is also in line with the estimate of 4-5mmHg, 15-20% drop in IOP per</w:t>
      </w:r>
      <w:r>
        <w:t xml:space="preserve"> </w:t>
      </w:r>
      <w:r>
        <w:t xml:space="preserve">med.</w:t>
      </w:r>
    </w:p>
    <w:p>
      <w:pPr>
        <w:pStyle w:val="Heading1"/>
      </w:pPr>
      <w:bookmarkStart w:id="21" w:name="study-classifications"/>
      <w:bookmarkEnd w:id="21"/>
      <w:r>
        <w:t xml:space="preserve">Study classifications</w:t>
      </w:r>
    </w:p>
    <w:p>
      <w:pPr>
        <w:pStyle w:val="FirstParagraph"/>
      </w:pPr>
      <w:r>
        <w:t xml:space="preserve">I went back and classified the studies depending on the washout type: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(washout.type !=</w:t>
      </w:r>
      <w:r>
        <w:rPr>
          <w:rStyle w:val="StringTok"/>
        </w:rPr>
        <w:t xml:space="preserve"> 'None'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(JournalVolumePage, Author, Year, subtype, washout.type))</w:t>
      </w:r>
    </w:p>
    <w:tbl>
      <w:tblPr>
        <w:tblStyle w:val="TableNormal"/>
        <w:tblW w:type="pct" w:w="5000.0"/>
        <w:tblLook w:firstRow="1"/>
      </w:tblPr>
      <w:tblGrid>
        <w:gridCol w:w="2706"/>
        <w:gridCol w:w="2105"/>
        <w:gridCol w:w="701"/>
        <w:gridCol w:w="1002"/>
        <w:gridCol w:w="14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JournalVolumePage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washout.type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JCRS, 36(407-412)</w:t>
            </w:r>
          </w:p>
        </w:tc>
        <w:tc>
          <w:p>
            <w:pPr>
              <w:pStyle w:val="Compact"/>
              <w:jc w:val="center"/>
            </w:pPr>
            <w:r>
              <w:t xml:space="preserve">Fea et. al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  <w:tc>
          <w:p>
            <w:pPr>
              <w:pStyle w:val="Compact"/>
              <w:jc w:val="center"/>
            </w:pPr>
            <w:r>
              <w:t xml:space="preserve">Partial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AAO, 118(459-467)</w:t>
            </w:r>
          </w:p>
        </w:tc>
        <w:tc>
          <w:p>
            <w:pPr>
              <w:pStyle w:val="Compact"/>
              <w:jc w:val="center"/>
            </w:pPr>
            <w:r>
              <w:t xml:space="preserve">Samuelson et al.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  <w:tc>
          <w:p>
            <w:pPr>
              <w:pStyle w:val="Compact"/>
              <w:jc w:val="center"/>
            </w:pPr>
            <w:r>
              <w:t xml:space="preserve">Partial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AAO, 122(1283-1293)</w:t>
            </w:r>
          </w:p>
        </w:tc>
        <w:tc>
          <w:p>
            <w:pPr>
              <w:pStyle w:val="Compact"/>
              <w:jc w:val="center"/>
            </w:pPr>
            <w:r>
              <w:t xml:space="preserve">Pfeiffer et al.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  <w:tc>
          <w:p>
            <w:pPr>
              <w:pStyle w:val="Compact"/>
              <w:jc w:val="center"/>
            </w:pPr>
            <w:r>
              <w:t xml:space="preserve">Both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Lancet, 388(1389-1397)</w:t>
            </w:r>
          </w:p>
        </w:tc>
        <w:tc>
          <w:p>
            <w:pPr>
              <w:pStyle w:val="Compact"/>
              <w:jc w:val="center"/>
            </w:pPr>
            <w:r>
              <w:t xml:space="preserve">Azuara-Blanco et al.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ACG</w:t>
            </w:r>
          </w:p>
        </w:tc>
        <w:tc>
          <w:p>
            <w:pPr>
              <w:pStyle w:val="Compact"/>
              <w:jc w:val="center"/>
            </w:pPr>
            <w:r>
              <w:t xml:space="preserve">Pre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Ophthalmol, 123(2103-2112)</w:t>
            </w:r>
          </w:p>
        </w:tc>
        <w:tc>
          <w:p>
            <w:pPr>
              <w:pStyle w:val="Compact"/>
              <w:jc w:val="center"/>
            </w:pPr>
            <w:r>
              <w:t xml:space="preserve">Vold et al.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  <w:tc>
          <w:p>
            <w:pPr>
              <w:pStyle w:val="Compact"/>
              <w:jc w:val="center"/>
            </w:pPr>
            <w:r>
              <w:t xml:space="preserve">Both</w:t>
            </w:r>
          </w:p>
        </w:tc>
      </w:tr>
    </w:tbl>
    <w:p>
      <w:pPr>
        <w:pStyle w:val="Heading1"/>
      </w:pPr>
      <w:bookmarkStart w:id="22" w:name="net-effect---including-iop-and-meds"/>
      <w:bookmarkEnd w:id="22"/>
      <w:r>
        <w:t xml:space="preserve">Net effect - including IOP and meds</w:t>
      </w:r>
    </w:p>
    <w:p>
      <w:pPr>
        <w:pStyle w:val="FirstParagraph"/>
      </w:pPr>
      <w:r>
        <w:t xml:space="preserve">Let's see what happens when we add the IOP drop effect to the Rx drop effects.</w:t>
      </w:r>
      <w:r>
        <w:t xml:space="preserve"> </w:t>
      </w:r>
      <w:r>
        <w:t xml:space="preserve">We try different values of the translation value between meds and mmHg drop:</w:t>
      </w:r>
      <w:r>
        <w:t xml:space="preserve"> </w:t>
      </w:r>
      <w:r>
        <w:t xml:space="preserve">0, 2, 3, 4, or 5 mm Hg per Rx.</w:t>
      </w:r>
    </w:p>
    <w:p>
      <w:pPr>
        <w:pStyle w:val="Heading2"/>
      </w:pPr>
      <w:bookmarkStart w:id="23" w:name="last-period"/>
      <w:bookmarkEnd w:id="23"/>
      <w:r>
        <w:t xml:space="preserve">Last period</w:t>
      </w:r>
    </w:p>
    <w:p>
      <w:pPr>
        <w:pStyle w:val="SourceCode"/>
      </w:pPr>
      <w:r>
        <w:rPr>
          <w:rStyle w:val="NormalTok"/>
        </w:rPr>
        <w:t xml:space="preserve">mmhg.per.meds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for(mmhg.per.med in mmhg.per.meds)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(RxChangeMean),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df$subtype !=</w:t>
      </w:r>
      <w:r>
        <w:rPr>
          <w:rStyle w:val="StringTok"/>
        </w:rPr>
        <w:t xml:space="preserve"> "AACG"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MIGsYorN ==</w:t>
      </w:r>
      <w:r>
        <w:rPr>
          <w:rStyle w:val="StringTok"/>
        </w:rPr>
        <w:t xml:space="preserve"> 'N'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(LastPeriodAbsIOPChangeStdDev),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(RxChangeStdDev))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subtype=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(subtype),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net.effect=</w:t>
      </w:r>
      <w:r>
        <w:rPr>
          <w:rStyle w:val="NormalTok"/>
        </w:rPr>
        <w:t xml:space="preserve">LastPeriodAbsIOPChangeMean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RxChangeMean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'Partial'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RxPostOpMean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net.sem=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(LastPeriodAbsIOPChangeStdDev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(mmhg.per.med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'Pre'</w:t>
      </w:r>
      <w:r>
        <w:rPr>
          <w:rStyle w:val="NormalTok"/>
        </w:rPr>
        <w:t xml:space="preserve">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RxChangeStdDev)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(LastPeriodEyes))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metagen</w:t>
      </w:r>
      <w:r>
        <w:rPr>
          <w:rStyle w:val="NormalTok"/>
        </w:rPr>
        <w:t xml:space="preserve">(net.effect,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net.sem,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study.name,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byvar=</w:t>
      </w:r>
      <w:r>
        <w:rPr>
          <w:rStyle w:val="NormalTok"/>
        </w:rPr>
        <w:t xml:space="preserve">subtype,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LastPeriodEyes)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digits.se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overall=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leftcols=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leftlabs=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"ΔIOP"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"eyes"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refline=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 net change in IOP in last period, "</w:t>
      </w:r>
      <w:r>
        <w:rPr>
          <w:rStyle w:val="NormalTok"/>
        </w:rPr>
        <w:t xml:space="preserve">, mmhg.per.med, </w:t>
      </w:r>
      <w:r>
        <w:rPr>
          <w:rStyle w:val="StringTok"/>
        </w:rPr>
        <w:t xml:space="preserve">" mm Hg per med"</w:t>
      </w:r>
      <w:r>
        <w:rPr>
          <w:rStyle w:val="NormalTok"/>
        </w:rPr>
        <w:t xml:space="preserve">),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gp=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)*.</w:t>
      </w:r>
      <w:r>
        <w:rPr>
          <w:rStyle w:val="DecValTok"/>
        </w:rPr>
        <w:t xml:space="preserve">5952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estigate-washout_files/figure-docx/unnamed-chunk-8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 "</w:t>
      </w:r>
    </w:p>
    <w:p>
      <w:pPr>
        <w:pStyle w:val="SourceCode"/>
      </w:pPr>
      <w:r>
        <w:rPr>
          <w:rStyle w:val="NormalTok"/>
        </w:rPr>
        <w:t xml:space="preserve">mmhg.per.meds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for(mmhg.per.med in mmhg.per.meds)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(RxChangeMean),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df$subtype ==</w:t>
      </w:r>
      <w:r>
        <w:rPr>
          <w:rStyle w:val="StringTok"/>
        </w:rPr>
        <w:t xml:space="preserve"> "OAG"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MIGsYorN ==</w:t>
      </w:r>
      <w:r>
        <w:rPr>
          <w:rStyle w:val="StringTok"/>
        </w:rPr>
        <w:t xml:space="preserve"> 'N'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(LastPeriodAbsIOPChangeStdDev),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(RxChangeStdDev))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subtype=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(subtype),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net.effect=</w:t>
      </w:r>
      <w:r>
        <w:rPr>
          <w:rStyle w:val="NormalTok"/>
        </w:rPr>
        <w:t xml:space="preserve">LastPeriodAbsIOPChangeMean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RxChangeMean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'Partial'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RxPostOpMean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net.sem=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(LastPeriodAbsIOPChangeStdDev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(mmhg.per.med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'Pre'</w:t>
      </w:r>
      <w:r>
        <w:rPr>
          <w:rStyle w:val="NormalTok"/>
        </w:rPr>
        <w:t xml:space="preserve">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RxChangeStdDev)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(LastPeriodEyes))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metagen</w:t>
      </w:r>
      <w:r>
        <w:rPr>
          <w:rStyle w:val="NormalTok"/>
        </w:rPr>
        <w:t xml:space="preserve">(net.effect,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net.sem,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study.name,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LastPeriodEyes,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byvar=</w:t>
      </w:r>
      <w:r>
        <w:rPr>
          <w:rStyle w:val="NormalTok"/>
        </w:rPr>
        <w:t xml:space="preserve">subtype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digits.se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overall=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leftcols=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leftlabs=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"ΔIOP"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 net change in IOP in last period, "</w:t>
      </w:r>
      <w:r>
        <w:rPr>
          <w:rStyle w:val="NormalTok"/>
        </w:rPr>
        <w:t xml:space="preserve">, mmhg.per.med, </w:t>
      </w:r>
      <w:r>
        <w:rPr>
          <w:rStyle w:val="StringTok"/>
        </w:rPr>
        <w:t xml:space="preserve">" mm Hg per med"</w:t>
      </w:r>
      <w:r>
        <w:rPr>
          <w:rStyle w:val="NormalTok"/>
        </w:rPr>
        <w:t xml:space="preserve">),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gp=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Stupid hack to get a reference line at -2: set ref=-2 in forest, and mess with the number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until the two lines overlap.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TODO(Patrick): Banish this hack to the fiery pits of hell.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)*.</w:t>
      </w:r>
      <w:r>
        <w:rPr>
          <w:rStyle w:val="DecValTok"/>
        </w:rPr>
        <w:t xml:space="preserve">5807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estigate-washout_files/figure-docx/unnamed-chunk-9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 "</w:t>
      </w:r>
    </w:p>
    <w:p>
      <w:pPr>
        <w:pStyle w:val="Heading1"/>
      </w:pPr>
      <w:bookmarkStart w:id="26" w:name="conclusion"/>
      <w:bookmarkEnd w:id="26"/>
      <w:r>
        <w:t xml:space="preserve">Conclusion</w:t>
      </w:r>
    </w:p>
    <w:p>
      <w:pPr>
        <w:pStyle w:val="FirstParagraph"/>
      </w:pPr>
      <w:r>
        <w:t xml:space="preserve">If you take into account the drop in number of meds in each study, you get an</w:t>
      </w:r>
      <w:r>
        <w:t xml:space="preserve"> </w:t>
      </w:r>
      <w:r>
        <w:t xml:space="preserve">additional ~1mmHg drop in the OAG group. That's a net effect around 4 mmHg drop at</w:t>
      </w:r>
      <w:r>
        <w:t xml:space="preserve"> </w:t>
      </w:r>
      <w:r>
        <w:t xml:space="preserve">12 months and in the last period: quite a bit larger than the uncorrected</w:t>
      </w:r>
      <w:r>
        <w:t xml:space="preserve"> </w:t>
      </w:r>
      <w:r>
        <w:t xml:space="preserve">estimates we had previously.</w:t>
      </w:r>
    </w:p>
    <w:p>
      <w:pPr>
        <w:pStyle w:val="BodyText"/>
      </w:pPr>
      <w:r>
        <w:t xml:space="preserve">There's another source of bias we can't correct for here: in some studies, less</w:t>
      </w:r>
      <w:r>
        <w:t xml:space="preserve"> </w:t>
      </w:r>
      <w:r>
        <w:t xml:space="preserve">potent medicines with better side effect profiles might have replaced more</w:t>
      </w:r>
      <w:r>
        <w:t xml:space="preserve"> </w:t>
      </w:r>
      <w:r>
        <w:t xml:space="preserve">potent medicines in the post period, in response to better control of IOP after</w:t>
      </w:r>
      <w:r>
        <w:t xml:space="preserve"> </w:t>
      </w:r>
      <w:r>
        <w:t xml:space="preserve">surgery. That would be measured as a net change of 0 between RxPreOp and</w:t>
      </w:r>
      <w:r>
        <w:t xml:space="preserve"> </w:t>
      </w:r>
      <w:r>
        <w:t xml:space="preserve">RxPostOp, and it would result in an apparent increase in IOP, even though that's</w:t>
      </w:r>
      <w:r>
        <w:t xml:space="preserve"> </w:t>
      </w:r>
      <w:r>
        <w:t xml:space="preserve">a net positive for the patient. I'll leave it to the clinician to determine how</w:t>
      </w:r>
      <w:r>
        <w:t xml:space="preserve"> </w:t>
      </w:r>
      <w:r>
        <w:t xml:space="preserve">likely this is.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a1ad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df" /><Relationship Type="http://schemas.openxmlformats.org/officeDocument/2006/relationships/image" Id="rId25" Target="media/rId25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Investigate washout</dc:title>
  <dc:creator/>
</cp:coreProperties>
</file>