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FirstParagraph"/>
      </w:pPr>
      <w:r>
        <w:t xml:space="preserve">Follow the procedures in</w:t>
      </w:r>
      <w:r>
        <w:t xml:space="preserve"> </w:t>
      </w:r>
      <w:hyperlink r:id="rId21"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.</w:t>
      </w:r>
    </w:p>
    <w:p>
      <w:pPr>
        <w:pStyle w:val="Heading1"/>
      </w:pPr>
      <w:bookmarkStart w:id="22" w:name="data-extraction"/>
      <w:bookmarkEnd w:id="22"/>
      <w:r>
        <w:t xml:space="preserve">10. Data extraction</w:t>
      </w:r>
    </w:p>
    <w:p>
      <w:pPr>
        <w:pStyle w:val="FirstParagraph"/>
      </w:pPr>
      <w:r>
        <w:t xml:space="preserve">An undergraduate assistant manually extracted data from the tables of the</w:t>
      </w:r>
      <w:r>
        <w:t xml:space="preserve"> </w:t>
      </w:r>
      <w:r>
        <w:t xml:space="preserve">identified studies. In three cases where the data of interest was not cited in -</w:t>
      </w:r>
      <w:r>
        <w:t xml:space="preserve"> </w:t>
      </w:r>
      <w:r>
        <w:t xml:space="preserve">the IOP measurements and medication numbers in (ref Liu et al.), and the</w:t>
      </w:r>
      <w:r>
        <w:t xml:space="preserve"> </w:t>
      </w:r>
      <w:r>
        <w:t xml:space="preserve">medication numbers in (ref Hayashi, Tham 2013), the data was extracted from</w:t>
      </w:r>
      <w:r>
        <w:t xml:space="preserve"> </w:t>
      </w:r>
      <w:r>
        <w:t xml:space="preserve">figures using a graphical data extraction tool (WebPlotDigitizer,</w:t>
      </w:r>
      <w:r>
        <w:t xml:space="preserve"> </w:t>
      </w:r>
      <w:hyperlink r:id="rId23">
        <w:r>
          <w:rPr>
            <w:rStyle w:val="Hyperlink"/>
          </w:rPr>
          <w:t xml:space="preserve">http://arohatgi.info/WebPlotDigitizer/</w:t>
        </w:r>
      </w:hyperlink>
      <w:r>
        <w:t xml:space="preserve">; ref Cochrane</w:t>
      </w:r>
      <w:r>
        <w:t xml:space="preserve"> </w:t>
      </w:r>
      <w:hyperlink r:id="rId24">
        <w:r>
          <w:rPr>
            <w:rStyle w:val="Hyperlink"/>
          </w:rPr>
          <w:t xml:space="preserve">https://www.ncbi.nlm.nih.gov/pubmed/26780258</w:t>
        </w:r>
      </w:hyperlink>
      <w:r>
        <w:t xml:space="preserve">).</w:t>
      </w:r>
    </w:p>
    <w:p>
      <w:pPr>
        <w:pStyle w:val="BodyText"/>
      </w:pPr>
      <w:r>
        <w:t xml:space="preserve">The data tables were spot-checked by M.M. against the primary studies. Data was</w:t>
      </w:r>
      <w:r>
        <w:t xml:space="preserve"> </w:t>
      </w:r>
      <w:r>
        <w:t xml:space="preserve">also audited for self-consistency by P.M. -- e.g. ensuring that differences in</w:t>
      </w:r>
      <w:r>
        <w:t xml:space="preserve"> </w:t>
      </w:r>
      <w:r>
        <w:t xml:space="preserve">IOP post-surgery were consistent with pre- and post-surgery IOP measurements,</w:t>
      </w:r>
      <w:r>
        <w:t xml:space="preserve"> </w:t>
      </w:r>
      <w:r>
        <w:t xml:space="preserve">that number of eyes tracked did not increase through follow-up, etc. The full</w:t>
      </w:r>
      <w:r>
        <w:t xml:space="preserve"> </w:t>
      </w:r>
      <w:r>
        <w:t xml:space="preserve">extent of these automated checks can be viewed at (ref github</w:t>
      </w:r>
      <w:r>
        <w:t xml:space="preserve"> </w:t>
      </w:r>
      <w:r>
        <w:t xml:space="preserve">link).</w:t>
      </w:r>
    </w:p>
    <w:p>
      <w:pPr>
        <w:pStyle w:val="BodyText"/>
      </w:pPr>
      <w:r>
        <w:t xml:space="preserve">The data for OAG studies was also cross-verified against Table 1 of Thomas et al</w:t>
      </w:r>
      <w:r>
        <w:t xml:space="preserve"> </w:t>
      </w:r>
      <w:r>
        <w:t xml:space="preserve">(ref). The full extracted data can be accessed at (ref Github link).</w:t>
      </w:r>
    </w:p>
    <w:p>
      <w:pPr>
        <w:pStyle w:val="Heading1"/>
      </w:pPr>
      <w:bookmarkStart w:id="25" w:name="data-items-summary-measures"/>
      <w:bookmarkEnd w:id="25"/>
      <w:r>
        <w:t xml:space="preserve">11 &amp; 13. Data items &amp; summary measures</w:t>
      </w:r>
    </w:p>
    <w:p>
      <w:pPr>
        <w:pStyle w:val="FirstParagraph"/>
      </w:pPr>
      <w:r>
        <w:t xml:space="preserve">We extracted the following columns from the primary sources:</w:t>
      </w:r>
    </w:p>
    <w:p>
      <w:pPr>
        <w:pStyle w:val="SourceCode"/>
      </w:pPr>
      <w:r>
        <w:rPr>
          <w:rStyle w:val="NormalTok"/>
        </w:rPr>
        <w:t xml:space="preserve">extracted.data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read.column.names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(extracted.data))</w:t>
      </w:r>
    </w:p>
    <w:p>
      <w:pPr>
        <w:pStyle w:val="Heading2"/>
      </w:pPr>
      <w:bookmarkStart w:id="26" w:name="extracted.data"/>
      <w:bookmarkEnd w:id="26"/>
      <w:r>
        <w:t xml:space="preserve">extracted.data</w:t>
      </w:r>
    </w:p>
    <w:p>
      <w:pPr>
        <w:pStyle w:val="FirstParagraph"/>
      </w:pPr>
      <w:r>
        <w:t xml:space="preserve">Journal, Volume (Page)</w:t>
      </w:r>
      <w:r>
        <w:br w:type="textWrapping"/>
      </w:r>
      <w:r>
        <w:t xml:space="preserve">Author</w:t>
      </w:r>
      <w:r>
        <w:br w:type="textWrapping"/>
      </w:r>
      <w:r>
        <w:t xml:space="preserve">Study Type</w:t>
      </w:r>
      <w:r>
        <w:br w:type="textWrapping"/>
      </w:r>
      <w:r>
        <w:t xml:space="preserve">Year</w:t>
      </w:r>
      <w:r>
        <w:br w:type="textWrapping"/>
      </w:r>
      <w:r>
        <w:t xml:space="preserve">MIGs (Y or N)</w:t>
      </w:r>
      <w:r>
        <w:br w:type="textWrapping"/>
      </w:r>
      <w:r>
        <w:t xml:space="preserve">Wash Out</w:t>
      </w:r>
      <w:r>
        <w:br w:type="textWrapping"/>
      </w:r>
      <w:r>
        <w:t xml:space="preserve">Wash out baseline</w:t>
      </w:r>
      <w:r>
        <w:br w:type="textWrapping"/>
      </w:r>
      <w:r>
        <w:t xml:space="preserve">Baseline wash out SD</w:t>
      </w:r>
      <w:r>
        <w:br w:type="textWrapping"/>
      </w:r>
      <w:r>
        <w:t xml:space="preserve">Wash out IOP period</w:t>
      </w:r>
      <w:r>
        <w:br w:type="textWrapping"/>
      </w:r>
      <w:r>
        <w:t xml:space="preserve">Wash out IOP</w:t>
      </w:r>
      <w:r>
        <w:br w:type="textWrapping"/>
      </w:r>
      <w:r>
        <w:t xml:space="preserve">Wash out SD</w:t>
      </w:r>
      <w:r>
        <w:br w:type="textWrapping"/>
      </w:r>
      <w:r>
        <w:t xml:space="preserve">Types of MIGS (if any)</w:t>
      </w:r>
      <w:r>
        <w:br w:type="textWrapping"/>
      </w:r>
      <w:r>
        <w:t xml:space="preserve">Age (Mean)</w:t>
      </w:r>
      <w:r>
        <w:br w:type="textWrapping"/>
      </w:r>
      <w:r>
        <w:t xml:space="preserve">Age (Std Dev)</w:t>
      </w:r>
      <w:r>
        <w:br w:type="textWrapping"/>
      </w:r>
      <w:r>
        <w:t xml:space="preserve">% Male</w:t>
      </w:r>
      <w:r>
        <w:br w:type="textWrapping"/>
      </w:r>
      <w:r>
        <w:t xml:space="preserve">% Female</w:t>
      </w:r>
      <w:r>
        <w:br w:type="textWrapping"/>
      </w:r>
      <w:r>
        <w:t xml:space="preserve">% OAG</w:t>
      </w:r>
      <w:r>
        <w:br w:type="textWrapping"/>
      </w:r>
      <w:r>
        <w:t xml:space="preserve">% ACG</w:t>
      </w:r>
      <w:r>
        <w:br w:type="textWrapping"/>
      </w:r>
      <w:r>
        <w:t xml:space="preserve">% NTG</w:t>
      </w:r>
      <w:r>
        <w:br w:type="textWrapping"/>
      </w:r>
      <w:r>
        <w:t xml:space="preserve">% PXG</w:t>
      </w:r>
      <w:r>
        <w:br w:type="textWrapping"/>
      </w:r>
      <w:r>
        <w:t xml:space="preserve">acuteangleclosure</w:t>
      </w:r>
      <w:r>
        <w:br w:type="textWrapping"/>
      </w:r>
      <w:r>
        <w:t xml:space="preserve">Note on Type of Glaucoma</w:t>
      </w:r>
      <w:r>
        <w:br w:type="textWrapping"/>
      </w:r>
      <w:r>
        <w:t xml:space="preserve">PreOpEyes</w:t>
      </w:r>
      <w:r>
        <w:br w:type="textWrapping"/>
      </w:r>
      <w:r>
        <w:t xml:space="preserve">PreOpIOPMean</w:t>
      </w:r>
      <w:r>
        <w:br w:type="textWrapping"/>
      </w:r>
      <w:r>
        <w:t xml:space="preserve">PreOpIOPStdDev</w:t>
      </w:r>
      <w:r>
        <w:br w:type="textWrapping"/>
      </w:r>
      <w:r>
        <w:t xml:space="preserve">Eyes6mo</w:t>
      </w:r>
      <w:r>
        <w:br w:type="textWrapping"/>
      </w:r>
      <w:r>
        <w:t xml:space="preserve">MeanIOP6mo</w:t>
      </w:r>
      <w:r>
        <w:br w:type="textWrapping"/>
      </w:r>
      <w:r>
        <w:t xml:space="preserve">MeanIOPsd6mo</w:t>
      </w:r>
      <w:r>
        <w:br w:type="textWrapping"/>
      </w:r>
      <w:r>
        <w:t xml:space="preserve">IOPchangemean6m</w:t>
      </w:r>
      <w:r>
        <w:br w:type="textWrapping"/>
      </w:r>
      <w:r>
        <w:t xml:space="preserve">IOPchangesd6mo</w:t>
      </w:r>
      <w:r>
        <w:br w:type="textWrapping"/>
      </w:r>
      <w:r>
        <w:t xml:space="preserve">Eyes12mo</w:t>
      </w:r>
      <w:r>
        <w:br w:type="textWrapping"/>
      </w:r>
      <w:r>
        <w:t xml:space="preserve">MeanIOP12mo</w:t>
      </w:r>
      <w:r>
        <w:br w:type="textWrapping"/>
      </w:r>
      <w:r>
        <w:t xml:space="preserve">MeanIOPsd12mo</w:t>
      </w:r>
      <w:r>
        <w:br w:type="textWrapping"/>
      </w:r>
      <w:r>
        <w:t xml:space="preserve">IOPchangemean12m</w:t>
      </w:r>
      <w:r>
        <w:br w:type="textWrapping"/>
      </w:r>
      <w:r>
        <w:t xml:space="preserve">IOPchangeSD12mo</w:t>
      </w:r>
      <w:r>
        <w:br w:type="textWrapping"/>
      </w:r>
      <w:r>
        <w:t xml:space="preserve">LastPeriodofEyes</w:t>
      </w:r>
      <w:r>
        <w:br w:type="textWrapping"/>
      </w:r>
      <w:r>
        <w:t xml:space="preserve">TimeofLastPostOp</w:t>
      </w:r>
      <w:r>
        <w:br w:type="textWrapping"/>
      </w:r>
      <w:r>
        <w:t xml:space="preserve">LastPeriodIOPMean</w:t>
      </w:r>
      <w:r>
        <w:br w:type="textWrapping"/>
      </w:r>
      <w:r>
        <w:t xml:space="preserve">LastPeriodIOPStdDev</w:t>
      </w:r>
      <w:r>
        <w:br w:type="textWrapping"/>
      </w:r>
      <w:r>
        <w:t xml:space="preserve">LastPeriodAbsIOPChangeMean</w:t>
      </w:r>
      <w:r>
        <w:t xml:space="preserve"> </w:t>
      </w:r>
      <w:r>
        <w:t xml:space="preserve">LastPeriodAbsIOPChangeStd</w:t>
      </w:r>
      <w:r>
        <w:br w:type="textWrapping"/>
      </w:r>
      <w:r>
        <w:t xml:space="preserve">RxPreOpMean</w:t>
      </w:r>
      <w:r>
        <w:br w:type="textWrapping"/>
      </w:r>
      <w:r>
        <w:t xml:space="preserve">RxPreOpStdDev</w:t>
      </w:r>
      <w:r>
        <w:br w:type="textWrapping"/>
      </w:r>
      <w:r>
        <w:t xml:space="preserve">RxPostOpMean</w:t>
      </w:r>
      <w:r>
        <w:br w:type="textWrapping"/>
      </w:r>
      <w:r>
        <w:t xml:space="preserve">RxPostOpStdDev</w:t>
      </w:r>
      <w:r>
        <w:br w:type="textWrapping"/>
      </w:r>
      <w:r>
        <w:t xml:space="preserve">VisualAcuityPreOpMean</w:t>
      </w:r>
      <w:r>
        <w:br w:type="textWrapping"/>
      </w:r>
      <w:r>
        <w:t xml:space="preserve">VisualAcuityPreOpStdDev</w:t>
      </w:r>
      <w:r>
        <w:br w:type="textWrapping"/>
      </w:r>
      <w:r>
        <w:t xml:space="preserve">VisualAcuityPostOpMean</w:t>
      </w:r>
      <w:r>
        <w:br w:type="textWrapping"/>
      </w:r>
      <w:r>
        <w:t xml:space="preserve">VisualAcuityPostOpStdDev</w:t>
      </w:r>
      <w:r>
        <w:br w:type="textWrapping"/>
      </w:r>
      <w:r>
        <w:t xml:space="preserve">Notes</w:t>
      </w:r>
      <w:r>
        <w:br w:type="textWrapping"/>
      </w:r>
      <w:r>
        <w:t xml:space="preserve">Exclude</w:t>
      </w:r>
      <w:r>
        <w:br w:type="textWrapping"/>
      </w:r>
      <w:r>
        <w:t xml:space="preserve">Exclusion notes</w:t>
      </w:r>
    </w:p>
    <w:p>
      <w:pPr>
        <w:pStyle w:val="BlockText"/>
      </w:pPr>
      <w:r>
        <w:t xml:space="preserve">TODO(Marisse): transform this to a table, group similar measurements together.</w:t>
      </w:r>
    </w:p>
    <w:p>
      <w:pPr>
        <w:pStyle w:val="FirstParagraph"/>
      </w:pPr>
      <w:r>
        <w:t xml:space="preserve">The main metric of interest for our meta-analysis was the IOP change at the</w:t>
      </w:r>
      <w:r>
        <w:t xml:space="preserve"> </w:t>
      </w:r>
      <w:r>
        <w:t xml:space="preserve">final follow-up period (12 months or longer). In complementary analyses, we</w:t>
      </w:r>
      <w:r>
        <w:t xml:space="preserve"> </w:t>
      </w:r>
      <w:r>
        <w:t xml:space="preserve">performed meta-analyses separately for 6 month, 12 month, and &gt; 12 month</w:t>
      </w:r>
      <w:r>
        <w:t xml:space="preserve"> </w:t>
      </w:r>
      <w:r>
        <w:t xml:space="preserve">follow-ups. When the final period of follow up was not equal for every patient,</w:t>
      </w:r>
      <w:r>
        <w:t xml:space="preserve"> </w:t>
      </w:r>
      <w:r>
        <w:t xml:space="preserve">we put in the 6-month follow up bin if it was less than 12 months, on average,</w:t>
      </w:r>
      <w:r>
        <w:t xml:space="preserve"> </w:t>
      </w:r>
      <w:r>
        <w:t xml:space="preserve">and in the &gt; 12 month bin it was more than 12 months.</w:t>
      </w:r>
    </w:p>
    <w:p>
      <w:pPr>
        <w:pStyle w:val="BodyText"/>
      </w:pPr>
      <w:r>
        <w:t xml:space="preserve">We also analyzed the change in number of medications between the pre-</w:t>
      </w:r>
      <w:r>
        <w:t xml:space="preserve"> </w:t>
      </w:r>
      <w:r>
        <w:t xml:space="preserve">period and final follow-up.</w:t>
      </w:r>
    </w:p>
    <w:p>
      <w:pPr>
        <w:pStyle w:val="Heading2"/>
      </w:pPr>
      <w:bookmarkStart w:id="27" w:name="aggregation-and-cleaning"/>
      <w:bookmarkEnd w:id="27"/>
      <w:r>
        <w:t xml:space="preserve">Aggregation and cleaning</w:t>
      </w:r>
    </w:p>
    <w:p>
      <w:pPr>
        <w:pStyle w:val="FirstParagraph"/>
      </w:pPr>
      <w:r>
        <w:t xml:space="preserve">Some studies used washout in at least some time periods to measure the effect of</w:t>
      </w:r>
      <w:r>
        <w:t xml:space="preserve"> </w:t>
      </w:r>
      <w:r>
        <w:t xml:space="preserve">surgery separately from the effect of medication. When both pre- and</w:t>
      </w:r>
      <w:r>
        <w:t xml:space="preserve"> </w:t>
      </w:r>
      <w:r>
        <w:t xml:space="preserve">post-surgery IOP were reported with washout, we used the washed out IOPs (refs</w:t>
      </w:r>
      <w:r>
        <w:t xml:space="preserve"> </w:t>
      </w:r>
      <w:r>
        <w:t xml:space="preserve">Pfeiffer, Vold); this is indicated by an asterisk in the main results. When</w:t>
      </w:r>
      <w:r>
        <w:t xml:space="preserve"> </w:t>
      </w:r>
      <w:r>
        <w:t xml:space="preserve">washout was used in only some periods, we used non-washout values across time</w:t>
      </w:r>
      <w:r>
        <w:t xml:space="preserve"> </w:t>
      </w:r>
      <w:r>
        <w:t xml:space="preserve">periods, for consistency. The only exception was (ref Azuara−Blanco 2016), where</w:t>
      </w:r>
      <w:r>
        <w:t xml:space="preserve"> </w:t>
      </w:r>
      <w:r>
        <w:t xml:space="preserve">IOP was measured with washout in the pre-period but not in the post period, due</w:t>
      </w:r>
      <w:r>
        <w:t xml:space="preserve"> </w:t>
      </w:r>
      <w:r>
        <w:t xml:space="preserve">to study design. We indicate this study with a double asterisk.</w:t>
      </w:r>
    </w:p>
    <w:p>
      <w:pPr>
        <w:pStyle w:val="BodyText"/>
      </w:pPr>
      <w:r>
        <w:t xml:space="preserve">Many studies did not report IOP change directly, but rather only absolute IOP in</w:t>
      </w:r>
      <w:r>
        <w:t xml:space="preserve"> </w:t>
      </w:r>
      <w:r>
        <w:t xml:space="preserve">the pre-period and at the follow-up period. Assuming follow-ups are missing</w:t>
      </w:r>
      <w:r>
        <w:t xml:space="preserve"> </w:t>
      </w:r>
      <w:r>
        <w:t xml:space="preserve">completely at random (MCAR), the IOP change can be estimated simply by the difference</w:t>
      </w:r>
      <w:r>
        <w:t xml:space="preserve"> </w:t>
      </w:r>
      <w:r>
        <w:t xml:space="preserve">of these measurements, while the SD (</w:t>
      </w:r>
      <m:oMath>
        <m:r>
          <m:rPr/>
          <m:t>σ</m:t>
        </m:r>
      </m:oMath>
      <w:r>
        <w:t xml:space="preserve">) of the IOP change is estimated by:</w:t>
      </w:r>
    </w:p>
    <w:p>
      <w:pPr>
        <w:pStyle w:val="BodyText"/>
      </w:pPr>
      <m:oMath>
        <m:sSubSup>
          <m:e>
            <m:r>
              <m:rPr/>
              <m:t>σ</m:t>
            </m:r>
          </m:e>
          <m:sub>
            <m:r>
              <m:rPr/>
              <m:t>d</m:t>
            </m:r>
            <m:r>
              <m:rPr/>
              <m:t>r</m:t>
            </m:r>
            <m:r>
              <m:rPr/>
              <m:t>o</m:t>
            </m:r>
            <m:r>
              <m:rPr/>
              <m:t>p</m:t>
            </m:r>
          </m:sub>
          <m:sup>
            <m:r>
              <m:rPr/>
              <m:t>2</m:t>
            </m:r>
          </m:sup>
        </m:sSubSup>
        <m:r>
          <m:rPr/>
          <m:t>=</m:t>
        </m:r>
        <m:sSubSup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e</m:t>
            </m:r>
          </m:sub>
          <m:sup>
            <m:r>
              <m:rPr/>
              <m:t>2</m:t>
            </m:r>
          </m:sup>
        </m:sSubSup>
        <m:r>
          <m:rPr/>
          <m:t>+</m:t>
        </m:r>
        <m:sSubSup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</m:sub>
          <m:sup>
            <m:r>
              <m:rPr/>
              <m:t>2</m:t>
            </m:r>
          </m:sup>
        </m:sSubSup>
        <m:r>
          <m:rPr/>
          <m:t>−</m:t>
        </m:r>
        <m:r>
          <m:rPr/>
          <m:t>2</m:t>
        </m:r>
        <m:r>
          <m:rPr/>
          <m:t>r</m:t>
        </m:r>
        <m:sSub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e</m:t>
            </m:r>
          </m:sub>
        </m:sSub>
        <m:sSub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</m:sub>
        </m:sSub>
      </m:oMath>
    </w:p>
    <w:p>
      <w:pPr>
        <w:pStyle w:val="BodyText"/>
      </w:pPr>
      <m:oMath>
        <m:r>
          <m:rPr/>
          <m:t>r</m:t>
        </m:r>
      </m:oMath>
      <w:r>
        <w:t xml:space="preserve">, the correlation between the pre-and-post measurements, was set to the</w:t>
      </w:r>
      <w:r>
        <w:t xml:space="preserve"> </w:t>
      </w:r>
      <w:r>
        <w:t xml:space="preserve">median of the correlations in the studies reporting the full set of metrics</w:t>
      </w:r>
      <w:r>
        <w:t xml:space="preserve"> </w:t>
      </w:r>
      <w:r>
        <w:t xml:space="preserve">(r = 0.28).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impute.change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(subtype !=</w:t>
      </w:r>
      <w:r>
        <w:rPr>
          <w:rStyle w:val="StringTok"/>
        </w:rPr>
        <w:t xml:space="preserve"> 'AACG'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(df, (PreOpIOPStdDev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(PreOpIOPStdDev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LastPeriodIOPStdDev)/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50% </w:t>
      </w:r>
      <w:r>
        <w:br w:type="textWrapping"/>
      </w:r>
      <w:r>
        <w:rPr>
          <w:rStyle w:val="VerbatimChar"/>
        </w:rPr>
        <w:t xml:space="preserve">## 0.2788965</w:t>
      </w:r>
    </w:p>
    <w:p>
      <w:pPr>
        <w:pStyle w:val="FirstParagraph"/>
      </w:pPr>
      <w:r>
        <w:t xml:space="preserve">The reported SD of the change in IOP in one study (Jacobi et al. 2002) implied a</w:t>
      </w:r>
      <w:r>
        <w:t xml:space="preserve"> </w:t>
      </w:r>
      <w:r>
        <w:t xml:space="preserve">pre-post correlation larger than 1; since the reported range of the IOP change was</w:t>
      </w:r>
      <w:r>
        <w:t xml:space="preserve"> </w:t>
      </w:r>
      <w:r>
        <w:t xml:space="preserve">also incompatible with the reported range, we replaced this SD with one</w:t>
      </w:r>
      <w:r>
        <w:t xml:space="preserve"> </w:t>
      </w:r>
      <w:r>
        <w:t xml:space="preserve">estimated from the reported pre- and post-surgery IOP SDs.</w:t>
      </w:r>
    </w:p>
    <w:p>
      <w:pPr>
        <w:pStyle w:val="BodyText"/>
      </w:pPr>
      <w:r>
        <w:t xml:space="preserve">Many studies reported several arms corresponding to different severities,</w:t>
      </w:r>
      <w:r>
        <w:t xml:space="preserve"> </w:t>
      </w:r>
      <w:r>
        <w:t xml:space="preserve">treatments and subtypes. For phacoemulsification studies, we aggregated</w:t>
      </w:r>
      <w:r>
        <w:t xml:space="preserve"> </w:t>
      </w:r>
      <w:r>
        <w:t xml:space="preserve">the data to obtain one arm per glaucoma subtype (ACG, OAG, PXG, AACG)</w:t>
      </w:r>
      <w:r>
        <w:t xml:space="preserve"> </w:t>
      </w:r>
      <w:r>
        <w:t xml:space="preserve">per study.</w:t>
      </w:r>
    </w:p>
    <w:p>
      <w:pPr>
        <w:pStyle w:val="BodyText"/>
      </w:pPr>
      <w:r>
        <w:t xml:space="preserve">After this step, the total number of arms and eyes per subtype was as follows: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fill.last=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'Prospective'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'Retrospective'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FinalPeriodEyes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(LastPeriodEyes))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(df_,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subtype=</w:t>
      </w:r>
      <w:r>
        <w:rPr>
          <w:rStyle w:val="StringTok"/>
        </w:rPr>
        <w:t xml:space="preserve">"(all)"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(n.prospective),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(n.retrospective),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FinalPeriodEyes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(FinalPeriodEyes)))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arms with 12 month+ follow up"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arms with 12 month+ follow up</w:t>
      </w:r>
    </w:p>
    <w:tbl>
      <w:tblPr>
        <w:tblStyle w:val="TableNormal"/>
        <w:tblW w:type="pct" w:w="0.0"/>
        <w:tblLook w:firstRow="1"/>
        <w:tblCaption w:val="Number of arms with 12 month+ follow 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n.prospective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n.retrospective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FinalPeriodEyes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794</w:t>
            </w:r>
          </w:p>
        </w:tc>
        <w:tc>
          <w:p>
            <w:pPr>
              <w:pStyle w:val="Compact"/>
              <w:jc w:val="right"/>
            </w:pPr>
            <w:r>
              <w:t xml:space="preserve">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1517</w:t>
            </w:r>
          </w:p>
        </w:tc>
        <w:tc>
          <w:p>
            <w:pPr>
              <w:pStyle w:val="Compact"/>
              <w:jc w:val="right"/>
            </w:pPr>
            <w:r>
              <w:t xml:space="preserve">1336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'Prospective'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'Retrospective'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(df_,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subtype=</w:t>
      </w:r>
      <w:r>
        <w:rPr>
          <w:rStyle w:val="StringTok"/>
        </w:rPr>
        <w:t xml:space="preserve">"(all)"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(n.prospective),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(n.retrospective),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arms across all studies"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arms across all studies</w:t>
      </w:r>
    </w:p>
    <w:tbl>
      <w:tblPr>
        <w:tblStyle w:val="TableNormal"/>
        <w:tblW w:type="pct" w:w="0.0"/>
        <w:tblLook w:firstRow="1"/>
        <w:tblCaption w:val="Number of arms across all stud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n.prospective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n.retrospective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PreOpEyes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2107</w:t>
            </w:r>
          </w:p>
        </w:tc>
      </w:tr>
    </w:tbl>
    <w:p>
      <w:pPr>
        <w:pStyle w:val="BodyText"/>
      </w:pPr>
      <w:r>
        <w:t xml:space="preserve">The full list of studies is as follow: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PreEyes=</w:t>
      </w:r>
      <w:r>
        <w:rPr>
          <w:rStyle w:val="NormalTok"/>
        </w:rPr>
        <w:t xml:space="preserve">PreOpEyes,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PreIOPMean=</w:t>
      </w:r>
      <w:r>
        <w:rPr>
          <w:rStyle w:val="NormalTok"/>
        </w:rPr>
        <w:t xml:space="preserve">PreOpIOPMean,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PreIOPSD=</w:t>
      </w:r>
      <w:r>
        <w:rPr>
          <w:rStyle w:val="NormalTok"/>
        </w:rPr>
        <w:t xml:space="preserve">PreOpIOPStdDev,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TimeofLastPostOp)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TimeofLastPostOp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48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14.5 +/- 4.4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31.1 +/-4.9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43.45 +/- 17.5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16.4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14.4 +/- 4.1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15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15.1 +/- 2.1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60 mo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PostEyes=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PostIOPMean=</w:t>
      </w:r>
      <w:r>
        <w:rPr>
          <w:rStyle w:val="NormalTok"/>
        </w:rPr>
        <w:t xml:space="preserve">LastPeriodIOPMean,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PostIOPSD=</w:t>
      </w:r>
      <w:r>
        <w:rPr>
          <w:rStyle w:val="NormalTok"/>
        </w:rPr>
        <w:t xml:space="preserve">LastPeriodIOPStdDev,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PostIOPChangeMean=</w:t>
      </w:r>
      <w:r>
        <w:rPr>
          <w:rStyle w:val="NormalTok"/>
        </w:rPr>
        <w:t xml:space="preserve">LastPeriodAbsIOPChangeMean,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PostIOPChangeSD=</w:t>
      </w:r>
      <w:r>
        <w:rPr>
          <w:rStyle w:val="NormalTok"/>
        </w:rPr>
        <w:t xml:space="preserve">LastPeriodAbsIOPChangeStdDev)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-47.1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-35.8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-44.5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-3.8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-8.4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-12.9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-2.9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-5.3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-7.4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-2.2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-14.0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-1.1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</w:tbl>
    <w:p>
      <w:pPr>
        <w:pStyle w:val="BodyText"/>
      </w:pPr>
      <w:r>
        <w:t xml:space="preserve">As one big table: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PreEyes=</w:t>
      </w:r>
      <w:r>
        <w:rPr>
          <w:rStyle w:val="NormalTok"/>
        </w:rPr>
        <w:t xml:space="preserve">PreOpEyes,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PreIOPMean=</w:t>
      </w:r>
      <w:r>
        <w:rPr>
          <w:rStyle w:val="NormalTok"/>
        </w:rPr>
        <w:t xml:space="preserve">PreOpIOPMean,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PreIOPSD=</w:t>
      </w:r>
      <w:r>
        <w:rPr>
          <w:rStyle w:val="NormalTok"/>
        </w:rPr>
        <w:t xml:space="preserve">PreOpIOPStdDev,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TimeofLastPostOp,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PostEyes=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PostIOPMean=</w:t>
      </w:r>
      <w:r>
        <w:rPr>
          <w:rStyle w:val="NormalTok"/>
        </w:rPr>
        <w:t xml:space="preserve">LastPeriodIOPMean,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PostIOPSD=</w:t>
      </w:r>
      <w:r>
        <w:rPr>
          <w:rStyle w:val="NormalTok"/>
        </w:rPr>
        <w:t xml:space="preserve">LastPeriodIOPStdDev,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PostIOPChangeMean=</w:t>
      </w:r>
      <w:r>
        <w:rPr>
          <w:rStyle w:val="NormalTok"/>
        </w:rPr>
        <w:t xml:space="preserve">LastPeriodAbsIOPChangeMean,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PostIOPChangeSD=</w:t>
      </w:r>
      <w:r>
        <w:rPr>
          <w:rStyle w:val="NormalTok"/>
        </w:rPr>
        <w:t xml:space="preserve">LastPeriodAbsIOPChangeStdDev)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TimeofLastPostOp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-47.1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48 mo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-35.8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-44.5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14.5 +/- 4.4 mo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-3.8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-8.4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31.1 +/-4.9 mo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-12.9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43.45 +/- 17.5 mo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16.4 mo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-2.9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-5.3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14.4 +/- 4.1 mo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15 mo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-7.4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-2.2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-14.0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15.1 +/- 2.1 mo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60 mo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-1.1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</w:tbl>
    <w:p>
      <w:pPr>
        <w:pStyle w:val="Heading1"/>
      </w:pPr>
      <w:bookmarkStart w:id="28" w:name="risk-of-bias"/>
      <w:bookmarkEnd w:id="28"/>
      <w:r>
        <w:t xml:space="preserve">12 &amp; 15. Risk of bias</w:t>
      </w:r>
    </w:p>
    <w:p>
      <w:pPr>
        <w:pStyle w:val="FirstParagraph"/>
      </w:pPr>
      <w:r>
        <w:t xml:space="preserve">A major source of bias is loss of follow-up. Retrospective and prospective</w:t>
      </w:r>
      <w:r>
        <w:t xml:space="preserve"> </w:t>
      </w:r>
      <w:r>
        <w:t xml:space="preserve">studies have different potential patterns of lossiness. Most retrospective</w:t>
      </w:r>
      <w:r>
        <w:t xml:space="preserve"> </w:t>
      </w:r>
      <w:r>
        <w:t xml:space="preserve">studies reported the IOP before and after surgery</w:t>
      </w:r>
      <w:r>
        <w:t xml:space="preserve"> </w:t>
      </w:r>
      <w:r>
        <w:rPr>
          <w:i/>
        </w:rPr>
        <w:t xml:space="preserve">for the same set of eyes</w:t>
      </w:r>
      <w:r>
        <w:t xml:space="preserve">,</w:t>
      </w:r>
      <w:r>
        <w:t xml:space="preserve"> </w:t>
      </w:r>
      <w:r>
        <w:t xml:space="preserve">which leaves the possibility that some eyes received surgery and were lost in</w:t>
      </w:r>
      <w:r>
        <w:t xml:space="preserve"> </w:t>
      </w:r>
      <w:r>
        <w:t xml:space="preserve">follow up, which is very hard to quantify. Prospective studies are less</w:t>
      </w:r>
      <w:r>
        <w:t xml:space="preserve"> </w:t>
      </w:r>
      <w:r>
        <w:t xml:space="preserve">problematic in this regard, as the number of eyes lost in follow-up is known.</w:t>
      </w:r>
    </w:p>
    <w:p>
      <w:pPr>
        <w:pStyle w:val="BodyText"/>
      </w:pPr>
      <w:r>
        <w:t xml:space="preserve">In the main text, we present the results of the analysis under a missing</w:t>
      </w:r>
      <w:r>
        <w:t xml:space="preserve"> </w:t>
      </w:r>
      <w:r>
        <w:t xml:space="preserve">completely at random (MCAR) assumption, which does do not attempt to correct for</w:t>
      </w:r>
      <w:r>
        <w:t xml:space="preserve"> </w:t>
      </w:r>
      <w:r>
        <w:t xml:space="preserve">these biases.</w:t>
      </w:r>
    </w:p>
    <w:p>
      <w:pPr>
        <w:pStyle w:val="BodyText"/>
      </w:pPr>
      <w:r>
        <w:t xml:space="preserve">In a supplementary analysis, we verify the robustness of the results by</w:t>
      </w:r>
      <w:r>
        <w:t xml:space="preserve"> </w:t>
      </w:r>
      <w:r>
        <w:t xml:space="preserve">considering the results of including just the prospective studies, which are</w:t>
      </w:r>
      <w:r>
        <w:t xml:space="preserve"> </w:t>
      </w:r>
      <w:r>
        <w:t xml:space="preserve">less subject to bias. We also perform a sensitivity analysis, where we estimate</w:t>
      </w:r>
      <w:r>
        <w:t xml:space="preserve"> </w:t>
      </w:r>
      <w:r>
        <w:t xml:space="preserve">how our results would change under an MNAR (missing not at random) scenario</w:t>
      </w:r>
      <w:r>
        <w:t xml:space="preserve"> </w:t>
      </w:r>
      <w:r>
        <w:t xml:space="preserve">where eyes with the worst outcomes are lost to follow up.</w:t>
      </w:r>
    </w:p>
    <w:p>
      <w:pPr>
        <w:pStyle w:val="BodyText"/>
      </w:pPr>
      <w:r>
        <w:t xml:space="preserve">Specifically, we consider what would happen if the eyes lost in follow-up had 0</w:t>
      </w:r>
      <w:r>
        <w:t xml:space="preserve"> </w:t>
      </w:r>
      <w:r>
        <w:t xml:space="preserve">change in IOP compared to the pre-period. We also considered what would happen</w:t>
      </w:r>
      <w:r>
        <w:t xml:space="preserve"> </w:t>
      </w:r>
      <w:r>
        <w:t xml:space="preserve">if the change in IOP in the group lost in follow-up was 5 mm Hg higher than in</w:t>
      </w:r>
      <w:r>
        <w:t xml:space="preserve"> </w:t>
      </w:r>
      <w:r>
        <w:t xml:space="preserve">the observed group (ref Metaanalysis an introduction with R).</w:t>
      </w:r>
    </w:p>
    <w:p>
      <w:pPr>
        <w:pStyle w:val="BodyText"/>
      </w:pPr>
      <w:r>
        <w:t xml:space="preserve">Because the loss of follow-up in the prospective group was rather mild (table</w:t>
      </w:r>
      <w:r>
        <w:t xml:space="preserve"> </w:t>
      </w:r>
      <w:r>
        <w:t xml:space="preserve">below), the results were not very sensitive to this form of loss, except in the</w:t>
      </w:r>
      <w:r>
        <w:t xml:space="preserve"> </w:t>
      </w:r>
      <w:r>
        <w:t xml:space="preserve">case of PXG, where only two prospective studies have been performed, and they</w:t>
      </w:r>
      <w:r>
        <w:t xml:space="preserve"> </w:t>
      </w:r>
      <w:r>
        <w:t xml:space="preserve">both had significant loss in follow up.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filter.data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'prospective'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(subtype !=</w:t>
      </w:r>
      <w:r>
        <w:rPr>
          <w:rStyle w:val="StringTok"/>
        </w:rPr>
        <w:t xml:space="preserve"> 'AACG'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frac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(df_$PreOpEyes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df_$LastPeriodEyes)/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df_$PreOpEyes</w:t>
      </w:r>
      <w:r>
        <w:br w:type="textWrapping"/>
      </w:r>
      <w:r>
        <w:rPr>
          <w:rStyle w:val="NormalTok"/>
        </w:rPr>
        <w:t xml:space="preserve">frac.range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"fraction with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(frac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(frac),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(frac.range,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with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 loss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BodyText"/>
      </w:pPr>
      <w:r>
        <w:t xml:space="preserve">Small studies often show larger magnitude effects because of the so-called file</w:t>
      </w:r>
      <w:r>
        <w:t xml:space="preserve"> </w:t>
      </w:r>
      <w:r>
        <w:t xml:space="preserve">drawer problem: the tendency of negative results from small-scale studies to</w:t>
      </w:r>
      <w:r>
        <w:t xml:space="preserve"> </w:t>
      </w:r>
      <w:r>
        <w:t xml:space="preserve">never get published (ref meta-analysis book). We used standard funnel plot based</w:t>
      </w:r>
      <w:r>
        <w:t xml:space="preserve"> </w:t>
      </w:r>
      <w:r>
        <w:t xml:space="preserve">methods to check if this was the case. In fact, the data showed an unusual,</w:t>
      </w:r>
      <w:r>
        <w:t xml:space="preserve"> </w:t>
      </w:r>
      <w:r>
        <w:t xml:space="preserve">opposite trend: the larger studies tended to show the largest effects, an effect</w:t>
      </w:r>
      <w:r>
        <w:t xml:space="preserve"> </w:t>
      </w:r>
      <w:r>
        <w:t xml:space="preserve">we attribute to washout. We discuss this in detail in the main results.</w:t>
      </w:r>
    </w:p>
    <w:p>
      <w:pPr>
        <w:pStyle w:val="BodyText"/>
      </w:pPr>
      <w:r>
        <w:t xml:space="preserve">A final, important source of bias is the lack of a true control group. It would</w:t>
      </w:r>
      <w:r>
        <w:t xml:space="preserve"> </w:t>
      </w:r>
      <w:r>
        <w:t xml:space="preserve">very difficult to create a true control -- sham surgery -- and unethical to not</w:t>
      </w:r>
      <w:r>
        <w:t xml:space="preserve"> </w:t>
      </w:r>
      <w:r>
        <w:t xml:space="preserve">subject patients to any treatments. We addressed this concern by aggregating</w:t>
      </w:r>
      <w:r>
        <w:t xml:space="preserve"> </w:t>
      </w:r>
      <w:r>
        <w:t xml:space="preserve">information from Stage II trials and from prevention studies to get a very coarse</w:t>
      </w:r>
      <w:r>
        <w:t xml:space="preserve"> </w:t>
      </w:r>
      <w:r>
        <w:t xml:space="preserve">estimate of how large this effect might be (refs) - the estimates range</w:t>
      </w:r>
      <w:r>
        <w:t xml:space="preserve"> </w:t>
      </w:r>
      <w:r>
        <w:t xml:space="preserve">from 1 to 2.5 mm Hg. This estimate is necessarily very crude, because the</w:t>
      </w:r>
      <w:r>
        <w:br w:type="textWrapping"/>
      </w:r>
      <w:r>
        <w:t xml:space="preserve">test populations are not comparable (ref improper metaanalysis in glaucoma), but</w:t>
      </w:r>
      <w:r>
        <w:t xml:space="preserve"> </w:t>
      </w:r>
      <w:r>
        <w:t xml:space="preserve">such an estimate, no matter how coarse, is important. In particular, the estimate</w:t>
      </w:r>
      <w:r>
        <w:t xml:space="preserve"> </w:t>
      </w:r>
      <w:r>
        <w:t xml:space="preserve">should be taken into account when interpreting the extant data, and also for</w:t>
      </w:r>
      <w:r>
        <w:t xml:space="preserve"> </w:t>
      </w:r>
      <w:r>
        <w:t xml:space="preserve">preparing a power analysis in future studies.</w:t>
      </w:r>
    </w:p>
    <w:p>
      <w:pPr>
        <w:pStyle w:val="Heading1"/>
      </w:pPr>
      <w:bookmarkStart w:id="29" w:name="synthesis-of-results"/>
      <w:bookmarkEnd w:id="29"/>
      <w:r>
        <w:t xml:space="preserve">14. Synthesis of results</w:t>
      </w:r>
    </w:p>
    <w:p>
      <w:pPr>
        <w:pStyle w:val="FirstParagraph"/>
      </w:pPr>
      <w:r>
        <w:t xml:space="preserve">We used standard random-effects meta-analysis for continuous outcomes (ref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package in R; ref book) throughout the text.</w:t>
      </w:r>
    </w:p>
    <w:p>
      <w:pPr>
        <w:pStyle w:val="Heading1"/>
      </w:pPr>
      <w:bookmarkStart w:id="30" w:name="additional-analyses"/>
      <w:bookmarkEnd w:id="30"/>
      <w:r>
        <w:t xml:space="preserve">15. Additional analyses</w:t>
      </w:r>
    </w:p>
    <w:p>
      <w:pPr>
        <w:pStyle w:val="FirstParagraph"/>
      </w:pPr>
      <w:r>
        <w:t xml:space="preserve">In our main metaanalysis, we estimated the change in IOP that followed</w:t>
      </w:r>
      <w:r>
        <w:t xml:space="preserve"> </w:t>
      </w:r>
      <w:r>
        <w:t xml:space="preserve">phacoemulsification. An ideal analysis would instead estimate the</w:t>
      </w:r>
      <w:r>
        <w:t xml:space="preserve"> </w:t>
      </w:r>
      <w:r>
        <w:rPr>
          <w:i/>
        </w:rPr>
        <w:t xml:space="preserve">causal</w:t>
      </w:r>
      <w:r>
        <w:t xml:space="preserve"> </w:t>
      </w:r>
      <w:r>
        <w:t xml:space="preserve">effect of surgery. The causal effect of surgery is the change in IOP following</w:t>
      </w:r>
      <w:r>
        <w:t xml:space="preserve"> </w:t>
      </w:r>
      <w:r>
        <w:t xml:space="preserve">the intervention, holding all other variables fixed, compared to what would have</w:t>
      </w:r>
      <w:r>
        <w:t xml:space="preserve"> </w:t>
      </w:r>
      <w:r>
        <w:t xml:space="preserve">happened if we did not perform surgery (ref causal impact). In a complementary</w:t>
      </w:r>
      <w:r>
        <w:t xml:space="preserve"> </w:t>
      </w:r>
      <w:r>
        <w:t xml:space="preserve">analysis, we estimated this causal effect.</w:t>
      </w:r>
    </w:p>
    <w:p>
      <w:pPr>
        <w:pStyle w:val="BodyText"/>
      </w:pPr>
      <w:r>
        <w:t xml:space="preserve">Following surgery, glaucoma medications are frequently adjusted; an ideal</w:t>
      </w:r>
      <w:r>
        <w:t xml:space="preserve"> </w:t>
      </w:r>
      <w:r>
        <w:t xml:space="preserve">experiment would hold medications fixed. Studies with washout in the pre- and</w:t>
      </w:r>
      <w:r>
        <w:t xml:space="preserve"> </w:t>
      </w:r>
      <w:r>
        <w:t xml:space="preserve">post- periods - temporary interruption of medication - offer an excellent</w:t>
      </w:r>
      <w:r>
        <w:t xml:space="preserve"> </w:t>
      </w:r>
      <w:r>
        <w:t xml:space="preserve">approximation to the ideal fixed medication experiment.</w:t>
      </w:r>
    </w:p>
    <w:p>
      <w:pPr>
        <w:pStyle w:val="BodyText"/>
      </w:pPr>
      <w:r>
        <w:t xml:space="preserve">For the studies without washout, we estimated a net effect of surgery: the sum</w:t>
      </w:r>
      <w:r>
        <w:t xml:space="preserve"> </w:t>
      </w:r>
      <w:r>
        <w:t xml:space="preserve">of the measured effect in IOP and the expected change on IOP if medications has</w:t>
      </w:r>
      <w:r>
        <w:t xml:space="preserve"> </w:t>
      </w:r>
      <w:r>
        <w:t xml:space="preserve">been fixed to their number in the pre-surgery period. Because we did not know</w:t>
      </w:r>
      <w:r>
        <w:t xml:space="preserve"> </w:t>
      </w:r>
      <w:r>
        <w:t xml:space="preserve">the exact mix of medications used in each study, we used timolol as our</w:t>
      </w:r>
      <w:r>
        <w:t xml:space="preserve"> </w:t>
      </w:r>
      <w:r>
        <w:t xml:space="preserve">reference. Timolol is the most commonly prescribed glaucoma medication, and in a</w:t>
      </w:r>
      <w:r>
        <w:t xml:space="preserve"> </w:t>
      </w:r>
      <w:r>
        <w:t xml:space="preserve">recent meta-analysis, it showed an efficacy close to the mean of all tested</w:t>
      </w:r>
      <w:r>
        <w:t xml:space="preserve"> </w:t>
      </w:r>
      <w:r>
        <w:t xml:space="preserve">medications (3.8 mmHg; ref).</w:t>
      </w:r>
    </w:p>
    <w:p>
      <w:pPr>
        <w:pStyle w:val="BodyText"/>
      </w:pPr>
      <w:r>
        <w:t xml:space="preserve">In practice, if a study without washout reported a change in IOP of -2 mmHg, and</w:t>
      </w:r>
      <w:r>
        <w:t xml:space="preserve"> </w:t>
      </w:r>
      <w:r>
        <w:t xml:space="preserve">a mean decrease in numbers of meds of 1 in the post-period, we attributed a net</w:t>
      </w:r>
      <w:r>
        <w:t xml:space="preserve"> </w:t>
      </w:r>
      <w:r>
        <w:t xml:space="preserve">decrease of 5.8 mm Hg in IOP. For a study with washout in the pre- and post-</w:t>
      </w:r>
      <w:r>
        <w:t xml:space="preserve"> </w:t>
      </w:r>
      <w:r>
        <w:t xml:space="preserve">periods, the attributed net change in IOP was simply the reported change in IOP.</w:t>
      </w:r>
    </w:p>
    <w:p>
      <w:pPr>
        <w:pStyle w:val="BodyText"/>
      </w:pPr>
      <w:r>
        <w:t xml:space="preserve">To this net effect, we must subtract the change in IOP that would have occured</w:t>
      </w:r>
      <w:r>
        <w:t xml:space="preserve"> </w:t>
      </w:r>
      <w:r>
        <w:t xml:space="preserve">in a hypothetical control arm. As outlined in the</w:t>
      </w:r>
      <w:r>
        <w:t xml:space="preserve"> </w:t>
      </w:r>
      <w:r>
        <w:rPr>
          <w:i/>
        </w:rPr>
        <w:t xml:space="preserve">Risk of bias</w:t>
      </w:r>
      <w:r>
        <w:t xml:space="preserve"> </w:t>
      </w:r>
      <w:r>
        <w:t xml:space="preserve">section, we do</w:t>
      </w:r>
      <w:r>
        <w:t xml:space="preserve"> </w:t>
      </w:r>
      <w:r>
        <w:t xml:space="preserve">not have great estimates of this quantity. In the graph for this analysis, we</w:t>
      </w:r>
      <w:r>
        <w:t xml:space="preserve"> </w:t>
      </w:r>
      <w:r>
        <w:t xml:space="preserve">indicate our best guess for this quantity (-2 mmHg), based on the extant data.</w:t>
      </w:r>
    </w:p>
    <w:p>
      <w:pPr>
        <w:pStyle w:val="BodyText"/>
      </w:pPr>
      <w:r>
        <w:t xml:space="preserve">We believe this is a conservative estimate of the net causal impact of surgery for</w:t>
      </w:r>
      <w:r>
        <w:t xml:space="preserve"> </w:t>
      </w:r>
      <w:r>
        <w:t xml:space="preserve">three reasons:</w:t>
      </w:r>
    </w:p>
    <w:p>
      <w:pPr>
        <w:pStyle w:val="Compact"/>
        <w:numPr>
          <w:numId w:val="1001"/>
          <w:ilvl w:val="0"/>
        </w:numPr>
      </w:pPr>
      <w:r>
        <w:t xml:space="preserve">Baseline: in studies without washout, the starting baseline was generally</w:t>
      </w:r>
      <w:r>
        <w:t xml:space="preserve"> </w:t>
      </w:r>
      <w:r>
        <w:t xml:space="preserve">lower because of the use of drugs to control IOP. It's likely that surgery</w:t>
      </w:r>
      <w:r>
        <w:t xml:space="preserve"> </w:t>
      </w:r>
      <w:r>
        <w:t xml:space="preserve">would show a larger effect on IOP when starting from a larger baseline.</w:t>
      </w:r>
    </w:p>
    <w:p>
      <w:pPr>
        <w:pStyle w:val="Compact"/>
        <w:numPr>
          <w:numId w:val="1001"/>
          <w:ilvl w:val="0"/>
        </w:numPr>
      </w:pPr>
      <w:r>
        <w:t xml:space="preserve">Substitution of drugs: studies did not report the mix of medications they</w:t>
      </w:r>
      <w:r>
        <w:t xml:space="preserve"> </w:t>
      </w:r>
      <w:r>
        <w:t xml:space="preserve">used on patients. It's possible that more efficacious drugs that were less</w:t>
      </w:r>
      <w:r>
        <w:t xml:space="preserve"> </w:t>
      </w:r>
      <w:r>
        <w:t xml:space="preserve">well tolerated were substituted for less powerful drugs with better side</w:t>
      </w:r>
      <w:r>
        <w:t xml:space="preserve"> </w:t>
      </w:r>
      <w:r>
        <w:t xml:space="preserve">effect profiles once IOP was relatively well controlled.</w:t>
      </w:r>
    </w:p>
    <w:p>
      <w:pPr>
        <w:pStyle w:val="Compact"/>
        <w:numPr>
          <w:numId w:val="1001"/>
          <w:ilvl w:val="0"/>
        </w:numPr>
      </w:pPr>
      <w:r>
        <w:t xml:space="preserve">Intent-to-treat: in the real world, adherence for preventive drugs can be</w:t>
      </w:r>
      <w:r>
        <w:t xml:space="preserve"> </w:t>
      </w:r>
      <w:r>
        <w:t xml:space="preserve">low. Surgery does not suffer such an adherence problem, so its net relative</w:t>
      </w:r>
      <w:r>
        <w:t xml:space="preserve"> </w:t>
      </w:r>
      <w:r>
        <w:t xml:space="preserve">effect can be amplified compared to meds in an intent-to-treat analysis.</w:t>
      </w:r>
    </w:p>
    <w:p>
      <w:pPr>
        <w:pStyle w:val="Heading1"/>
      </w:pPr>
      <w:bookmarkStart w:id="31" w:name="other-things-to-discuss"/>
      <w:bookmarkEnd w:id="31"/>
      <w:r>
        <w:t xml:space="preserve">Other things to discuss</w:t>
      </w:r>
    </w:p>
    <w:p>
      <w:pPr>
        <w:pStyle w:val="Compact"/>
        <w:numPr>
          <w:numId w:val="1002"/>
          <w:ilvl w:val="0"/>
        </w:numPr>
      </w:pPr>
      <w:r>
        <w:t xml:space="preserve">Very little change across time</w:t>
      </w:r>
    </w:p>
    <w:p>
      <w:pPr>
        <w:pStyle w:val="Compact"/>
        <w:numPr>
          <w:numId w:val="1002"/>
          <w:ilvl w:val="0"/>
        </w:numPr>
      </w:pPr>
      <w:r>
        <w:t xml:space="preserve">Sensitivity to loss of follow up</w:t>
      </w:r>
    </w:p>
    <w:p>
      <w:pPr>
        <w:pStyle w:val="Compact"/>
        <w:numPr>
          <w:numId w:val="1002"/>
          <w:ilvl w:val="0"/>
        </w:numPr>
      </w:pPr>
      <w:r>
        <w:t xml:space="preserve">Ideal experiment design based on review of literature</w:t>
      </w:r>
    </w:p>
    <w:p>
      <w:pPr>
        <w:pStyle w:val="Compact"/>
        <w:numPr>
          <w:numId w:val="1002"/>
          <w:ilvl w:val="0"/>
        </w:numPr>
      </w:pPr>
      <w:r>
        <w:t xml:space="preserve">For PXG, there's high loss of follow up, and few good studies -- more</w:t>
      </w:r>
      <w:r>
        <w:t xml:space="preserve"> </w:t>
      </w:r>
      <w:r>
        <w:t xml:space="preserve">research is necessary.</w:t>
      </w:r>
    </w:p>
    <w:p>
      <w:pPr>
        <w:pStyle w:val="Heading1"/>
      </w:pPr>
      <w:bookmarkStart w:id="32" w:name="additional-references"/>
      <w:bookmarkEnd w:id="32"/>
      <w:r>
        <w:t xml:space="preserve">Additional references</w:t>
      </w:r>
    </w:p>
    <w:p>
      <w:pPr>
        <w:pStyle w:val="Compact"/>
        <w:numPr>
          <w:numId w:val="1003"/>
          <w:ilvl w:val="0"/>
        </w:numPr>
      </w:pPr>
      <w:r>
        <w:t xml:space="preserve">Borenstein et al. (2009), Introduction to Meta-Analysis.</w:t>
      </w:r>
      <w:r>
        <w:t xml:space="preserve"> </w:t>
      </w:r>
      <w:hyperlink r:id="rId33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Schwarzer et al. (2015), Meta-analysis with R.</w:t>
      </w:r>
      <w:r>
        <w:t xml:space="preserve"> </w:t>
      </w:r>
      <w:hyperlink r:id="rId34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Kadic et al. (2016), Extracting data from figures with software was faster, with higher interrater reliability than manual extraction.</w:t>
      </w:r>
      <w:r>
        <w:t xml:space="preserve"> </w:t>
      </w:r>
      <w:hyperlink r:id="rId24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Li &amp; Dickersin (2013), Citation of Previous Meta-analyses on the Same Topic: A Clue to Perpetuation of Incorrect Methods?</w:t>
      </w:r>
      <w:r>
        <w:t xml:space="preserve"> </w:t>
      </w:r>
      <w:hyperlink r:id="rId35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Li et al. (2016), Comparative Effectiveness of First-Line Medications for Primary Open-Angle Glaucoma: A Systematic Review and Network Meta-analysis.</w:t>
      </w:r>
      <w:r>
        <w:t xml:space="preserve"> </w:t>
      </w:r>
      <w:hyperlink r:id="rId36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Imbens &amp; Rubin (2015), Causal Inference for Statistics, Social, and Biomedical Sciences: An Introduction.</w:t>
      </w:r>
      <w:r>
        <w:t xml:space="preserve"> </w:t>
      </w:r>
      <w:hyperlink r:id="rId37">
        <w:r>
          <w:rPr>
            <w:rStyle w:val="Hyperlink"/>
          </w:rPr>
          <w:t xml:space="preserve">[Link]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566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9e6c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rohatgi.info/WebPlotDigitizer/" TargetMode="External" /><Relationship Type="http://schemas.openxmlformats.org/officeDocument/2006/relationships/hyperlink" Id="rId21" Target="http://prisma-statement.org/documents/PRISMA%202009%20checklist.pdf" TargetMode="External" /><Relationship Type="http://schemas.openxmlformats.org/officeDocument/2006/relationships/hyperlink" Id="rId34" Target="http://www.springer.com/gp/book/9783319214153" TargetMode="External" /><Relationship Type="http://schemas.openxmlformats.org/officeDocument/2006/relationships/hyperlink" Id="rId37" Target="https://www.amazon.com/Causal-Inference-Statistics-Biomedical-Sciences/dp/0521885884" TargetMode="External" /><Relationship Type="http://schemas.openxmlformats.org/officeDocument/2006/relationships/hyperlink" Id="rId33" Target="https://www.amazon.com/Introduction-Meta-Analysis-Michael-Borenstein/dp/0470057246" TargetMode="External" /><Relationship Type="http://schemas.openxmlformats.org/officeDocument/2006/relationships/hyperlink" Id="rId35" Target="https://www.ncbi.nlm.nih.gov/pmc/articles/PMC4730544/" TargetMode="External" /><Relationship Type="http://schemas.openxmlformats.org/officeDocument/2006/relationships/hyperlink" Id="rId36" Target="https://www.ncbi.nlm.nih.gov/pubmed/26526633" TargetMode="External" /><Relationship Type="http://schemas.openxmlformats.org/officeDocument/2006/relationships/hyperlink" Id="rId24" Target="https://www.ncbi.nlm.nih.gov/pubmed/267802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ohatgi.info/WebPlotDigitizer/" TargetMode="External" /><Relationship Type="http://schemas.openxmlformats.org/officeDocument/2006/relationships/hyperlink" Id="rId21" Target="http://prisma-statement.org/documents/PRISMA%202009%20checklist.pdf" TargetMode="External" /><Relationship Type="http://schemas.openxmlformats.org/officeDocument/2006/relationships/hyperlink" Id="rId34" Target="http://www.springer.com/gp/book/9783319214153" TargetMode="External" /><Relationship Type="http://schemas.openxmlformats.org/officeDocument/2006/relationships/hyperlink" Id="rId37" Target="https://www.amazon.com/Causal-Inference-Statistics-Biomedical-Sciences/dp/0521885884" TargetMode="External" /><Relationship Type="http://schemas.openxmlformats.org/officeDocument/2006/relationships/hyperlink" Id="rId33" Target="https://www.amazon.com/Introduction-Meta-Analysis-Michael-Borenstein/dp/0470057246" TargetMode="External" /><Relationship Type="http://schemas.openxmlformats.org/officeDocument/2006/relationships/hyperlink" Id="rId35" Target="https://www.ncbi.nlm.nih.gov/pmc/articles/PMC4730544/" TargetMode="External" /><Relationship Type="http://schemas.openxmlformats.org/officeDocument/2006/relationships/hyperlink" Id="rId36" Target="https://www.ncbi.nlm.nih.gov/pubmed/26526633" TargetMode="External" /><Relationship Type="http://schemas.openxmlformats.org/officeDocument/2006/relationships/hyperlink" Id="rId24" Target="https://www.ncbi.nlm.nih.gov/pubmed/267802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and results</dc:title>
  <dc:creator/>
</cp:coreProperties>
</file>