
<file path=word/document.xml><?xml version="1.0" encoding="utf-8"?>
<w:document xmlns:a="http://schemas.openxmlformats.org/drawingml/2006/main" xmlns:ns1="http://schemas.openxmlformats.org/markup-compatibility/2006" xmlns:ns2="http://schemas.microsoft.com/office/word/2010/wordml" xmlns:ns3="http://schemas.openxmlformats.org/drawingml/2006/wordprocessingDrawing" xmlns:ns4="http://schemas.microsoft.com/office/word/2010/wordprocessingDrawing" xmlns:ns6="http://schemas.openxmlformats.org/drawingml/2006/picture" xmlns:ns8="http://schemas.microsoft.com/office/drawing/2016/SVG/main" xmlns:r="http://schemas.openxmlformats.org/officeDocument/2006/relationships" xmlns:w="http://schemas.openxmlformats.org/wordprocessingml/2006/main" ns1:Ignorable="w14 w15 w16se w16cid w16 w16cex w16sdtdh w16sdtfl w16du wp14">
  <w:body>
    <w:p>
      <w:pPr>
        <w:pStyle w:val="TOC3"/>
        <w:rPr>
          <w:rFonts w:asciiTheme="minorHAnsi" w:eastAsiaTheme="minorEastAsia" w:hAnsiTheme="minorHAnsi" w:cstheme="minorBidi"/>
          <w:noProof/>
          <w:kern w:val="2"/>
          <w:sz w:val="24"/>
          <w:szCs w:val="24"/>
          <w:lang w:val="en-AU"/>
          <ns2:ligatures ns2:val="standardContextual"/>
        </w:rPr>
      </w:pPr>
      <w:hyperlink w:anchor="_Toc229240484" w:history="1">
        <w:r>
          <w:rPr>
            <w:rStyle w:val="Hyperlink"/>
            <w:noProof/>
          </w:rPr>
          <w:t>Delivering on the Economic and Fiscal Strategy</w:t>
        </w:r>
        <w:r>
          <w:rPr>
            <w:noProof/>
            <w:webHidden/>
          </w:rPr>
          <w:tab/>
        </w:r>
        <w:r>
          <w:rPr>
            <w:noProof/>
            <w:webHidden/>
          </w:rPr>
          <w:fldChar w:fldCharType="begin"/>
        </w:r>
        <w:r>
          <w:rPr>
            <w:noProof/>
            <w:webHidden/>
          </w:rPr>
          <w:instrText xml:space="preserve"> PAGEREF _Toc229240484 \h </w:instrText>
        </w:r>
        <w:r>
          <w:rPr>
            <w:noProof/>
            <w:webHidden/>
          </w:rPr>
        </w:r>
        <w:r>
          <w:rPr>
            <w:noProof/>
            <w:webHidden/>
          </w:rPr>
          <w:fldChar w:fldCharType="separate"/>
        </w:r>
        <w:r>
          <w:rPr>
            <w:noProof/>
            <w:webHidden/>
          </w:rPr>
          <w:t>88</w:t>
        </w:r>
        <w:r>
          <w:rPr>
            <w:noProof/>
            <w:webHidden/>
          </w:rPr>
          <w:fldChar w:fldCharType="end"/>
        </w:r>
      </w:hyperlink>
    </w:p>
    <w:p>
      <w:pPr>
        <w:pStyle w:val="TableHeading"/>
        <w:rPr>
          <w:rFonts w:eastAsiaTheme="minorHAnsi"/>
        </w:rPr>
      </w:pPr>
      <w:r>
        <w:t xml:space="preserve">Table 3.1: Australian Government general government sector budget aggregates </w:t>
      </w:r>
      <w:bookmarkStart w:id="1" w:name="_1804087844"/>
      <w:bookmarkStart w:id="2" w:name="_1804079193"/>
      <w:bookmarkStart w:id="3" w:name="_1804081566"/>
      <w:bookmarkStart w:id="4" w:name="_1804081241"/>
      <w:bookmarkStart w:id="5" w:name="_1804082926"/>
      <w:bookmarkStart w:id="6" w:name="_1804087520"/>
      <w:bookmarkStart w:id="7" w:name="_1804083583"/>
      <w:bookmarkStart w:id="8" w:name="_1804083505"/>
      <w:bookmarkStart w:id="9" w:name="_1804084282"/>
      <w:bookmarkEnd w:id="1"/>
      <w:bookmarkEnd w:id="2"/>
      <w:bookmarkEnd w:id="3"/>
      <w:bookmarkEnd w:id="4"/>
      <w:bookmarkEnd w:id="5"/>
      <w:bookmarkEnd w:id="6"/>
      <w:bookmarkEnd w:id="7"/>
      <w:bookmarkEnd w:id="8"/>
      <w:bookmarkEnd w:id="9"/>
    </w:p>
    <w:tbl>
      <w:tblPr>
        <w:tblW w:w="5000" w:type="pct"/>
        <w:tblCellMar>
          <w:left w:w="0" w:type="dxa"/>
          <w:right w:w="28" w:type="dxa"/>
        </w:tblCellMar>
        <w:tblLook w:val="04A0" w:firstRow="1" w:lastRow="0" w:firstColumn="1" w:lastColumn="0" w:noHBand="0" w:noVBand="1"/>
      </w:tblPr>
      <w:tblGrid>
        <w:gridCol w:w="2156"/>
        <w:gridCol w:w="644"/>
        <w:gridCol w:w="87"/>
        <w:gridCol w:w="633"/>
        <w:gridCol w:w="631"/>
        <w:gridCol w:w="631"/>
        <w:gridCol w:w="631"/>
        <w:gridCol w:w="633"/>
        <w:gridCol w:w="88"/>
        <w:gridCol w:w="651"/>
        <w:gridCol w:w="105"/>
        <w:gridCol w:w="820"/>
      </w:tblGrid>
      <w:tr>
        <w:trPr>
          <w:trHeight w:hRule="exact" w:val="225"/>
        </w:trPr>
        <w:tc>
          <w:tcPr>
            <w:tcW w:w="1401" w:type="pct"/>
            <w:tcBorders>
              <w:top w:val="single" w:sz="4" w:space="0" w:color="293F5B"/>
              <w:left w:val="nil"/>
              <w:bottom w:val="nil"/>
              <w:right w:val="nil"/>
            </w:tcBorders>
            <w:shd w:val="clear" w:color="000000" w:fill="FFFFFF"/>
            <w:noWrap/>
            <w:vAlign w:val="center"/>
            <w:hideMark/>
          </w:tcPr>
          <w:p>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20" w:type="pct"/>
            <w:tcBorders>
              <w:top w:val="single" w:sz="4" w:space="0" w:color="293F5B"/>
              <w:left w:val="nil"/>
              <w:bottom w:val="single" w:sz="4" w:space="0" w:color="auto"/>
              <w:right w:val="nil"/>
            </w:tcBorders>
            <w:shd w:val="clear" w:color="000000" w:fill="FFFFFF"/>
            <w:noWrap/>
            <w:vAlign w:val="center"/>
            <w:hideMark/>
          </w:tcPr>
          <w:p>
            <w:pPr>
              <w:spacing w:before="0" w:after="0" w:line="240" w:lineRule="auto"/>
              <w:jc w:val="center"/>
              <w:rPr>
                <w:rFonts w:ascii="Arial" w:hAnsi="Arial" w:cs="Arial"/>
                <w:sz w:val="16"/>
                <w:szCs w:val="16"/>
              </w:rPr>
            </w:pPr>
            <w:r>
              <w:rPr>
                <w:rFonts w:ascii="Arial" w:hAnsi="Arial" w:cs="Arial"/>
                <w:sz w:val="16"/>
                <w:szCs w:val="16"/>
              </w:rPr>
              <w:t>Actual</w:t>
            </w:r>
          </w:p>
        </w:tc>
        <w:tc>
          <w:tcPr>
            <w:tcW w:w="59" w:type="pct"/>
            <w:tcBorders>
              <w:top w:val="single" w:sz="4" w:space="0" w:color="293F5B"/>
              <w:left w:val="nil"/>
              <w:bottom w:val="nil"/>
              <w:right w:val="nil"/>
            </w:tcBorders>
            <w:shd w:val="clear" w:color="000000" w:fill="FFFFFF"/>
            <w:noWrap/>
            <w:vAlign w:val="center"/>
            <w:hideMark/>
          </w:tcPr>
          <w:p>
            <w:pPr>
              <w:spacing w:before="0" w:after="0" w:line="240" w:lineRule="auto"/>
              <w:jc w:val="center"/>
              <w:rPr>
                <w:rFonts w:ascii="Arial" w:hAnsi="Arial" w:cs="Arial"/>
                <w:color w:val="000000"/>
                <w:sz w:val="16"/>
                <w:szCs w:val="16"/>
              </w:rPr>
            </w:pPr>
            <w:r>
              <w:rPr>
                <w:rFonts w:ascii="Arial" w:hAnsi="Arial" w:cs="Arial"/>
                <w:color w:val="000000"/>
                <w:sz w:val="16"/>
                <w:szCs w:val="16"/>
              </w:rPr>
              <w:t> </w:t>
            </w:r>
          </w:p>
        </w:tc>
        <w:tc>
          <w:tcPr>
            <w:tcW w:w="2062" w:type="pct"/>
            <w:gridSpan w:val="5"/>
            <w:tcBorders>
              <w:top w:val="single" w:sz="4" w:space="0" w:color="293F5B"/>
              <w:left w:val="nil"/>
              <w:bottom w:val="single" w:sz="4" w:space="0" w:color="293F5B"/>
              <w:right w:val="nil"/>
            </w:tcBorders>
            <w:shd w:val="clear" w:color="000000" w:fill="FFFFFF"/>
            <w:noWrap/>
            <w:vAlign w:val="center"/>
            <w:hideMark/>
          </w:tcPr>
          <w:p>
            <w:pPr>
              <w:spacing w:before="0" w:after="0" w:line="240" w:lineRule="auto"/>
              <w:jc w:val="center"/>
              <w:rPr>
                <w:rFonts w:ascii="Arial" w:hAnsi="Arial" w:cs="Arial"/>
                <w:color w:val="000000"/>
                <w:sz w:val="16"/>
                <w:szCs w:val="16"/>
              </w:rPr>
            </w:pPr>
            <w:r>
              <w:rPr>
                <w:rFonts w:ascii="Arial" w:hAnsi="Arial" w:cs="Arial"/>
                <w:color w:val="000000"/>
                <w:sz w:val="16"/>
                <w:szCs w:val="16"/>
              </w:rPr>
              <w:t>Estimates</w:t>
            </w:r>
          </w:p>
        </w:tc>
        <w:tc>
          <w:tcPr>
            <w:tcW w:w="59" w:type="pct"/>
            <w:tcBorders>
              <w:top w:val="single" w:sz="4" w:space="0" w:color="293F5B"/>
              <w:left w:val="nil"/>
              <w:bottom w:val="nil"/>
              <w:right w:val="nil"/>
            </w:tcBorders>
            <w:shd w:val="clear" w:color="000000" w:fill="FFFFFF"/>
            <w:noWrap/>
            <w:vAlign w:val="center"/>
            <w:hideMark/>
          </w:tcPr>
          <w:p>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20" w:type="pct"/>
            <w:tcBorders>
              <w:top w:val="single" w:sz="4" w:space="0" w:color="293F5B"/>
              <w:left w:val="nil"/>
              <w:bottom w:val="nil"/>
              <w:right w:val="nil"/>
            </w:tcBorders>
            <w:shd w:val="clear" w:color="000000" w:fill="FFFFFF"/>
            <w:noWrap/>
            <w:vAlign w:val="center"/>
            <w:hideMark/>
          </w:tcPr>
          <w:p>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70" w:type="pct"/>
            <w:tcBorders>
              <w:top w:val="single" w:sz="4" w:space="0" w:color="293F5B"/>
              <w:left w:val="nil"/>
              <w:bottom w:val="nil"/>
              <w:right w:val="nil"/>
            </w:tcBorders>
            <w:shd w:val="clear" w:color="000000" w:fill="FFFFFF"/>
            <w:noWrap/>
            <w:vAlign w:val="center"/>
            <w:hideMark/>
          </w:tcPr>
          <w:p>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510" w:type="pct"/>
            <w:tcBorders>
              <w:top w:val="single" w:sz="4" w:space="0" w:color="293F5B"/>
              <w:left w:val="nil"/>
              <w:bottom w:val="nil"/>
              <w:right w:val="nil"/>
            </w:tcBorders>
            <w:shd w:val="clear" w:color="000000" w:fill="FFFFFF"/>
            <w:noWrap/>
            <w:vAlign w:val="center"/>
            <w:hideMark/>
          </w:tcPr>
          <w:p>
            <w:pPr>
              <w:spacing w:before="0" w:after="0" w:line="240" w:lineRule="auto"/>
              <w:rPr>
                <w:rFonts w:ascii="Arial" w:hAnsi="Arial" w:cs="Arial"/>
                <w:color w:val="000000"/>
                <w:sz w:val="16"/>
                <w:szCs w:val="16"/>
              </w:rPr>
            </w:pPr>
            <w:r>
              <w:rPr>
                <w:rFonts w:ascii="Arial" w:hAnsi="Arial" w:cs="Arial"/>
                <w:color w:val="000000"/>
                <w:sz w:val="16"/>
                <w:szCs w:val="16"/>
              </w:rPr>
              <w:t>Projections</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20" w:type="pct"/>
            <w:tcBorders>
              <w:top w:val="single" w:sz="4" w:space="0" w:color="293F5B"/>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2024-25</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2025-26</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2026-27</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2027-28</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2028-29</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2029-30</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20" w:type="pct"/>
            <w:tcBorders>
              <w:top w:val="single" w:sz="4" w:space="0" w:color="293F5B"/>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Total(a)</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10" w:type="pct"/>
            <w:tcBorders>
              <w:top w:val="single" w:sz="4" w:space="0" w:color="293F5B"/>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2036-37</w:t>
            </w:r>
          </w:p>
        </w:tc>
      </w:tr>
      <w:tr>
        <w:trPr>
          <w:trHeight w:val="225"/>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20"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$b</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3"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$b</w:t>
            </w:r>
          </w:p>
        </w:tc>
        <w:tc>
          <w:tcPr>
            <w:tcW w:w="412" w:type="pct"/>
            <w:tcBorders>
              <w:top w:val="nil"/>
              <w:left w:val="nil"/>
              <w:bottom w:val="single" w:sz="4" w:space="0" w:color="293F5B"/>
              <w:right w:val="nil"/>
            </w:tcBorders>
            <w:shd w:val="clear" w:color="000000" w:fill="E6F2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$b</w:t>
            </w:r>
          </w:p>
        </w:tc>
        <w:tc>
          <w:tcPr>
            <w:tcW w:w="412"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$b</w:t>
            </w:r>
          </w:p>
        </w:tc>
        <w:tc>
          <w:tcPr>
            <w:tcW w:w="412"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$b</w:t>
            </w:r>
          </w:p>
        </w:tc>
        <w:tc>
          <w:tcPr>
            <w:tcW w:w="412"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$b</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20"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$b</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10"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of GDP</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b/>
                <w:bCs/>
                <w:sz w:val="16"/>
                <w:szCs w:val="16"/>
              </w:rPr>
            </w:pPr>
            <w:r>
              <w:rPr>
                <w:rFonts w:ascii="Arial" w:hAnsi="Arial" w:cs="Arial"/>
                <w:b/>
                <w:bCs/>
                <w:sz w:val="16"/>
                <w:szCs w:val="16"/>
              </w:rPr>
              <w:t>Underlying cash balance</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-10.0</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-28.3</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-31.5</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-31.0</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-34.4</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-25.3</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-150.5</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Per cent of GDP</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-0.4</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-1.0</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sz w:val="16"/>
                <w:szCs w:val="16"/>
              </w:rPr>
            </w:pPr>
            <w:r>
              <w:rPr>
                <w:rFonts w:ascii="Arial" w:hAnsi="Arial" w:cs="Arial"/>
                <w:sz w:val="16"/>
                <w:szCs w:val="16"/>
              </w:rPr>
              <w:t>-1.0</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-1.0</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-1.0</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-0.7</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0.8</w:t>
            </w:r>
          </w:p>
        </w:tc>
      </w:tr>
      <w:tr>
        <w:trPr>
          <w:trHeight w:hRule="exact" w:val="60"/>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color w:val="000000"/>
                <w:sz w:val="16"/>
                <w:szCs w:val="16"/>
              </w:rPr>
            </w:pPr>
            <w:r>
              <w:rPr>
                <w:rFonts w:ascii="Arial" w:hAnsi="Arial" w:cs="Arial"/>
                <w:color w:val="000000"/>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color w:val="000000"/>
                <w:sz w:val="16"/>
                <w:szCs w:val="16"/>
              </w:rPr>
            </w:pPr>
            <w:r>
              <w:rPr>
                <w:rFonts w:ascii="Arial" w:hAnsi="Arial" w:cs="Arial"/>
                <w:color w:val="000000"/>
                <w:sz w:val="16"/>
                <w:szCs w:val="16"/>
              </w:rPr>
              <w:t> </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b/>
                <w:bCs/>
                <w:color w:val="000000"/>
                <w:sz w:val="16"/>
                <w:szCs w:val="16"/>
              </w:rPr>
            </w:pPr>
            <w:r>
              <w:rPr>
                <w:rFonts w:ascii="Arial" w:hAnsi="Arial" w:cs="Arial"/>
                <w:b/>
                <w:bCs/>
                <w:color w:val="000000"/>
                <w:sz w:val="16"/>
                <w:szCs w:val="16"/>
              </w:rPr>
              <w:t>Receipts</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717.0</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759.8</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798.1</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822.9</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848.4</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894.8</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4,123.9</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color w:val="000000"/>
                <w:sz w:val="16"/>
                <w:szCs w:val="16"/>
              </w:rPr>
            </w:pPr>
            <w:r>
              <w:rPr>
                <w:rFonts w:ascii="Arial" w:hAnsi="Arial" w:cs="Arial"/>
                <w:b/>
                <w:bCs/>
                <w:color w:val="000000"/>
                <w:sz w:val="16"/>
                <w:szCs w:val="16"/>
              </w:rPr>
              <w:t> </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Per cent of GDP</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25.8</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25.6</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sz w:val="16"/>
                <w:szCs w:val="16"/>
              </w:rPr>
            </w:pPr>
            <w:r>
              <w:rPr>
                <w:rFonts w:ascii="Arial" w:hAnsi="Arial" w:cs="Arial"/>
                <w:sz w:val="16"/>
                <w:szCs w:val="16"/>
              </w:rPr>
              <w:t>25.8</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25.9</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25.4</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25.5</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27.0</w:t>
            </w:r>
          </w:p>
        </w:tc>
      </w:tr>
      <w:tr>
        <w:trPr>
          <w:trHeight w:hRule="exact" w:val="60"/>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ind w:firstLineChars="100" w:firstLine="161"/>
              <w:rPr>
                <w:rFonts w:ascii="Arial" w:hAnsi="Arial" w:cs="Arial"/>
                <w:b/>
                <w:bCs/>
                <w:sz w:val="16"/>
                <w:szCs w:val="16"/>
              </w:rPr>
            </w:pPr>
            <w:r>
              <w:rPr>
                <w:rFonts w:ascii="Arial" w:hAnsi="Arial" w:cs="Arial"/>
                <w:b/>
                <w:bCs/>
                <w:sz w:val="16"/>
                <w:szCs w:val="16"/>
              </w:rPr>
              <w:t>Tax receipts</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657.8</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699.5</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737.1</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757.0</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782.9</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826.2</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3,802.7</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sz w:val="16"/>
                <w:szCs w:val="16"/>
              </w:rPr>
            </w:pPr>
            <w:r>
              <w:rPr>
                <w:rFonts w:ascii="Arial" w:hAnsi="Arial" w:cs="Arial"/>
                <w:sz w:val="16"/>
                <w:szCs w:val="16"/>
              </w:rPr>
              <w:t>Per cent of GDP</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23.7</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23.6</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sz w:val="16"/>
                <w:szCs w:val="16"/>
              </w:rPr>
            </w:pPr>
            <w:r>
              <w:rPr>
                <w:rFonts w:ascii="Arial" w:hAnsi="Arial" w:cs="Arial"/>
                <w:sz w:val="16"/>
                <w:szCs w:val="16"/>
              </w:rPr>
              <w:t>23.8</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23.8</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23.5</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23.6</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25.2</w:t>
            </w:r>
          </w:p>
        </w:tc>
      </w:tr>
      <w:tr>
        <w:trPr>
          <w:trHeight w:hRule="exact" w:val="60"/>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ind w:firstLineChars="100" w:firstLine="161"/>
              <w:rPr>
                <w:rFonts w:ascii="Arial" w:hAnsi="Arial" w:cs="Arial"/>
                <w:b/>
                <w:bCs/>
                <w:sz w:val="16"/>
                <w:szCs w:val="16"/>
              </w:rPr>
            </w:pPr>
            <w:r>
              <w:rPr>
                <w:rFonts w:ascii="Arial" w:hAnsi="Arial" w:cs="Arial"/>
                <w:b/>
                <w:bCs/>
                <w:sz w:val="16"/>
                <w:szCs w:val="16"/>
              </w:rPr>
              <w:t>Non-tax receipts</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59.1</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60.2</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61.0</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65.9</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65.5</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68.6</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321.2</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ind w:firstLineChars="100" w:firstLine="160"/>
              <w:rPr>
                <w:rFonts w:ascii="Arial" w:hAnsi="Arial" w:cs="Arial"/>
                <w:sz w:val="16"/>
                <w:szCs w:val="16"/>
              </w:rPr>
            </w:pPr>
            <w:r>
              <w:rPr>
                <w:rFonts w:ascii="Arial" w:hAnsi="Arial" w:cs="Arial"/>
                <w:sz w:val="16"/>
                <w:szCs w:val="16"/>
              </w:rPr>
              <w:t>Per cent of GDP</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2.1</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2.0</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sz w:val="16"/>
                <w:szCs w:val="16"/>
              </w:rPr>
            </w:pPr>
            <w:r>
              <w:rPr>
                <w:rFonts w:ascii="Arial" w:hAnsi="Arial" w:cs="Arial"/>
                <w:sz w:val="16"/>
                <w:szCs w:val="16"/>
              </w:rPr>
              <w:t>2.0</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2.1</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2.0</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2.0</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1.8</w:t>
            </w:r>
          </w:p>
        </w:tc>
      </w:tr>
      <w:tr>
        <w:trPr>
          <w:trHeight w:hRule="exact" w:val="60"/>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i/>
                <w:iCs/>
                <w:sz w:val="16"/>
                <w:szCs w:val="16"/>
              </w:rPr>
            </w:pPr>
            <w:r>
              <w:rPr>
                <w:rFonts w:ascii="Arial" w:hAnsi="Arial" w:cs="Arial"/>
                <w:i/>
                <w:iCs/>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b/>
                <w:bCs/>
                <w:sz w:val="16"/>
                <w:szCs w:val="16"/>
              </w:rPr>
            </w:pPr>
            <w:r>
              <w:rPr>
                <w:rFonts w:ascii="Arial" w:hAnsi="Arial" w:cs="Arial"/>
                <w:b/>
                <w:bCs/>
                <w:sz w:val="16"/>
                <w:szCs w:val="16"/>
              </w:rPr>
              <w:t>Payments(b)</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726.9</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788.1</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829.6</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853.9</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882.8</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920.1</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4,274.4</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Per cent of GDP</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26.2</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26.6</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sz w:val="16"/>
                <w:szCs w:val="16"/>
              </w:rPr>
            </w:pPr>
            <w:r>
              <w:rPr>
                <w:rFonts w:ascii="Arial" w:hAnsi="Arial" w:cs="Arial"/>
                <w:sz w:val="16"/>
                <w:szCs w:val="16"/>
              </w:rPr>
              <w:t>26.8</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26.8</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26.5</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26.2</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26.2</w:t>
            </w:r>
          </w:p>
        </w:tc>
      </w:tr>
      <w:tr>
        <w:trPr>
          <w:trHeight w:hRule="exact" w:val="60"/>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b/>
                <w:bCs/>
                <w:sz w:val="16"/>
                <w:szCs w:val="16"/>
              </w:rPr>
            </w:pPr>
            <w:r>
              <w:rPr>
                <w:rFonts w:ascii="Arial" w:hAnsi="Arial" w:cs="Arial"/>
                <w:b/>
                <w:bCs/>
                <w:sz w:val="16"/>
                <w:szCs w:val="16"/>
              </w:rPr>
              <w:t>Gross debt(c)</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928.6</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982.0</w:t>
            </w:r>
          </w:p>
        </w:tc>
        <w:tc>
          <w:tcPr>
            <w:tcW w:w="412" w:type="pct"/>
            <w:tcBorders>
              <w:top w:val="nil"/>
              <w:left w:val="nil"/>
              <w:bottom w:val="nil"/>
              <w:right w:val="nil"/>
            </w:tcBorders>
            <w:shd w:val="clear" w:color="000000" w:fill="E6F2FF"/>
            <w:noWrap/>
            <w:vAlign w:val="bottom"/>
            <w:hideMark/>
          </w:tcPr>
          <w:p>
            <w:pPr>
              <w:spacing w:before="0" w:after="0" w:line="240" w:lineRule="auto"/>
              <w:jc w:val="right"/>
              <w:rPr>
                <w:rFonts w:ascii="Arial" w:hAnsi="Arial" w:cs="Arial"/>
                <w:b/>
                <w:bCs/>
                <w:sz w:val="16"/>
                <w:szCs w:val="16"/>
              </w:rPr>
            </w:pPr>
            <w:r>
              <w:rPr>
                <w:rFonts w:ascii="Arial" w:hAnsi="Arial" w:cs="Arial"/>
                <w:b/>
                <w:bCs/>
                <w:sz w:val="16"/>
                <w:szCs w:val="16"/>
              </w:rPr>
              <w:t>1,051.0</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1,120.0</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1,193.0</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1,249.0</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rPr>
                <w:rFonts w:ascii="Arial" w:hAnsi="Arial" w:cs="Arial"/>
                <w:b/>
                <w:bCs/>
                <w:sz w:val="16"/>
                <w:szCs w:val="16"/>
              </w:rPr>
            </w:pPr>
            <w:r>
              <w:rPr>
                <w:rFonts w:ascii="Arial" w:hAnsi="Arial" w:cs="Arial"/>
                <w:b/>
                <w:bCs/>
                <w:sz w:val="16"/>
                <w:szCs w:val="16"/>
              </w:rPr>
              <w:t> </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Per cent of GDP</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33.4</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33.1</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sz w:val="16"/>
                <w:szCs w:val="16"/>
              </w:rPr>
            </w:pPr>
            <w:r>
              <w:rPr>
                <w:rFonts w:ascii="Arial" w:hAnsi="Arial" w:cs="Arial"/>
                <w:sz w:val="16"/>
                <w:szCs w:val="16"/>
              </w:rPr>
              <w:t>34.0</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35.2</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35.8</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35.6</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27.2</w:t>
            </w:r>
          </w:p>
        </w:tc>
      </w:tr>
      <w:tr>
        <w:trPr>
          <w:trHeight w:hRule="exact" w:val="60"/>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 </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b/>
                <w:bCs/>
                <w:sz w:val="16"/>
                <w:szCs w:val="16"/>
              </w:rPr>
            </w:pPr>
            <w:r>
              <w:rPr>
                <w:rFonts w:ascii="Arial" w:hAnsi="Arial" w:cs="Arial"/>
                <w:b/>
                <w:bCs/>
                <w:sz w:val="16"/>
                <w:szCs w:val="16"/>
              </w:rPr>
              <w:t xml:space="preserve">Net debt(d)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532.3</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556.0</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616.6</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668.8</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725.5</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767.8</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 </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 xml:space="preserve">Per cent of GDP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19.2</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18.8</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sz w:val="16"/>
                <w:szCs w:val="16"/>
              </w:rPr>
            </w:pPr>
            <w:r>
              <w:rPr>
                <w:rFonts w:ascii="Arial" w:hAnsi="Arial" w:cs="Arial"/>
                <w:sz w:val="16"/>
                <w:szCs w:val="16"/>
              </w:rPr>
              <w:t>19.9</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21.0</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21.8</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21.9</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15.1</w:t>
            </w:r>
          </w:p>
        </w:tc>
      </w:tr>
      <w:tr>
        <w:trPr>
          <w:trHeight w:hRule="exact" w:val="60"/>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7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510" w:type="pct"/>
            <w:tcBorders>
              <w:top w:val="nil"/>
              <w:left w:val="nil"/>
              <w:bottom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 </w:t>
            </w:r>
          </w:p>
        </w:tc>
      </w:tr>
      <w:tr>
        <w:trPr>
          <w:trHeight w:hRule="exact" w:val="225"/>
        </w:trPr>
        <w:tc>
          <w:tcPr>
            <w:tcW w:w="1401" w:type="pct"/>
            <w:tcBorders>
              <w:top w:val="nil"/>
              <w:left w:val="nil"/>
              <w:bottom w:val="nil"/>
              <w:right w:val="nil"/>
            </w:tcBorders>
            <w:shd w:val="clear" w:color="000000" w:fill="FFFFFF"/>
            <w:noWrap/>
            <w:vAlign w:val="center"/>
            <w:hideMark/>
          </w:tcPr>
          <w:p>
            <w:pPr>
              <w:spacing w:before="0" w:after="0" w:line="240" w:lineRule="auto"/>
              <w:rPr>
                <w:rFonts w:ascii="Arial" w:hAnsi="Arial" w:cs="Arial"/>
                <w:b/>
                <w:bCs/>
                <w:sz w:val="16"/>
                <w:szCs w:val="16"/>
              </w:rPr>
            </w:pPr>
            <w:r>
              <w:rPr>
                <w:rFonts w:ascii="Arial" w:hAnsi="Arial" w:cs="Arial"/>
                <w:b/>
                <w:bCs/>
                <w:sz w:val="16"/>
                <w:szCs w:val="16"/>
              </w:rPr>
              <w:t>Net interest payments</w:t>
            </w:r>
            <w:r>
              <w:rPr>
                <w:rFonts w:ascii="Arial" w:hAnsi="Arial" w:cs="Arial"/>
                <w:b/>
                <w:sz w:val="16"/>
                <w:szCs w:val="16"/>
              </w:rPr>
              <w:t>(e)</w:t>
            </w: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13.7</w:t>
            </w:r>
          </w:p>
        </w:tc>
        <w:tc>
          <w:tcPr>
            <w:tcW w:w="59"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w:t>
            </w:r>
          </w:p>
        </w:tc>
        <w:tc>
          <w:tcPr>
            <w:tcW w:w="413"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17.7</w:t>
            </w:r>
          </w:p>
        </w:tc>
        <w:tc>
          <w:tcPr>
            <w:tcW w:w="412" w:type="pct"/>
            <w:tcBorders>
              <w:top w:val="nil"/>
              <w:left w:val="nil"/>
              <w:bottom w:val="nil"/>
              <w:right w:val="nil"/>
            </w:tcBorders>
            <w:shd w:val="clear" w:color="000000" w:fill="E6F2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19.9</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26.7</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28.0</w:t>
            </w:r>
          </w:p>
        </w:tc>
        <w:tc>
          <w:tcPr>
            <w:tcW w:w="412"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31.7</w:t>
            </w:r>
          </w:p>
        </w:tc>
        <w:tc>
          <w:tcPr>
            <w:tcW w:w="59" w:type="pct"/>
            <w:tcBorders>
              <w:top w:val="nil"/>
              <w:left w:val="nil"/>
              <w:bottom w:val="nil"/>
              <w:right w:val="nil"/>
            </w:tcBorders>
            <w:noWrap/>
            <w:vAlign w:val="center"/>
            <w:hideMark/>
          </w:tcPr>
          <w:p>
            <w:pPr>
              <w:spacing w:before="0" w:after="0" w:line="240" w:lineRule="auto"/>
              <w:jc w:val="right"/>
              <w:rPr>
                <w:rFonts w:ascii="Arial" w:hAnsi="Arial" w:cs="Arial"/>
                <w:b/>
                <w:bCs/>
                <w:sz w:val="16"/>
                <w:szCs w:val="16"/>
              </w:rPr>
            </w:pPr>
          </w:p>
        </w:tc>
        <w:tc>
          <w:tcPr>
            <w:tcW w:w="420" w:type="pct"/>
            <w:tcBorders>
              <w:top w:val="nil"/>
              <w:left w:val="nil"/>
              <w:bottom w:val="nil"/>
              <w:right w:val="nil"/>
            </w:tcBorders>
            <w:shd w:val="clear" w:color="000000" w:fill="FFFFFF"/>
            <w:noWrap/>
            <w:vAlign w:val="center"/>
            <w:hideMark/>
          </w:tcPr>
          <w:p>
            <w:pPr>
              <w:spacing w:before="0" w:after="0" w:line="240" w:lineRule="auto"/>
              <w:jc w:val="right"/>
              <w:rPr>
                <w:rFonts w:ascii="Arial" w:hAnsi="Arial" w:cs="Arial"/>
                <w:b/>
                <w:bCs/>
                <w:sz w:val="16"/>
                <w:szCs w:val="16"/>
              </w:rPr>
            </w:pPr>
            <w:r>
              <w:rPr>
                <w:rFonts w:ascii="Arial" w:hAnsi="Arial" w:cs="Arial"/>
                <w:b/>
                <w:bCs/>
                <w:sz w:val="16"/>
                <w:szCs w:val="16"/>
              </w:rPr>
              <w:t xml:space="preserve">     124.0 </w:t>
            </w:r>
          </w:p>
        </w:tc>
        <w:tc>
          <w:tcPr>
            <w:tcW w:w="70" w:type="pct"/>
            <w:tcBorders>
              <w:top w:val="nil"/>
              <w:left w:val="nil"/>
              <w:bottom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 </w:t>
            </w:r>
          </w:p>
        </w:tc>
        <w:tc>
          <w:tcPr>
            <w:tcW w:w="510" w:type="pct"/>
            <w:tcBorders>
              <w:top w:val="nil"/>
              <w:left w:val="nil"/>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 </w:t>
            </w:r>
          </w:p>
        </w:tc>
      </w:tr>
      <w:tr>
        <w:trPr>
          <w:trHeight w:hRule="exact" w:val="225"/>
        </w:trPr>
        <w:tc>
          <w:tcPr>
            <w:tcW w:w="1401" w:type="pct"/>
            <w:tcBorders>
              <w:top w:val="nil"/>
              <w:left w:val="nil"/>
              <w:bottom w:val="single" w:sz="4" w:space="0" w:color="293F5B"/>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Per cent of GDP</w:t>
            </w:r>
          </w:p>
        </w:tc>
        <w:tc>
          <w:tcPr>
            <w:tcW w:w="420"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0.5</w:t>
            </w:r>
          </w:p>
        </w:tc>
        <w:tc>
          <w:tcPr>
            <w:tcW w:w="59"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 </w:t>
            </w:r>
          </w:p>
        </w:tc>
        <w:tc>
          <w:tcPr>
            <w:tcW w:w="413"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0.6</w:t>
            </w:r>
          </w:p>
        </w:tc>
        <w:tc>
          <w:tcPr>
            <w:tcW w:w="412" w:type="pct"/>
            <w:tcBorders>
              <w:top w:val="nil"/>
              <w:left w:val="nil"/>
              <w:bottom w:val="single" w:sz="4" w:space="0" w:color="293F5B"/>
              <w:right w:val="nil"/>
            </w:tcBorders>
            <w:shd w:val="clear" w:color="000000" w:fill="E6F2FF"/>
            <w:noWrap/>
            <w:vAlign w:val="center"/>
            <w:hideMark/>
          </w:tcPr>
          <w:p>
            <w:pPr>
              <w:spacing w:before="0" w:after="0" w:line="240" w:lineRule="auto"/>
              <w:jc w:val="right"/>
              <w:rPr>
                <w:rFonts w:ascii="Arial" w:hAnsi="Arial" w:cs="Arial"/>
                <w:sz w:val="16"/>
                <w:szCs w:val="16"/>
              </w:rPr>
            </w:pPr>
            <w:r>
              <w:rPr>
                <w:rFonts w:ascii="Arial" w:hAnsi="Arial" w:cs="Arial"/>
                <w:sz w:val="16"/>
                <w:szCs w:val="16"/>
              </w:rPr>
              <w:t>0.6</w:t>
            </w:r>
          </w:p>
        </w:tc>
        <w:tc>
          <w:tcPr>
            <w:tcW w:w="412"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0.8</w:t>
            </w:r>
          </w:p>
        </w:tc>
        <w:tc>
          <w:tcPr>
            <w:tcW w:w="412"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0.8</w:t>
            </w:r>
          </w:p>
        </w:tc>
        <w:tc>
          <w:tcPr>
            <w:tcW w:w="412" w:type="pct"/>
            <w:tcBorders>
              <w:top w:val="nil"/>
              <w:left w:val="nil"/>
              <w:bottom w:val="single" w:sz="4" w:space="0" w:color="293F5B"/>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0.9</w:t>
            </w:r>
          </w:p>
        </w:tc>
        <w:tc>
          <w:tcPr>
            <w:tcW w:w="59" w:type="pct"/>
            <w:tcBorders>
              <w:top w:val="nil"/>
              <w:left w:val="nil"/>
              <w:bottom w:val="single" w:sz="4" w:space="0" w:color="293F5B"/>
              <w:right w:val="nil"/>
            </w:tcBorders>
            <w:noWrap/>
            <w:vAlign w:val="center"/>
            <w:hideMark/>
          </w:tcPr>
          <w:p>
            <w:pPr>
              <w:spacing w:before="0" w:after="0" w:line="240" w:lineRule="auto"/>
              <w:rPr>
                <w:rFonts w:ascii="Arial" w:hAnsi="Arial" w:cs="Arial"/>
                <w:sz w:val="16"/>
                <w:szCs w:val="16"/>
              </w:rPr>
            </w:pPr>
            <w:r>
              <w:rPr>
                <w:rFonts w:ascii="Arial" w:hAnsi="Arial" w:cs="Arial"/>
                <w:sz w:val="16"/>
                <w:szCs w:val="16"/>
              </w:rPr>
              <w:t> </w:t>
            </w:r>
          </w:p>
        </w:tc>
        <w:tc>
          <w:tcPr>
            <w:tcW w:w="420" w:type="pct"/>
            <w:tcBorders>
              <w:top w:val="nil"/>
              <w:left w:val="nil"/>
              <w:bottom w:val="single" w:sz="4" w:space="0" w:color="293F5B"/>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 </w:t>
            </w:r>
          </w:p>
        </w:tc>
        <w:tc>
          <w:tcPr>
            <w:tcW w:w="70" w:type="pct"/>
            <w:tcBorders>
              <w:top w:val="nil"/>
              <w:left w:val="nil"/>
              <w:bottom w:val="single" w:sz="4" w:space="0" w:color="293F5B"/>
              <w:right w:val="nil"/>
            </w:tcBorders>
            <w:shd w:val="clear" w:color="000000" w:fill="FFFFFF"/>
            <w:noWrap/>
            <w:vAlign w:val="center"/>
            <w:hideMark/>
          </w:tcPr>
          <w:p>
            <w:pPr>
              <w:spacing w:before="0" w:after="0" w:line="240" w:lineRule="auto"/>
              <w:rPr>
                <w:rFonts w:ascii="Arial" w:hAnsi="Arial" w:cs="Arial"/>
                <w:sz w:val="16"/>
                <w:szCs w:val="16"/>
              </w:rPr>
            </w:pPr>
            <w:r>
              <w:rPr>
                <w:rFonts w:ascii="Arial" w:hAnsi="Arial" w:cs="Arial"/>
                <w:sz w:val="16"/>
                <w:szCs w:val="16"/>
              </w:rPr>
              <w:t> </w:t>
            </w:r>
          </w:p>
        </w:tc>
        <w:tc>
          <w:tcPr>
            <w:tcW w:w="510" w:type="pct"/>
            <w:tcBorders>
              <w:top w:val="nil"/>
              <w:left w:val="nil"/>
              <w:bottom w:val="single" w:sz="4" w:space="0" w:color="auto"/>
              <w:right w:val="nil"/>
            </w:tcBorders>
            <w:shd w:val="clear" w:color="000000" w:fill="FFFFFF"/>
            <w:noWrap/>
            <w:vAlign w:val="center"/>
            <w:hideMark/>
          </w:tcPr>
          <w:p>
            <w:pPr>
              <w:spacing w:before="0" w:after="0" w:line="240" w:lineRule="auto"/>
              <w:jc w:val="right"/>
              <w:rPr>
                <w:rFonts w:ascii="Arial" w:hAnsi="Arial" w:cs="Arial"/>
                <w:sz w:val="16"/>
                <w:szCs w:val="16"/>
              </w:rPr>
            </w:pPr>
            <w:r>
              <w:rPr>
                <w:rFonts w:ascii="Arial" w:hAnsi="Arial" w:cs="Arial"/>
                <w:sz w:val="16"/>
                <w:szCs w:val="16"/>
              </w:rPr>
              <w:t>1.0</w:t>
            </w:r>
          </w:p>
        </w:tc>
      </w:tr>
    </w:tbl>
    <w:tbl>
      <w:tblPr>
        <w:tblW w:w="5024" w:type="pct"/>
        <w:shd w:val="clear" w:color="auto" w:fill="E6F2FF"/>
        <w:tblCellMar>
          <w:top w:w="284" w:type="dxa"/>
          <w:left w:w="284" w:type="dxa"/>
          <w:bottom w:w="284" w:type="dxa"/>
          <w:right w:w="284" w:type="dxa"/>
        </w:tblCellMar>
        <w:tblLook w:val="0620" w:firstRow="1" w:lastRow="0" w:firstColumn="0" w:lastColumn="0" w:noHBand="1" w:noVBand="1"/>
      </w:tblPr>
      <w:tblGrid>
        <w:gridCol w:w="7747"/>
      </w:tblGrid>
      <w:tr>
        <w:tc>
          <w:tcPr>
            <w:tcW w:w="5000" w:type="pct"/>
            <w:shd w:val="clear" w:color="auto" w:fill="E6F2FF"/>
          </w:tcPr>
          <w:p>
            <w:pPr>
              <w:pStyle w:val="BoxHeading"/>
              <w:rPr>
                <w:rFonts w:eastAsia="Calibri"/>
              </w:rPr>
            </w:pPr>
            <w:r>
              <w:rPr>
                <w:rFonts w:eastAsia="Calibri"/>
              </w:rPr>
              <w:lastRenderedPageBreak/>
              <w:t xml:space="preserve">Box 3.1: The Government's Economic and Fiscal Strategy </w:t>
            </w:r>
          </w:p>
          <w:p>
            <w:pPr>
              <w:pStyle w:val="BoxText"/>
              <w:rPr>
                <w:rFonts w:eastAsia="Calibri"/>
              </w:rPr>
            </w:pPr>
            <w:r>
              <w:rPr>
                <w:rFonts w:eastAsia="Calibri"/>
              </w:rPr>
              <w:t>The Government's Economic and Fiscal Strategy will make our economy more resilient and deliver a stronger and more sustainable budget.</w:t>
            </w:r>
          </w:p>
          <w:p>
            <w:pPr>
              <w:pStyle w:val="BoxText"/>
              <w:rPr>
                <w:rFonts w:eastAsia="Calibri"/>
              </w:rPr>
            </w:pPr>
            <w:r>
              <w:rPr>
                <w:rFonts w:eastAsia="Calibri"/>
              </w:rPr>
              <w:t xml:space="preserve">The Strategy is focused on the objectives of strong, inclusive and sustainable economic growth, full employment, growing real wages, ensuring women's economic participation and equality, and improving living standards for all Australians. </w:t>
            </w:r>
          </w:p>
          <w:p>
            <w:pPr>
              <w:pStyle w:val="BoxText"/>
              <w:rPr>
                <w:rFonts w:eastAsia="Calibri"/>
              </w:rPr>
            </w:pPr>
            <w:r>
              <w:rPr>
                <w:rFonts w:eastAsia="Calibri"/>
              </w:rPr>
              <w:t>The</w:t>
            </w:r>
            <w:r>
              <w:rPr>
                <w:rFonts w:eastAsia="Calibri"/>
              </w:rPr>
              <w:t xml:space="preserve"> </w:t>
            </w:r>
            <w:r>
              <w:rPr>
                <w:rFonts w:eastAsia="Calibri"/>
              </w:rPr>
              <w:t>Strategy provides necessary flexibility for the budget balance to vary in line with economic conditions</w:t>
            </w:r>
            <w:r>
              <w:rPr>
                <w:rFonts w:eastAsia="Calibri"/>
              </w:rPr>
              <w:t>.</w:t>
            </w:r>
            <w:r>
              <w:rPr>
                <w:rFonts w:eastAsia="Calibri"/>
              </w:rPr>
              <w:t xml:space="preserve"> This approach enables fiscal policy to respond to changes </w:t>
            </w:r>
            <w:r>
              <w:rPr>
                <w:rFonts w:eastAsia="Calibri"/>
              </w:rPr>
              <w:t>in economic conditions to support macroeconomic stability, including in times of high inflation.</w:t>
            </w:r>
          </w:p>
          <w:p>
            <w:pPr>
              <w:pStyle w:val="BoxText"/>
              <w:rPr>
                <w:rFonts w:eastAsia="Calibri"/>
              </w:rPr>
            </w:pPr>
            <w:r>
              <w:rPr>
                <w:rFonts w:eastAsia="Calibri"/>
              </w:rPr>
              <w:t>Putting the budget on a more sustainable footing will ensure the Government has the fiscal buffers to withstand economic shocks and better manage fiscal pressures.</w:t>
            </w:r>
          </w:p>
          <w:p>
            <w:pPr>
              <w:pStyle w:val="BoxHeading2"/>
              <w:rPr>
                <w:rFonts w:eastAsia="Calibri"/>
                <w:b/>
              </w:rPr>
            </w:pPr>
            <w:r>
              <w:rPr>
                <w:rFonts w:eastAsia="Calibri"/>
                <w:b/>
              </w:rPr>
              <w:t>The Fiscal Strategy</w:t>
            </w:r>
          </w:p>
          <w:p>
            <w:pPr>
              <w:pStyle w:val="BoxText"/>
              <w:rPr>
                <w:rFonts w:eastAsia="Calibri"/>
              </w:rPr>
            </w:pPr>
            <w:r>
              <w:rPr>
                <w:rFonts w:eastAsia="Calibri"/>
              </w:rPr>
              <w:t xml:space="preserve">The overarching goal of the fiscal strategy is to reduce gross debt as a share of the economy over time. </w:t>
            </w:r>
            <w:r>
              <w:rPr>
                <w:rFonts w:eastAsia="Calibri"/>
              </w:rPr>
              <w:t>This will be underpinned by the following actions:</w:t>
            </w:r>
          </w:p>
          <w:p>
            <w:pPr>
              <w:pStyle w:val="BoxBullet"/>
              <w:rPr>
                <w:rFonts w:eastAsia="Calibri"/>
              </w:rPr>
            </w:pPr>
            <w:r>
              <w:rPr>
                <w:rFonts w:eastAsia="Calibri"/>
              </w:rPr>
              <w:t xml:space="preserve">Returning the budget to balance in a measured way, over time. </w:t>
            </w:r>
          </w:p>
          <w:p>
            <w:pPr>
              <w:pStyle w:val="BoxBullet"/>
              <w:rPr>
                <w:rFonts w:eastAsia="Calibri"/>
              </w:rPr>
            </w:pPr>
            <w:r>
              <w:rPr>
                <w:rFonts w:eastAsia="Calibri"/>
              </w:rPr>
              <w:t>Limiting growth in spending until gross debt as a share of GDP is on a downwards trajectory, while growth prospects are sound and unemployment is low.</w:t>
            </w:r>
          </w:p>
          <w:p>
            <w:pPr>
              <w:pStyle w:val="BoxBullet"/>
              <w:rPr>
                <w:rFonts w:eastAsia="Calibri"/>
              </w:rPr>
            </w:pPr>
            <w:r>
              <w:rPr>
                <w:rFonts w:eastAsia="Calibri"/>
              </w:rPr>
              <w:t xml:space="preserve">Working to put downward pressure on payments-to-GDP, including by </w:t>
            </w:r>
            <w:proofErr w:type="gramStart"/>
            <w:r>
              <w:rPr>
                <w:rFonts w:eastAsia="Calibri"/>
              </w:rPr>
              <w:t>taking action</w:t>
            </w:r>
            <w:proofErr w:type="gramEnd"/>
            <w:r>
              <w:rPr>
                <w:rFonts w:eastAsia="Calibri"/>
              </w:rPr>
              <w:t xml:space="preserve"> on structural fiscal pressures. </w:t>
            </w:r>
          </w:p>
          <w:p>
            <w:pPr>
              <w:pStyle w:val="BoxBullet"/>
              <w:rPr>
                <w:rFonts w:eastAsia="Calibri"/>
              </w:rPr>
            </w:pPr>
            <w:r>
              <w:rPr>
                <w:rFonts w:eastAsia="Calibri"/>
              </w:rPr>
              <w:t xml:space="preserve">Allowing tax receipts and income support to respond in line with changes in the economy and directing </w:t>
            </w:r>
            <w:proofErr w:type="gramStart"/>
            <w:r>
              <w:rPr>
                <w:rFonts w:eastAsia="Calibri"/>
              </w:rPr>
              <w:t>the majority of</w:t>
            </w:r>
            <w:proofErr w:type="gramEnd"/>
            <w:r>
              <w:rPr>
                <w:rFonts w:eastAsia="Calibri"/>
              </w:rPr>
              <w:t xml:space="preserve"> improvements in tax receipts to budget repair. </w:t>
            </w:r>
          </w:p>
          <w:p>
            <w:pPr>
              <w:pStyle w:val="BoxBullet"/>
              <w:rPr>
                <w:rFonts w:eastAsia="Calibri"/>
              </w:rPr>
            </w:pPr>
            <w:r>
              <w:rPr>
                <w:rFonts w:eastAsia="Calibri"/>
              </w:rPr>
              <w:t>Finding savings and reprioritisations to strengthen the budget over time</w:t>
            </w:r>
            <w:r>
              <w:rPr>
                <w:rFonts w:eastAsia="Calibri"/>
              </w:rPr>
              <w:t xml:space="preserve"> and improve the quality of spending</w:t>
            </w:r>
            <w:r>
              <w:rPr>
                <w:rFonts w:eastAsia="Calibri"/>
              </w:rPr>
              <w:t>, focusing spending on investments and reforms to make the econom</w:t>
            </w:r>
            <w:r>
              <w:rPr>
                <w:rFonts w:eastAsia="Calibri"/>
              </w:rPr>
              <w:t>y</w:t>
            </w:r>
            <w:r>
              <w:rPr>
                <w:rFonts w:eastAsia="Calibri"/>
              </w:rPr>
              <w:t xml:space="preserve"> more productive and improve resilience, and helping fund government services in a sustainable way. </w:t>
            </w:r>
          </w:p>
          <w:p>
            <w:pPr>
              <w:pStyle w:val="BoxBullet"/>
              <w:rPr>
                <w:rFonts w:eastAsia="Calibri"/>
              </w:rPr>
            </w:pPr>
            <w:r>
              <w:rPr>
                <w:rFonts w:eastAsia="Calibri"/>
              </w:rPr>
              <w:t xml:space="preserve">Delivering a more efficient, fairer and simpler tax system, </w:t>
            </w:r>
            <w:r>
              <w:rPr>
                <w:rFonts w:eastAsia="Calibri"/>
              </w:rPr>
              <w:t>that lowers</w:t>
            </w:r>
            <w:r>
              <w:t xml:space="preserve"> the tax burden on working Australians,</w:t>
            </w:r>
            <w:r>
              <w:t xml:space="preserve"> and </w:t>
            </w:r>
            <w:r>
              <w:t>creates room</w:t>
            </w:r>
            <w:r>
              <w:rPr>
                <w:rFonts w:eastAsia="Calibri"/>
              </w:rPr>
              <w:t xml:space="preserve"> for </w:t>
            </w:r>
            <w:r>
              <w:t>further tax relief</w:t>
            </w:r>
            <w:r>
              <w:rPr>
                <w:rFonts w:eastAsia="Calibri"/>
              </w:rPr>
              <w:t xml:space="preserve"> over time</w:t>
            </w:r>
            <w:r>
              <w:t>.</w:t>
            </w:r>
            <w:r>
              <w:rPr>
                <w:rFonts w:eastAsia="Calibri"/>
              </w:rPr>
              <w:t xml:space="preserve"> </w:t>
            </w:r>
          </w:p>
        </w:tc>
      </w:tr>
    </w:tbl>
    <w:p>
      <w:pPr>
        <w:pStyle w:val="Heading3"/>
      </w:pPr>
      <w:bookmarkStart w:id="14" w:name="_Toc227842115"/>
      <w:bookmarkStart w:id="15" w:name="_Toc229240484"/>
      <w:r>
        <w:lastRenderedPageBreak/>
        <w:t>Delivering on the Economic and Fiscal Strategy</w:t>
      </w:r>
      <w:bookmarkEnd w:id="13"/>
      <w:bookmarkEnd w:id="14"/>
      <w:bookmarkEnd w:id="15"/>
    </w:p>
    <w:p>
      <w:pPr>
        <w:pStyle w:val="Bullet"/>
      </w:pPr>
      <w:r>
        <w:t>Returning</w:t>
      </w:r>
      <w:r>
        <w:t xml:space="preserve"> the budget </w:t>
      </w:r>
      <w:r>
        <w:t>to balance</w:t>
      </w:r>
      <w:r>
        <w:t xml:space="preserve"> in a measured way</w:t>
      </w:r>
      <w:r>
        <w:t xml:space="preserve">. </w:t>
      </w:r>
    </w:p>
    <w:p>
      <w:pPr>
        <w:pStyle w:val="Bullet"/>
      </w:pPr>
      <w:r>
        <w:t xml:space="preserve">Limiting </w:t>
      </w:r>
      <w:r>
        <w:t>growth in</w:t>
      </w:r>
      <w:r>
        <w:t xml:space="preserve"> spending</w:t>
      </w:r>
      <w:r>
        <w:t xml:space="preserve"> </w:t>
      </w:r>
      <w:r>
        <w:t xml:space="preserve">and </w:t>
      </w:r>
      <w:r>
        <w:t>putting downward pressure on</w:t>
      </w:r>
      <w:r>
        <w:t xml:space="preserve"> payments</w:t>
      </w:r>
      <w:r>
        <w:noBreakHyphen/>
      </w:r>
      <w:r>
        <w:t>to</w:t>
      </w:r>
      <w:r>
        <w:noBreakHyphen/>
      </w:r>
      <w:r>
        <w:t>GDP</w:t>
      </w:r>
      <w:r>
        <w:t>.</w:t>
      </w:r>
    </w:p>
    <w:p>
      <w:pPr>
        <w:pStyle w:val="Bullet"/>
      </w:pPr>
      <w:r>
        <w:rPr>
          <w:rFonts w:eastAsia="Calibri"/>
        </w:rPr>
        <w:t>Finding savings and reprioritisations to strengthen the budget over time</w:t>
      </w:r>
      <w:r>
        <w:t xml:space="preserve"> </w:t>
      </w:r>
      <w:r>
        <w:t>(Box 3.2).</w:t>
      </w:r>
    </w:p>
    <w:p>
      <w:pPr>
        <w:pStyle w:val="Bullet"/>
      </w:pPr>
      <w:r>
        <w:t xml:space="preserve">Delivering a more efficient, fairer and simpler tax system </w:t>
      </w:r>
      <w:r>
        <w:rPr>
          <w:rFonts w:eastAsia="Calibri"/>
        </w:rPr>
        <w:t>that will help more Australians into the housing market, lower</w:t>
      </w:r>
      <w:r>
        <w:t xml:space="preserve"> the tax burden on working Australians, and create room for further tax relief over time.</w:t>
      </w:r>
    </w:p>
    <w:p>
      <w:pPr>
        <w:pStyle w:val="ChartMainHeading"/>
      </w:pPr>
      <w:r>
        <w:t>Chart 3.4: Underlying cash balance</w:t>
      </w:r>
    </w:p>
    <w:p>
      <w:pPr>
        <w:pStyle w:val="ChartMainHeading"/>
      </w:pPr>
      <w:bookmarkStart w:id="84" w:name="_Hlk134115082"/>
      <w:r>
        <w:lastRenderedPageBreak/>
        <w:t>Chart 3.</w:t>
      </w:r>
      <w:r>
        <w:t>5</w:t>
      </w:r>
      <w:r>
        <w:t>: Payments and receipts</w:t>
      </w:r>
    </w:p>
    <w:tbl>
      <w:tblPr>
        <w:tblW w:w="5000" w:type="pct"/>
        <w:tblLayout w:type="fixed"/>
        <w:tblLook w:val="0620" w:firstRow="1" w:lastRow="0" w:firstColumn="0" w:lastColumn="0" w:noHBand="1" w:noVBand="1"/>
      </w:tblPr>
      <w:tblGrid>
        <w:gridCol w:w="3855"/>
        <w:gridCol w:w="3855"/>
      </w:tblGrid>
      <w:tr>
        <w:trPr>
          <w:cantSplit/>
        </w:trPr>
        <w:tc>
          <w:tcPr>
            <w:tcW w:w="3855" w:type="dxa"/>
          </w:tcPr>
          <w:p>
            <w:pPr>
              <w:pStyle w:val="ChartMainHeading"/>
              <w:rPr>
                <w:highlight w:val="cyan"/>
              </w:rPr>
            </w:pPr>
            <w:r>
              <w:t>Chart 3.</w:t>
            </w:r>
            <w:r>
              <w:t>6</w:t>
            </w:r>
            <w:r>
              <w:t>: Total receipts</w:t>
            </w:r>
          </w:p>
        </w:tc>
        <w:tc>
          <w:tcPr>
            <w:tcW w:w="3855" w:type="dxa"/>
          </w:tcPr>
          <w:p>
            <w:pPr>
              <w:pStyle w:val="ChartMainHeading"/>
            </w:pPr>
            <w:r>
              <w:t>Chart 3.</w:t>
            </w:r>
            <w:r>
              <w:t>7</w:t>
            </w:r>
            <w:r>
              <w:t>: Total payments</w:t>
            </w:r>
          </w:p>
        </w:tc>
      </w:tr>
      <w:tr>
        <w:trPr>
          <w:cantSplit/>
          <w:trHeight w:val="3839"/>
        </w:trPr>
        <w:tc>
          <w:tcPr>
            <w:tcW w:w="3855" w:type="dxa"/>
          </w:tcPr>
          <w:p>
            <w:pPr>
              <w:pStyle w:val="ChartGraphic"/>
              <w:rPr>
                <w:highlight w:val="cyan"/>
              </w:rPr>
            </w:pPr>
            <w:r>
              <w:rPr>
                <w:noProof/>
              </w:rPr>
              <w:drawing>
                <ns3:inline distT="0" distB="0" distL="0" distR="0" ns4:anchorId="2514F34E" ns4:editId="039086BB">
                  <ns3:extent cx="2305050" cy="2305050"/>
                  <ns3:effectExtent l="0" t="0" r="0" b="0"/>
                  <ns3:docPr id="766759099" name="Graphic 1" descr="This line chart shows total receipts and tax receipts as a share of GDP at the 2026-27 Budget and the 2025-26 MYEFO. Total receipts as a share of GDP are expected to be 25.6 per cent of GDP in 2025–26 and 25.5 per cent of GDP in 2029–30. During this period, tax receipts are expected to reach 23.6 per cent of GDP. Total receipts are projected to increase to 26.8 per cent of GDP in 2035-36, compared to 26.6 per cent of GDP at the 2025-26 MYEFO. Tax receipts are projected to increase to 25.0 per cent of GDP in 2035-36, compared to 24.7 per cent of GDP at the 2025-26 MYEFO."/>
                  <ns3:cNvGraphicFramePr>
                    <a:graphicFrameLocks noChangeAspect="1"/>
                  </ns3:cNvGraphicFramePr>
                  <a:graphic>
                    <a:graphicData uri="http://schemas.openxmlformats.org/drawingml/2006/picture">
                      <ns6:pic>
                        <ns6:nvPicPr>
                          <ns6:cNvPr id="766759099" name="Graphic 1" descr="This line chart shows total receipts and tax receipts as a share of GDP at the 2026-27 Budget and the 2025-26 MYEFO. Total receipts as a share of GDP are expected to be 25.6 per cent of GDP in 2025–26 and 25.5 per cent of GDP in 2029–30. During this period, tax receipts are expected to reach 23.6 per cent of GDP. Total receipts are projected to increase to 26.8 per cent of GDP in 2035-36, compared to 26.6 per cent of GDP at the 2025-26 MYEFO. Tax receipts are projected to increase to 25.0 per cent of GDP in 2035-36, compared to 24.7 per cent of GDP at the 2025-26 MYEFO."/>
                          <ns6:cNvPicPr/>
                        </ns6:nvPicPr>
                        <ns6:blipFill>
                          <a:blip r:embed="rId29">
                            <a:extLst>
                              <a:ext uri="{96DAC541-7B7A-43D3-8B79-37D633B846F1}">
                                <ns8:svgBlip r:embed="rId30"/>
                              </a:ext>
                            </a:extLst>
                          </a:blip>
                          <a:stretch>
                            <a:fillRect/>
                          </a:stretch>
                        </ns6:blipFill>
                        <ns6:spPr>
                          <a:xfrm>
                            <a:off x="0" y="0"/>
                            <a:ext cx="2305050" cy="2305050"/>
                          </a:xfrm>
                          <a:prstGeom prst="rect">
                            <a:avLst/>
                          </a:prstGeom>
                        </ns6:spPr>
                      </ns6:pic>
                    </a:graphicData>
                  </a:graphic>
                </ns3:inline>
              </w:drawing>
            </w:r>
          </w:p>
        </w:tc>
        <w:tc>
          <w:tcPr>
            <w:tcW w:w="3855" w:type="dxa"/>
          </w:tcPr>
          <w:p>
            <w:pPr>
              <w:pStyle w:val="ChartGraphic"/>
            </w:pPr>
            <w:r>
              <w:rPr>
                <w:noProof/>
              </w:rPr>
              <w:drawing>
                <ns3:inline distT="0" distB="0" distL="0" distR="0" ns4:anchorId="26D8C25D" ns4:editId="33B07CE6">
                  <ns3:extent cx="2310765" cy="2301240"/>
                  <ns3:effectExtent l="0" t="0" r="0" b="3810"/>
                  <ns3:docPr id="554703882" name="Graphic 1" descr="This line chart shows total payments as a share of GDP at the 2026-27 Budget and the 2025-26 MYEFO. Total payments as share of GDP are expected to increase from 26.6 per cent of GDP in 2025-26 to 26.8 per cent of GDP in 2027-28. Payments then gradually decrease to 26.2 per cent of GDP at the end of the medium term. Compared to the 2025-26 MYEFO, payments as a share of GDP are projected to be lower over the medium term."/>
                  <ns3:cNvGraphicFramePr>
                    <a:graphicFrameLocks noChangeAspect="1"/>
                  </ns3:cNvGraphicFramePr>
                  <a:graphic>
                    <a:graphicData uri="http://schemas.openxmlformats.org/drawingml/2006/picture">
                      <ns6:pic>
                        <ns6:nvPicPr>
                          <ns6:cNvPr id="554703882" name="Graphic 1" descr="This line chart shows total payments as a share of GDP at the 2026-27 Budget and the 2025-26 MYEFO. Total payments as share of GDP are expected to increase from 26.6 per cent of GDP in 2025-26 to 26.8 per cent of GDP in 2027-28. Payments then gradually decrease to 26.2 per cent of GDP at the end of the medium term. Compared to the 2025-26 MYEFO, payments as a share of GDP are projected to be lower over the medium term."/>
                          <ns6:cNvPicPr/>
                        </ns6:nvPicPr>
                        <ns6:blipFill>
                          <a:blip r:embed="rId31">
                            <a:extLst>
                              <a:ext uri="{96DAC541-7B7A-43D3-8B79-37D633B846F1}">
                                <ns8:svgBlip r:embed="rId32"/>
                              </a:ext>
                            </a:extLst>
                          </a:blip>
                          <a:stretch>
                            <a:fillRect/>
                          </a:stretch>
                        </ns6:blipFill>
                        <ns6:spPr>
                          <a:xfrm>
                            <a:off x="0" y="0"/>
                            <a:ext cx="2310765" cy="2301240"/>
                          </a:xfrm>
                          <a:prstGeom prst="rect">
                            <a:avLst/>
                          </a:prstGeom>
                        </ns6:spPr>
                      </ns6:pic>
                    </a:graphicData>
                  </a:graphic>
                </ns3:inline>
              </w:drawing>
            </w:r>
          </w:p>
        </w:tc>
      </w:tr>
      <w:tr>
        <w:trPr>
          <w:cantSplit/>
          <w:trHeight w:val="227"/>
        </w:trPr>
        <w:tc>
          <w:tcPr>
            <w:tcW w:w="3855" w:type="dxa"/>
          </w:tcPr>
          <w:p>
            <w:pPr>
              <w:pStyle w:val="ChartandTableFootnote"/>
              <w:rPr>
                <w:color w:val="auto"/>
                <w:highlight w:val="cyan"/>
              </w:rPr>
            </w:pPr>
            <w:r>
              <w:rPr>
                <w:color w:val="auto"/>
              </w:rPr>
              <w:t xml:space="preserve">Source: </w:t>
            </w:r>
            <w:r>
              <w:rPr>
                <w:color w:val="auto"/>
              </w:rPr>
              <w:tab/>
              <w:t>Treasury.</w:t>
            </w:r>
          </w:p>
        </w:tc>
        <w:tc>
          <w:tcPr>
            <w:tcW w:w="3855" w:type="dxa"/>
          </w:tcPr>
          <w:p>
            <w:pPr>
              <w:pStyle w:val="ChartandTableFootnote"/>
              <w:rPr>
                <w:color w:val="auto"/>
              </w:rPr>
            </w:pPr>
            <w:r>
              <w:rPr>
                <w:color w:val="auto"/>
              </w:rPr>
              <w:t xml:space="preserve">Source: </w:t>
            </w:r>
            <w:r>
              <w:rPr>
                <w:color w:val="auto"/>
              </w:rPr>
              <w:tab/>
              <w:t>Treasury.</w:t>
            </w:r>
          </w:p>
        </w:tc>
      </w:tr>
    </w:tbl>
    <w:p>
      <w:pPr>
        <w:pStyle w:val="ChartMainHeading"/>
      </w:pPr>
      <w:r>
        <w:t>Chart 3.</w:t>
      </w:r>
      <w:r>
        <w:t>8</w:t>
      </w:r>
      <w:r>
        <w:t>: Average annual growth in major payments over the medium term</w:t>
      </w:r>
      <w:r>
        <w:t xml:space="preserve"> </w:t>
      </w:r>
      <w:r>
        <w:t xml:space="preserve"> </w:t>
      </w:r>
    </w:p>
    <w:p>
      <w:pPr>
        <w:pStyle w:val="ChartMainHeading"/>
      </w:pPr>
      <w:r>
        <w:t>Chart 3.</w:t>
      </w:r>
      <w:r>
        <w:t>9</w:t>
      </w:r>
      <w:r>
        <w:t>: Gross debt</w:t>
      </w:r>
    </w:p>
    <w:p>
      <w:pPr>
        <w:pStyle w:val="ChartMainHeading"/>
      </w:pPr>
      <w:r>
        <w:t>Chart 3.</w:t>
      </w:r>
      <w:r>
        <w:t>12</w:t>
      </w:r>
      <w:r>
        <w:t>: Net debt</w:t>
      </w:r>
    </w:p>
    <w:p>
      <w:pPr>
        <w:pStyle w:val="ChartMainHeading"/>
      </w:pPr>
      <w:r>
        <w:lastRenderedPageBreak/>
        <w:t>Chart 3.</w:t>
      </w:r>
      <w:r>
        <w:t>13</w:t>
      </w:r>
      <w:r>
        <w:t xml:space="preserve"> </w:t>
      </w:r>
      <w:r>
        <w:t>Net financial worth</w:t>
      </w:r>
    </w:p>
    <w:p>
      <w:pPr>
        <w:pStyle w:val="ChartMainHeading"/>
        <w:rPr>
          <w:rFonts w:eastAsia="Calibri"/>
        </w:rPr>
      </w:pPr>
      <w:r>
        <w:t xml:space="preserve">Chart </w:t>
      </w:r>
      <w:r>
        <w:t>3.</w:t>
      </w:r>
      <w:r>
        <w:t>14</w:t>
      </w:r>
      <w:r>
        <w:t>: Structural budget balance</w:t>
      </w:r>
    </w:p>
  </w:body>
</w:document>
</file>