
<file path=word/document.xml><?xml version="1.0" encoding="utf-8"?>
<w:document xmlns:a="http://schemas.openxmlformats.org/drawingml/2006/main" xmlns:ns1="http://schemas.openxmlformats.org/markup-compatibility/2006" xmlns:ns2="http://schemas.openxmlformats.org/drawingml/2006/wordprocessingDrawing" xmlns:ns3="http://schemas.microsoft.com/office/word/2010/wordprocessingDrawing" xmlns:ns5="http://schemas.openxmlformats.org/drawingml/2006/picture" xmlns:ns7="http://schemas.microsoft.com/office/drawing/2016/SVG/main" xmlns:r="http://schemas.openxmlformats.org/officeDocument/2006/relationships" xmlns:w="http://schemas.openxmlformats.org/wordprocessingml/2006/main" ns1:Ignorable="w14 w15 w16se w16cid w16 w16cex w16sdtdh w16sdtfl w16du wp14">
  <w:body>
    <w:p>
      <w:pPr>
        <w:pStyle w:val="TableHeading"/>
        <w:rPr>
          <w:rFonts w:eastAsiaTheme="minorHAnsi"/>
        </w:rPr>
      </w:pPr>
      <w:r>
        <w:lastRenderedPageBreak/>
        <w:t>Table 3.</w:t>
      </w:r>
      <w:r>
        <w:t>1</w:t>
      </w:r>
      <w:r>
        <w:t>: Australian Government general government sector budget aggregates</w:t>
      </w:r>
    </w:p>
    <w:tbl>
      <w:tblPr>
        <w:tblW w:w="5000" w:type="pct"/>
        <w:tblCellMar>
          <w:left w:w="0" w:type="dxa"/>
          <w:right w:w="28" w:type="dxa"/>
        </w:tblCellMar>
        <w:tblLook w:val="04A0" w:firstRow="1" w:lastRow="0" w:firstColumn="1" w:lastColumn="0" w:noHBand="0" w:noVBand="1"/>
      </w:tblPr>
      <w:tblGrid>
        <w:gridCol w:w="1914"/>
        <w:gridCol w:w="610"/>
        <w:gridCol w:w="613"/>
        <w:gridCol w:w="613"/>
        <w:gridCol w:w="613"/>
        <w:gridCol w:w="613"/>
        <w:gridCol w:w="613"/>
        <w:gridCol w:w="614"/>
        <w:gridCol w:w="614"/>
        <w:gridCol w:w="73"/>
        <w:gridCol w:w="820"/>
      </w:tblGrid>
      <w:tr>
        <w:trPr>
          <w:trHeight w:hRule="exact" w:val="225"/>
        </w:trPr>
        <w:tc>
          <w:tcPr>
            <w:tcW w:w="1241"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180" w:type="pct"/>
            <w:gridSpan w:val="8"/>
            <w:tcBorders>
              <w:top w:val="single" w:sz="4" w:space="0" w:color="293F5B"/>
              <w:left w:val="nil"/>
              <w:bottom w:val="single" w:sz="4" w:space="0" w:color="293F5B"/>
              <w:right w:val="nil"/>
            </w:tcBorders>
            <w:shd w:val="clear" w:color="000000" w:fill="FFFFFF"/>
            <w:vAlign w:val="center"/>
            <w:hideMark/>
          </w:tcPr>
          <w:p>
            <w:pPr>
              <w:spacing w:before="0" w:after="0" w:line="240" w:lineRule="auto"/>
              <w:jc w:val="center"/>
              <w:rPr>
                <w:rFonts w:ascii="Arial" w:hAnsi="Arial" w:cs="Arial"/>
                <w:sz w:val="16"/>
                <w:szCs w:val="16"/>
              </w:rPr>
            </w:pPr>
            <w:r>
              <w:rPr>
                <w:rFonts w:ascii="Arial" w:hAnsi="Arial" w:cs="Arial"/>
                <w:sz w:val="16"/>
                <w:szCs w:val="16"/>
              </w:rPr>
              <w:t>Estimates</w:t>
            </w:r>
          </w:p>
        </w:tc>
        <w:tc>
          <w:tcPr>
            <w:tcW w:w="47" w:type="pct"/>
            <w:tcBorders>
              <w:top w:val="single" w:sz="4" w:space="0" w:color="293F5B"/>
              <w:left w:val="nil"/>
              <w:bottom w:val="nil"/>
              <w:right w:val="nil"/>
            </w:tcBorders>
            <w:shd w:val="clear" w:color="000000" w:fill="FFFFFF"/>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32" w:type="pct"/>
            <w:tcBorders>
              <w:top w:val="single" w:sz="4" w:space="0" w:color="auto"/>
              <w:left w:val="nil"/>
              <w:bottom w:val="nil"/>
              <w:right w:val="nil"/>
            </w:tcBorders>
            <w:noWrap/>
            <w:vAlign w:val="center"/>
            <w:hideMark/>
          </w:tcPr>
          <w:p>
            <w:pPr>
              <w:spacing w:before="0" w:after="0" w:line="240" w:lineRule="auto"/>
              <w:jc w:val="center"/>
              <w:rPr>
                <w:rFonts w:ascii="Arial" w:hAnsi="Arial" w:cs="Arial"/>
                <w:sz w:val="16"/>
                <w:szCs w:val="16"/>
              </w:rPr>
            </w:pPr>
            <w:r>
              <w:rPr>
                <w:rFonts w:ascii="Arial" w:hAnsi="Arial" w:cs="Arial"/>
                <w:sz w:val="16"/>
                <w:szCs w:val="16"/>
              </w:rPr>
              <w:t>Projections</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794" w:type="pct"/>
            <w:gridSpan w:val="2"/>
            <w:tcBorders>
              <w:top w:val="single" w:sz="4" w:space="0" w:color="293F5B"/>
              <w:left w:val="nil"/>
              <w:bottom w:val="single" w:sz="4" w:space="0" w:color="293F5B"/>
              <w:right w:val="nil"/>
            </w:tcBorders>
            <w:shd w:val="clear" w:color="000000" w:fill="E6F2FF"/>
            <w:noWrap/>
            <w:vAlign w:val="center"/>
            <w:hideMark/>
          </w:tcPr>
          <w:p>
            <w:pPr>
              <w:spacing w:before="0" w:after="0" w:line="240" w:lineRule="auto"/>
              <w:jc w:val="center"/>
              <w:rPr>
                <w:rFonts w:ascii="Arial" w:hAnsi="Arial" w:cs="Arial"/>
                <w:color w:val="FFFF00"/>
                <w:sz w:val="16"/>
                <w:szCs w:val="16"/>
              </w:rPr>
            </w:pPr>
            <w:r>
              <w:rPr>
                <w:rFonts w:ascii="Arial" w:hAnsi="Arial" w:cs="Arial"/>
                <w:sz w:val="16"/>
                <w:szCs w:val="16"/>
              </w:rPr>
              <w:t>2025-26</w:t>
            </w:r>
          </w:p>
        </w:tc>
        <w:tc>
          <w:tcPr>
            <w:tcW w:w="795" w:type="pct"/>
            <w:gridSpan w:val="2"/>
            <w:tcBorders>
              <w:top w:val="single" w:sz="4" w:space="0" w:color="293F5B"/>
              <w:left w:val="nil"/>
              <w:bottom w:val="single" w:sz="4" w:space="0" w:color="293F5B"/>
              <w:right w:val="nil"/>
            </w:tcBorders>
            <w:shd w:val="clear" w:color="000000" w:fill="FFFFFF"/>
            <w:noWrap/>
            <w:vAlign w:val="center"/>
            <w:hideMark/>
          </w:tcPr>
          <w:p>
            <w:pPr>
              <w:spacing w:before="0" w:after="0" w:line="240" w:lineRule="auto"/>
              <w:jc w:val="center"/>
              <w:rPr>
                <w:rFonts w:ascii="Arial" w:hAnsi="Arial" w:cs="Arial"/>
                <w:color w:val="FFFF00"/>
                <w:sz w:val="16"/>
                <w:szCs w:val="16"/>
              </w:rPr>
            </w:pPr>
            <w:r>
              <w:rPr>
                <w:rFonts w:ascii="Arial" w:hAnsi="Arial" w:cs="Arial"/>
                <w:sz w:val="16"/>
                <w:szCs w:val="16"/>
              </w:rPr>
              <w:t>2026-27</w:t>
            </w:r>
          </w:p>
        </w:tc>
        <w:tc>
          <w:tcPr>
            <w:tcW w:w="795" w:type="pct"/>
            <w:gridSpan w:val="2"/>
            <w:tcBorders>
              <w:top w:val="single" w:sz="4" w:space="0" w:color="293F5B"/>
              <w:left w:val="nil"/>
              <w:bottom w:val="single" w:sz="4" w:space="0" w:color="293F5B"/>
              <w:right w:val="nil"/>
            </w:tcBorders>
            <w:shd w:val="clear" w:color="000000" w:fill="FFFFFF"/>
            <w:noWrap/>
            <w:vAlign w:val="center"/>
            <w:hideMark/>
          </w:tcPr>
          <w:p>
            <w:pPr>
              <w:spacing w:before="0" w:after="0" w:line="240" w:lineRule="auto"/>
              <w:jc w:val="center"/>
              <w:rPr>
                <w:rFonts w:ascii="Arial" w:hAnsi="Arial" w:cs="Arial"/>
                <w:color w:val="FFFF00"/>
                <w:sz w:val="16"/>
                <w:szCs w:val="16"/>
              </w:rPr>
            </w:pPr>
            <w:r>
              <w:rPr>
                <w:rFonts w:ascii="Arial" w:hAnsi="Arial" w:cs="Arial"/>
                <w:sz w:val="16"/>
                <w:szCs w:val="16"/>
              </w:rPr>
              <w:t>2027-28</w:t>
            </w:r>
          </w:p>
        </w:tc>
        <w:tc>
          <w:tcPr>
            <w:tcW w:w="795" w:type="pct"/>
            <w:gridSpan w:val="2"/>
            <w:tcBorders>
              <w:top w:val="single" w:sz="4" w:space="0" w:color="293F5B"/>
              <w:left w:val="nil"/>
              <w:bottom w:val="single" w:sz="4" w:space="0" w:color="293F5B"/>
              <w:right w:val="nil"/>
            </w:tcBorders>
            <w:shd w:val="clear" w:color="000000" w:fill="FFFFFF"/>
            <w:noWrap/>
            <w:vAlign w:val="center"/>
            <w:hideMark/>
          </w:tcPr>
          <w:p>
            <w:pPr>
              <w:spacing w:before="0" w:after="0" w:line="240" w:lineRule="auto"/>
              <w:jc w:val="center"/>
              <w:rPr>
                <w:rFonts w:ascii="Arial" w:hAnsi="Arial" w:cs="Arial"/>
                <w:sz w:val="16"/>
                <w:szCs w:val="16"/>
              </w:rPr>
            </w:pPr>
            <w:r>
              <w:rPr>
                <w:rFonts w:ascii="Arial" w:hAnsi="Arial" w:cs="Arial"/>
                <w:sz w:val="16"/>
                <w:szCs w:val="16"/>
              </w:rPr>
              <w:t>2028-29</w:t>
            </w:r>
          </w:p>
        </w:tc>
        <w:tc>
          <w:tcPr>
            <w:tcW w:w="47" w:type="pct"/>
            <w:tcBorders>
              <w:top w:val="nil"/>
              <w:left w:val="nil"/>
              <w:bottom w:val="nil"/>
              <w:right w:val="nil"/>
            </w:tcBorders>
            <w:shd w:val="clear" w:color="000000" w:fill="FFFFFF"/>
            <w:noWrap/>
            <w:vAlign w:val="center"/>
            <w:hideMark/>
          </w:tcPr>
          <w:p>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532" w:type="pct"/>
            <w:tcBorders>
              <w:top w:val="single" w:sz="4" w:space="0" w:color="auto"/>
              <w:left w:val="nil"/>
              <w:bottom w:val="single" w:sz="4" w:space="0" w:color="000000"/>
              <w:right w:val="nil"/>
            </w:tcBorders>
            <w:noWrap/>
            <w:vAlign w:val="center"/>
            <w:hideMark/>
          </w:tcPr>
          <w:p>
            <w:pPr>
              <w:spacing w:before="0" w:after="0" w:line="240" w:lineRule="auto"/>
              <w:jc w:val="center"/>
              <w:rPr>
                <w:rFonts w:ascii="Arial" w:hAnsi="Arial" w:cs="Arial"/>
                <w:sz w:val="16"/>
                <w:szCs w:val="16"/>
              </w:rPr>
            </w:pPr>
            <w:r>
              <w:rPr>
                <w:rFonts w:ascii="Arial" w:hAnsi="Arial" w:cs="Arial"/>
                <w:sz w:val="16"/>
                <w:szCs w:val="16"/>
              </w:rPr>
              <w:t>2035-36</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6"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$b</w:t>
            </w:r>
          </w:p>
        </w:tc>
        <w:tc>
          <w:tcPr>
            <w:tcW w:w="398"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GDP</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$b</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GDP</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$b</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GDP</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$b</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GDP</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single" w:sz="4" w:space="0" w:color="000000"/>
              <w:right w:val="nil"/>
            </w:tcBorders>
            <w:noWrap/>
            <w:vAlign w:val="center"/>
            <w:hideMark/>
          </w:tcPr>
          <w:p>
            <w:pPr>
              <w:spacing w:before="0" w:after="0" w:line="240" w:lineRule="auto"/>
              <w:jc w:val="center"/>
              <w:rPr>
                <w:rFonts w:ascii="Arial" w:hAnsi="Arial" w:cs="Arial"/>
                <w:sz w:val="16"/>
                <w:szCs w:val="16"/>
              </w:rPr>
            </w:pPr>
            <w:r>
              <w:rPr>
                <w:rFonts w:ascii="Arial" w:hAnsi="Arial" w:cs="Arial"/>
                <w:sz w:val="16"/>
                <w:szCs w:val="16"/>
              </w:rPr>
              <w:t>% GDP</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FFFF00"/>
                <w:sz w:val="16"/>
                <w:szCs w:val="16"/>
              </w:rPr>
            </w:pPr>
            <w:r>
              <w:rPr>
                <w:rFonts w:ascii="Arial" w:hAnsi="Arial" w:cs="Arial"/>
                <w:b/>
                <w:sz w:val="16"/>
                <w:szCs w:val="16"/>
              </w:rPr>
              <w:t>Underlying cash balance</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000000"/>
                <w:sz w:val="16"/>
                <w:szCs w:val="16"/>
              </w:rPr>
            </w:pPr>
            <w:r>
              <w:rPr>
                <w:rFonts w:ascii="Arial" w:hAnsi="Arial" w:cs="Arial"/>
                <w:i/>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-36.8</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-1.3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-34.3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-1.1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-36.2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-1.1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-36.0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-1.1</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-0.1</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-42.2</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-35.4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-37.1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-37.0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0.0</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-42.1</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-35.7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-37.2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-36.9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000000"/>
                <w:sz w:val="16"/>
                <w:szCs w:val="16"/>
              </w:rPr>
            </w:pPr>
            <w:r>
              <w:rPr>
                <w:rFonts w:ascii="Arial" w:hAnsi="Arial" w:cs="Arial"/>
                <w:i/>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0.0</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i/>
                <w:color w:val="FFFF00"/>
                <w:sz w:val="16"/>
                <w:szCs w:val="16"/>
              </w:rPr>
            </w:pPr>
            <w:r>
              <w:rPr>
                <w:rFonts w:ascii="Arial" w:hAnsi="Arial" w:cs="Arial"/>
                <w:i/>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000000"/>
                <w:sz w:val="16"/>
                <w:szCs w:val="16"/>
              </w:rPr>
            </w:pPr>
            <w:r>
              <w:rPr>
                <w:rFonts w:ascii="Arial" w:hAnsi="Arial" w:cs="Arial"/>
                <w:i/>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FFFF00"/>
                <w:sz w:val="16"/>
                <w:szCs w:val="16"/>
              </w:rPr>
            </w:pPr>
            <w:r>
              <w:rPr>
                <w:rFonts w:ascii="Arial" w:hAnsi="Arial" w:cs="Arial"/>
                <w:b/>
                <w:sz w:val="16"/>
                <w:szCs w:val="16"/>
              </w:rPr>
              <w:t>Receipts</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sz w:val="16"/>
                <w:szCs w:val="16"/>
              </w:rPr>
            </w:pPr>
            <w:r>
              <w:rPr>
                <w:rFonts w:ascii="Arial" w:hAnsi="Arial" w:cs="Arial"/>
                <w:b/>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000000"/>
                <w:sz w:val="16"/>
                <w:szCs w:val="16"/>
              </w:rPr>
            </w:pPr>
            <w:r>
              <w:rPr>
                <w:rFonts w:ascii="Arial" w:hAnsi="Arial" w:cs="Arial"/>
                <w:b/>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b/>
                <w:sz w:val="16"/>
                <w:szCs w:val="16"/>
              </w:rPr>
            </w:pPr>
            <w:r>
              <w:rPr>
                <w:rFonts w:ascii="Arial" w:hAnsi="Arial" w:cs="Arial"/>
                <w:b/>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749.8</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25.7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777.0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25.8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805.6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25.5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846.9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26.6</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735.4</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766.0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797.4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840.8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25.3</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26.8</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735.4</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766.0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797.4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25.3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840.8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25.3</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26.8</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1"/>
              <w:rPr>
                <w:rFonts w:ascii="Arial" w:hAnsi="Arial" w:cs="Arial"/>
                <w:b/>
                <w:color w:val="FFFF00"/>
                <w:sz w:val="16"/>
                <w:szCs w:val="16"/>
              </w:rPr>
            </w:pPr>
            <w:r>
              <w:rPr>
                <w:rFonts w:ascii="Arial" w:hAnsi="Arial" w:cs="Arial"/>
                <w:b/>
                <w:sz w:val="16"/>
                <w:szCs w:val="16"/>
              </w:rPr>
              <w:t>Tax receipts</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691.1</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23.6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718.5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23.8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742.3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23.5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783.6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23.5</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24.7</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676.1</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707.6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735.9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778.3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23.4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24.9</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676.1</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707.6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735.9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778.3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23.4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24.9</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1"/>
              <w:rPr>
                <w:rFonts w:ascii="Arial" w:hAnsi="Arial" w:cs="Arial"/>
                <w:b/>
                <w:color w:val="FFFF00"/>
                <w:sz w:val="16"/>
                <w:szCs w:val="16"/>
              </w:rPr>
            </w:pPr>
            <w:r>
              <w:rPr>
                <w:rFonts w:ascii="Arial" w:hAnsi="Arial" w:cs="Arial"/>
                <w:b/>
                <w:sz w:val="16"/>
                <w:szCs w:val="16"/>
              </w:rPr>
              <w:t>Non-tax receipts</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000000"/>
                <w:sz w:val="16"/>
                <w:szCs w:val="16"/>
              </w:rPr>
            </w:pPr>
            <w:r>
              <w:rPr>
                <w:rFonts w:ascii="Arial" w:hAnsi="Arial" w:cs="Arial"/>
                <w:i/>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58.6</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58.5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1.9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63.3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63.3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1.9</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1.9</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59.3</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58.4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61.4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62.6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1.9</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1.9</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200" w:firstLine="32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59.3</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58.4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61.4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62.6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1.9</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1.9</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FFFF00"/>
                <w:sz w:val="16"/>
                <w:szCs w:val="16"/>
              </w:rPr>
            </w:pPr>
            <w:r>
              <w:rPr>
                <w:rFonts w:ascii="Arial" w:hAnsi="Arial" w:cs="Arial"/>
                <w:b/>
                <w:sz w:val="16"/>
                <w:szCs w:val="16"/>
              </w:rPr>
              <w:t>Payments(a)</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FFFF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sz w:val="16"/>
                <w:szCs w:val="16"/>
              </w:rPr>
            </w:pPr>
            <w:r>
              <w:rPr>
                <w:rFonts w:ascii="Arial" w:hAnsi="Arial" w:cs="Arial"/>
                <w:b/>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color w:val="000000"/>
                <w:sz w:val="16"/>
                <w:szCs w:val="16"/>
              </w:rPr>
            </w:pPr>
            <w:r>
              <w:rPr>
                <w:rFonts w:ascii="Arial" w:hAnsi="Arial" w:cs="Arial"/>
                <w:b/>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786.6</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811.3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841.7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26.6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882.9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26.5</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26.8</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777.5</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27.0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801.3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834.5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877.9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26.8</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777.5</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27.0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801.7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834.6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877.7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26.8</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000000"/>
                <w:sz w:val="16"/>
                <w:szCs w:val="16"/>
              </w:rPr>
            </w:pPr>
            <w:r>
              <w:rPr>
                <w:rFonts w:ascii="Arial" w:hAnsi="Arial" w:cs="Arial"/>
                <w:b/>
                <w:sz w:val="16"/>
                <w:szCs w:val="16"/>
              </w:rPr>
              <w:t>Gross debt(b)</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000000"/>
                <w:sz w:val="16"/>
                <w:szCs w:val="16"/>
              </w:rPr>
            </w:pPr>
            <w:r>
              <w:rPr>
                <w:rFonts w:ascii="Arial" w:hAnsi="Arial" w:cs="Arial"/>
                <w:b/>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color w:val="000000"/>
                <w:sz w:val="16"/>
                <w:szCs w:val="16"/>
              </w:rPr>
            </w:pPr>
            <w:r>
              <w:rPr>
                <w:rFonts w:ascii="Arial" w:hAnsi="Arial" w:cs="Arial"/>
                <w:b/>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0000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sz w:val="16"/>
                <w:szCs w:val="16"/>
              </w:rPr>
              <w:t>993.0</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sz w:val="16"/>
                <w:szCs w:val="16"/>
              </w:rPr>
              <w:t>34.0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1,069.0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35.4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1,142.0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36.1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1,213.0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36.4</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33.0</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0000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000000"/>
                <w:sz w:val="16"/>
                <w:szCs w:val="16"/>
              </w:rPr>
            </w:pPr>
            <w:r>
              <w:rPr>
                <w:rFonts w:ascii="Arial" w:hAnsi="Arial" w:cs="Arial"/>
                <w:i/>
                <w:sz w:val="16"/>
                <w:szCs w:val="16"/>
              </w:rPr>
              <w:t>1,022.0</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000000"/>
                <w:sz w:val="16"/>
                <w:szCs w:val="16"/>
              </w:rPr>
            </w:pPr>
            <w:r>
              <w:rPr>
                <w:rFonts w:ascii="Arial" w:hAnsi="Arial" w:cs="Arial"/>
                <w:i/>
                <w:sz w:val="16"/>
                <w:szCs w:val="16"/>
              </w:rPr>
              <w:t>35.5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1,092.0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1,161.0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1,223.0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36.8</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i/>
                <w:iCs/>
                <w:sz w:val="16"/>
                <w:szCs w:val="16"/>
              </w:rPr>
            </w:pPr>
            <w:r>
              <w:rPr>
                <w:rFonts w:ascii="Arial" w:hAnsi="Arial" w:cs="Arial"/>
                <w:b/>
                <w:bCs/>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31.9</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0000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000000"/>
                <w:sz w:val="16"/>
                <w:szCs w:val="16"/>
              </w:rPr>
            </w:pPr>
            <w:r>
              <w:rPr>
                <w:rFonts w:ascii="Arial" w:hAnsi="Arial" w:cs="Arial"/>
                <w:i/>
                <w:sz w:val="16"/>
                <w:szCs w:val="16"/>
              </w:rPr>
              <w:t>1,022.0</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000000"/>
                <w:sz w:val="16"/>
                <w:szCs w:val="16"/>
              </w:rPr>
            </w:pPr>
            <w:r>
              <w:rPr>
                <w:rFonts w:ascii="Arial" w:hAnsi="Arial" w:cs="Arial"/>
                <w:i/>
                <w:sz w:val="16"/>
                <w:szCs w:val="16"/>
              </w:rPr>
              <w:t>35.5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1,092.0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1,161.0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1,223.0</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36.8</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31.9</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FFFF00"/>
                <w:sz w:val="16"/>
                <w:szCs w:val="16"/>
              </w:rPr>
            </w:pPr>
            <w:r>
              <w:rPr>
                <w:rFonts w:ascii="Arial" w:hAnsi="Arial" w:cs="Arial"/>
                <w:b/>
                <w:sz w:val="16"/>
                <w:szCs w:val="16"/>
              </w:rPr>
              <w:t>Net debt(c)</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587.5</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20.1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646.9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21.4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700.4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22.2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754.8</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22.6</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20.3</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620.7</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676.3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22.6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713.9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22.7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768.2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23.1</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20.2</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620.3</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21.5</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676.3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22.6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714.1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22.7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768.2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23.1</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20.2</w:t>
            </w:r>
          </w:p>
        </w:tc>
      </w:tr>
      <w:tr>
        <w:trPr>
          <w:trHeight w:hRule="exact" w:val="60"/>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color w:val="FFFF00"/>
                <w:sz w:val="16"/>
                <w:szCs w:val="16"/>
              </w:rPr>
            </w:pPr>
            <w:r>
              <w:rPr>
                <w:rFonts w:ascii="Arial" w:hAnsi="Arial" w:cs="Arial"/>
                <w:b/>
                <w:sz w:val="16"/>
                <w:szCs w:val="16"/>
              </w:rPr>
              <w:t>Net interest payments(d)</w:t>
            </w:r>
          </w:p>
        </w:tc>
        <w:tc>
          <w:tcPr>
            <w:tcW w:w="396" w:type="pct"/>
            <w:tcBorders>
              <w:top w:val="nil"/>
              <w:left w:val="nil"/>
              <w:bottom w:val="nil"/>
              <w:right w:val="nil"/>
            </w:tcBorders>
            <w:shd w:val="clear" w:color="000000" w:fill="E6F2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FFFF00"/>
                <w:sz w:val="16"/>
                <w:szCs w:val="16"/>
              </w:rPr>
            </w:pPr>
            <w:r>
              <w:rPr>
                <w:rFonts w:ascii="Arial" w:hAnsi="Arial" w:cs="Arial"/>
                <w:sz w:val="16"/>
                <w:szCs w:val="16"/>
              </w:rPr>
              <w:t> </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 </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color w:val="FFFF00"/>
                <w:sz w:val="16"/>
                <w:szCs w:val="16"/>
              </w:rPr>
            </w:pPr>
            <w:r>
              <w:rPr>
                <w:rFonts w:ascii="Arial" w:hAnsi="Arial" w:cs="Arial"/>
                <w:sz w:val="16"/>
                <w:szCs w:val="16"/>
              </w:rPr>
              <w:t>MYEFO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18.3</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0.6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20.3</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0.7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27.4</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0.9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28.7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0.9</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FFFF00"/>
                <w:sz w:val="16"/>
                <w:szCs w:val="16"/>
              </w:rPr>
            </w:pPr>
            <w:r>
              <w:rPr>
                <w:rFonts w:ascii="Arial" w:hAnsi="Arial" w:cs="Arial"/>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sz w:val="16"/>
                <w:szCs w:val="16"/>
              </w:rPr>
            </w:pPr>
            <w:r>
              <w:rPr>
                <w:rFonts w:ascii="Arial" w:hAnsi="Arial" w:cs="Arial"/>
                <w:sz w:val="16"/>
                <w:szCs w:val="16"/>
              </w:rPr>
              <w:t>1.2</w:t>
            </w:r>
          </w:p>
        </w:tc>
      </w:tr>
      <w:tr>
        <w:trPr>
          <w:trHeight w:hRule="exact" w:val="225"/>
        </w:trPr>
        <w:tc>
          <w:tcPr>
            <w:tcW w:w="124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PEFO</w:t>
            </w:r>
          </w:p>
        </w:tc>
        <w:tc>
          <w:tcPr>
            <w:tcW w:w="396"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18.5</w:t>
            </w:r>
          </w:p>
        </w:tc>
        <w:tc>
          <w:tcPr>
            <w:tcW w:w="398"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0.6</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21.2</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0.7</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0.9</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28.1</w:t>
            </w:r>
          </w:p>
        </w:tc>
        <w:tc>
          <w:tcPr>
            <w:tcW w:w="398"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0.8</w:t>
            </w:r>
          </w:p>
        </w:tc>
        <w:tc>
          <w:tcPr>
            <w:tcW w:w="47"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532" w:type="pct"/>
            <w:tcBorders>
              <w:top w:val="nil"/>
              <w:left w:val="nil"/>
              <w:bottom w:val="nil"/>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w:t>
            </w:r>
          </w:p>
        </w:tc>
      </w:tr>
      <w:tr>
        <w:trPr>
          <w:trHeight w:hRule="exact" w:val="225"/>
        </w:trPr>
        <w:tc>
          <w:tcPr>
            <w:tcW w:w="1241" w:type="pct"/>
            <w:tcBorders>
              <w:top w:val="nil"/>
              <w:left w:val="nil"/>
              <w:bottom w:val="single" w:sz="4" w:space="0" w:color="293F5B"/>
              <w:right w:val="nil"/>
            </w:tcBorders>
            <w:shd w:val="clear" w:color="000000" w:fill="FFFFFF"/>
            <w:noWrap/>
            <w:vAlign w:val="center"/>
            <w:hideMark/>
          </w:tcPr>
          <w:p>
            <w:pPr>
              <w:spacing w:before="0" w:after="0" w:line="240" w:lineRule="auto"/>
              <w:ind w:firstLineChars="100" w:firstLine="160"/>
              <w:rPr>
                <w:rFonts w:ascii="Arial" w:hAnsi="Arial" w:cs="Arial"/>
                <w:i/>
                <w:color w:val="FFFF00"/>
                <w:sz w:val="16"/>
                <w:szCs w:val="16"/>
              </w:rPr>
            </w:pPr>
            <w:r>
              <w:rPr>
                <w:rFonts w:ascii="Arial" w:hAnsi="Arial" w:cs="Arial"/>
                <w:i/>
                <w:sz w:val="16"/>
                <w:szCs w:val="16"/>
              </w:rPr>
              <w:t>Budget</w:t>
            </w:r>
          </w:p>
        </w:tc>
        <w:tc>
          <w:tcPr>
            <w:tcW w:w="396"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18.5</w:t>
            </w:r>
          </w:p>
        </w:tc>
        <w:tc>
          <w:tcPr>
            <w:tcW w:w="398"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0.6</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21.2</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0.7</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26.9</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0.9</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28.1</w:t>
            </w:r>
          </w:p>
        </w:tc>
        <w:tc>
          <w:tcPr>
            <w:tcW w:w="398"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0.8</w:t>
            </w:r>
          </w:p>
        </w:tc>
        <w:tc>
          <w:tcPr>
            <w:tcW w:w="47"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i/>
                <w:color w:val="FFFF00"/>
                <w:sz w:val="16"/>
                <w:szCs w:val="16"/>
              </w:rPr>
            </w:pPr>
            <w:r>
              <w:rPr>
                <w:rFonts w:ascii="Arial" w:hAnsi="Arial" w:cs="Arial"/>
                <w:i/>
                <w:sz w:val="16"/>
                <w:szCs w:val="16"/>
              </w:rPr>
              <w:t> </w:t>
            </w:r>
          </w:p>
        </w:tc>
        <w:tc>
          <w:tcPr>
            <w:tcW w:w="532" w:type="pct"/>
            <w:tcBorders>
              <w:top w:val="nil"/>
              <w:left w:val="nil"/>
              <w:bottom w:val="single" w:sz="4" w:space="0" w:color="293F5B"/>
              <w:right w:val="nil"/>
            </w:tcBorders>
            <w:noWrap/>
            <w:vAlign w:val="center"/>
            <w:hideMark/>
          </w:tcPr>
          <w:p>
            <w:pPr>
              <w:spacing w:before="0" w:after="0" w:line="240" w:lineRule="auto"/>
              <w:jc w:val="right"/>
              <w:rPr>
                <w:rFonts w:ascii="Arial" w:hAnsi="Arial" w:cs="Arial"/>
                <w:i/>
                <w:sz w:val="16"/>
                <w:szCs w:val="16"/>
              </w:rPr>
            </w:pPr>
            <w:r>
              <w:rPr>
                <w:rFonts w:ascii="Arial" w:hAnsi="Arial" w:cs="Arial"/>
                <w:i/>
                <w:sz w:val="16"/>
                <w:szCs w:val="16"/>
              </w:rPr>
              <w:t>1.1</w:t>
            </w:r>
          </w:p>
        </w:tc>
      </w:tr>
    </w:tbl>
    <w:tbl>
      <w:tblPr>
        <w:tblW w:w="5000" w:type="pct"/>
        <w:tblCellMar>
          <w:left w:w="0" w:type="dxa"/>
        </w:tblCellMar>
        <w:tblLook w:val="04A0" w:firstRow="1" w:lastRow="0" w:firstColumn="1" w:lastColumn="0" w:noHBand="0" w:noVBand="1"/>
      </w:tblPr>
      <w:tblGrid>
        <w:gridCol w:w="3855"/>
        <w:gridCol w:w="3855"/>
      </w:tblGrid>
      <w:tr>
        <w:tc>
          <w:tcPr>
            <w:tcW w:w="3855" w:type="dxa"/>
          </w:tcPr>
          <w:p>
            <w:pPr>
              <w:pStyle w:val="ChartMainHeading"/>
            </w:pPr>
            <w:r>
              <w:t>Chart 3.</w:t>
            </w:r>
            <w:r>
              <w:t>1</w:t>
            </w:r>
            <w:r>
              <w:t xml:space="preserve">: Underlying cash balance </w:t>
            </w:r>
          </w:p>
        </w:tc>
        <w:tc>
          <w:tcPr>
            <w:tcW w:w="3855" w:type="dxa"/>
          </w:tcPr>
          <w:p>
            <w:pPr>
              <w:pStyle w:val="ChartMainHeading"/>
            </w:pPr>
            <w:r>
              <w:t>Chart 3.</w:t>
            </w:r>
            <w:r>
              <w:t>2</w:t>
            </w:r>
            <w:r>
              <w:t>: Gross debt</w:t>
            </w:r>
            <w:r>
              <w:t xml:space="preserve"> </w:t>
            </w:r>
          </w:p>
        </w:tc>
      </w:tr>
      <w:tr>
        <w:tblPrEx>
          <w:tblCellMar>
            <w:left w:w="108" w:type="dxa"/>
          </w:tblCellMar>
        </w:tblPrEx>
        <w:tc>
          <w:tcPr>
            <w:tcW w:w="3855" w:type="dxa"/>
          </w:tcPr>
          <w:p>
            <w:pPr>
              <w:pStyle w:val="ChartGraphic"/>
            </w:pPr>
            <w:r>
              <w:rPr>
                <w:noProof/>
              </w:rPr>
              <w:drawing>
                <ns2:inline distT="0" distB="0" distL="0" distR="0" ns3:anchorId="45A3159C" ns3:editId="32290892">
                  <ns2:extent cx="2314575" cy="2295525"/>
                  <ns2:effectExtent l="0" t="0" r="0" b="0"/>
                  <ns2:docPr id="1609990080" name="Graphic 1" descr="This line chart compares projections of the underlying cash balance at the 2025-26 MYEFO, the 2025 PEFO and the 2022 PEFO. The underlying cash balance as a share of GDP is expected to be in deficit over the projection period. In the 2025-26 MYEFO, the underlying cash balance is estimated to be a deficit of 1.3 per cent as a share of GDP in 2025-26, improving to a deficit of 1.1 per cent of GDP by 2028-29, and improving to a deficit of 0.1 per cent of GDP by 2035-36. At the 2025 PEFO, the underlying cash balance was expected to be a deficit of 1.5 per cent as a share of GDP in 2025-26, improve to a deficit of 1.1 per cent of GDP by 2028-29, and improve to balance by 2035-36. At the 2022 PEFO, the underlying cash balance was expected to be a deficit of 1.6 per cent as a share of GDP in 2025-26, improve to a deficit of 1.4 per cent of GDP by 2028-29, and improve to a deficit of 0.7 per cent of GDP by 2032-33.&#10;"/>
                  <ns2:cNvGraphicFramePr>
                    <a:graphicFrameLocks noChangeAspect="1"/>
                  </ns2:cNvGraphicFramePr>
                  <a:graphic>
                    <a:graphicData uri="http://schemas.openxmlformats.org/drawingml/2006/picture">
                      <ns5:pic>
                        <ns5:nvPicPr>
                          <ns5:cNvPr id="1609990080" name="Graphic 1" descr="This line chart compares projections of the underlying cash balance at the 2025-26 MYEFO, the 2025 PEFO and the 2022 PEFO. The underlying cash balance as a share of GDP is expected to be in deficit over the projection period. In the 2025-26 MYEFO, the underlying cash balance is estimated to be a deficit of 1.3 per cent as a share of GDP in 2025-26, improving to a deficit of 1.1 per cent of GDP by 2028-29, and improving to a deficit of 0.1 per cent of GDP by 2035-36. At the 2025 PEFO, the underlying cash balance was expected to be a deficit of 1.5 per cent as a share of GDP in 2025-26, improve to a deficit of 1.1 per cent of GDP by 2028-29, and improve to balance by 2035-36. At the 2022 PEFO, the underlying cash balance was expected to be a deficit of 1.6 per cent as a share of GDP in 2025-26, improve to a deficit of 1.4 per cent of GDP by 2028-29, and improve to a deficit of 0.7 per cent of GDP by 2032-33.&#10;"/>
                          <ns5:cNvPicPr/>
                        </ns5:nvPicPr>
                        <ns5:blipFill>
                          <a:blip r:embed="rId7">
                            <a:extLst>
                              <a:ext uri="{96DAC541-7B7A-43D3-8B79-37D633B846F1}">
                                <ns7:svgBlip r:embed="rId8"/>
                              </a:ext>
                            </a:extLst>
                          </a:blip>
                          <a:stretch>
                            <a:fillRect/>
                          </a:stretch>
                        </ns5:blipFill>
                        <ns5:spPr>
                          <a:xfrm>
                            <a:off x="0" y="0"/>
                            <a:ext cx="2314575" cy="2295525"/>
                          </a:xfrm>
                          <a:prstGeom prst="rect">
                            <a:avLst/>
                          </a:prstGeom>
                        </ns5:spPr>
                      </ns5:pic>
                    </a:graphicData>
                  </a:graphic>
                </ns2:inline>
              </w:drawing>
            </w:r>
          </w:p>
        </w:tc>
        <w:tc>
          <w:tcPr>
            <w:tcW w:w="3855" w:type="dxa"/>
          </w:tcPr>
          <w:p>
            <w:pPr>
              <w:pStyle w:val="ChartGraphic"/>
            </w:pPr>
            <w:r>
              <w:rPr>
                <w:noProof/>
              </w:rPr>
              <w:drawing>
                <ns2:inline distT="0" distB="0" distL="0" distR="0" ns3:anchorId="65EAF2FD" ns3:editId="6DC531D8">
                  <ns2:extent cx="2314575" cy="2333625"/>
                  <ns2:effectExtent l="0" t="0" r="0" b="9525"/>
                  <ns2:docPr id="1809836235" name="Graphic 1" descr="This line chart compares projections of gross debt as a share of GDP at the 2025-26 MYEFO, the 2025 PEFO and the 2022 PEFO. In the 2025-26 MYEFO, gross debt is expected to be 34.0 per cent of GDP in 2025-26 before peaking at 37.0 per cent of GDP in 2030-31 and reducing to 33.0 per cent of GDP by the end of the medium term. At the 2025 PEFO, gross debt was expected to stabilise at 37.0 per cent of GDP in 2029-30 and decrease to 31.9 per cent by 2035-36. At the 2022 PEFO, gross debt was expected to peak at 44.9 per cent of GDP in 2024-25 and decrease to 40.3 per cent by 2032-33. Gross debt as a share of GDP is projected to be at the same level as the 2025 PEFO, but lower over the medium term compared to the 2022 PEFO.&#10;"/>
                  <ns2:cNvGraphicFramePr>
                    <a:graphicFrameLocks noChangeAspect="1"/>
                  </ns2:cNvGraphicFramePr>
                  <a:graphic>
                    <a:graphicData uri="http://schemas.openxmlformats.org/drawingml/2006/picture">
                      <ns5:pic>
                        <ns5:nvPicPr>
                          <ns5:cNvPr id="1809836235" name="Graphic 1" descr="This line chart compares projections of gross debt as a share of GDP at the 2025-26 MYEFO, the 2025 PEFO and the 2022 PEFO. In the 2025-26 MYEFO, gross debt is expected to be 34.0 per cent of GDP in 2025-26 before peaking at 37.0 per cent of GDP in 2030-31 and reducing to 33.0 per cent of GDP by the end of the medium term. At the 2025 PEFO, gross debt was expected to stabilise at 37.0 per cent of GDP in 2029-30 and decrease to 31.9 per cent by 2035-36. At the 2022 PEFO, gross debt was expected to peak at 44.9 per cent of GDP in 2024-25 and decrease to 40.3 per cent by 2032-33. Gross debt as a share of GDP is projected to be at the same level as the 2025 PEFO, but lower over the medium term compared to the 2022 PEFO.&#10;"/>
                          <ns5:cNvPicPr/>
                        </ns5:nvPicPr>
                        <ns5:blipFill>
                          <a:blip r:embed="rId9">
                            <a:extLst>
                              <a:ext uri="{96DAC541-7B7A-43D3-8B79-37D633B846F1}">
                                <ns7:svgBlip r:embed="rId10"/>
                              </a:ext>
                            </a:extLst>
                          </a:blip>
                          <a:stretch>
                            <a:fillRect/>
                          </a:stretch>
                        </ns5:blipFill>
                        <ns5:spPr>
                          <a:xfrm>
                            <a:off x="0" y="0"/>
                            <a:ext cx="2314575" cy="2333625"/>
                          </a:xfrm>
                          <a:prstGeom prst="rect">
                            <a:avLst/>
                          </a:prstGeom>
                        </ns5:spPr>
                      </ns5:pic>
                    </a:graphicData>
                  </a:graphic>
                </ns2:inline>
              </w:drawing>
            </w:r>
          </w:p>
        </w:tc>
      </w:tr>
      <w:tr>
        <w:tc>
          <w:tcPr>
            <w:tcW w:w="3855" w:type="dxa"/>
          </w:tcPr>
          <w:p>
            <w:pPr>
              <w:pStyle w:val="ChartandTableFootnote"/>
            </w:pPr>
            <w:r>
              <w:t xml:space="preserve">Source: </w:t>
            </w:r>
            <w:r>
              <w:tab/>
            </w:r>
            <w:r>
              <w:t>Treasury</w:t>
            </w:r>
            <w:r>
              <w:t xml:space="preserve">. </w:t>
            </w:r>
          </w:p>
        </w:tc>
        <w:tc>
          <w:tcPr>
            <w:tcW w:w="3855" w:type="dxa"/>
          </w:tcPr>
          <w:p>
            <w:pPr>
              <w:pStyle w:val="ChartandTableFootnote"/>
            </w:pPr>
            <w:r>
              <w:t>Source</w:t>
            </w:r>
            <w:r>
              <w:t xml:space="preserve">: </w:t>
            </w:r>
            <w:r>
              <w:tab/>
            </w:r>
            <w:r>
              <w:t>Australian Office of Financial Management</w:t>
            </w:r>
            <w:r>
              <w:t xml:space="preserve">, </w:t>
            </w:r>
            <w:r>
              <w:t>Treasury</w:t>
            </w:r>
            <w:r>
              <w:t>.</w:t>
            </w:r>
          </w:p>
        </w:tc>
      </w:tr>
    </w:tbl>
    <w:p>
      <w:pPr>
        <w:pStyle w:val="ChartMainHeading"/>
      </w:pPr>
      <w:bookmarkStart w:id="4" w:name="_1795240515"/>
      <w:bookmarkStart w:id="5" w:name="_1795413747"/>
      <w:bookmarkStart w:id="6" w:name="_1795417375"/>
      <w:bookmarkStart w:id="7" w:name="_1795519287"/>
      <w:bookmarkStart w:id="8" w:name="_1795592145"/>
      <w:bookmarkEnd w:id="4"/>
      <w:bookmarkEnd w:id="5"/>
      <w:bookmarkEnd w:id="6"/>
      <w:bookmarkEnd w:id="7"/>
      <w:bookmarkEnd w:id="8"/>
      <w:r>
        <w:lastRenderedPageBreak/>
        <w:t>Chart 3.3: Gross debt in 2025</w:t>
      </w:r>
    </w:p>
    <w:p>
      <w:pPr>
        <w:pStyle w:val="ChartMainHeading"/>
      </w:pPr>
      <w:bookmarkStart w:id="14" w:name="_1795509534"/>
      <w:bookmarkStart w:id="15" w:name="_1795519293"/>
      <w:bookmarkEnd w:id="14"/>
      <w:bookmarkEnd w:id="15"/>
      <w:r>
        <w:t>Chart 3.</w:t>
      </w:r>
      <w:r>
        <w:t>4</w:t>
      </w:r>
      <w:r>
        <w:t>: Payments and receipts</w:t>
      </w:r>
    </w:p>
    <w:tbl>
      <w:tblPr>
        <w:tblW w:w="5000" w:type="pct"/>
        <w:tblLook w:val="04A0" w:firstRow="1" w:lastRow="0" w:firstColumn="1" w:lastColumn="0" w:noHBand="0" w:noVBand="1"/>
      </w:tblPr>
      <w:tblGrid>
        <w:gridCol w:w="3855"/>
        <w:gridCol w:w="3855"/>
      </w:tblGrid>
      <w:tr>
        <w:tc>
          <w:tcPr>
            <w:tcW w:w="2500" w:type="pct"/>
            <w:tcMar>
              <w:left w:w="0" w:type="dxa"/>
            </w:tcMar>
          </w:tcPr>
          <w:p>
            <w:pPr>
              <w:pStyle w:val="ChartMainHeading"/>
            </w:pPr>
            <w:r>
              <w:lastRenderedPageBreak/>
              <w:t>Chart 3.</w:t>
            </w:r>
            <w:r>
              <w:t>5</w:t>
            </w:r>
            <w:r>
              <w:t>: Total receipts</w:t>
            </w:r>
          </w:p>
        </w:tc>
        <w:tc>
          <w:tcPr>
            <w:tcW w:w="2500" w:type="pct"/>
            <w:tcMar>
              <w:left w:w="0" w:type="dxa"/>
            </w:tcMar>
          </w:tcPr>
          <w:p>
            <w:pPr>
              <w:pStyle w:val="ChartMainHeading"/>
            </w:pPr>
            <w:r>
              <w:t>Chart 3.</w:t>
            </w:r>
            <w:r>
              <w:t>6</w:t>
            </w:r>
            <w:r>
              <w:t xml:space="preserve">: Total payments </w:t>
            </w:r>
          </w:p>
        </w:tc>
      </w:tr>
      <w:tr>
        <w:tc>
          <w:tcPr>
            <w:tcW w:w="2500" w:type="pct"/>
          </w:tcPr>
          <w:p>
            <w:pPr>
              <w:pStyle w:val="ChartGraphic"/>
            </w:pPr>
            <w:bookmarkStart w:id="20" w:name="_1803895574"/>
            <w:bookmarkStart w:id="21" w:name="_1804053200"/>
            <w:bookmarkStart w:id="22" w:name="_1804053174"/>
            <w:bookmarkEnd w:id="20"/>
            <w:bookmarkEnd w:id="21"/>
            <w:bookmarkEnd w:id="22"/>
            <w:r>
              <w:rPr>
                <w:noProof/>
              </w:rPr>
              <w:drawing>
                <ns2:inline distT="0" distB="0" distL="0" distR="0" ns3:anchorId="0DC6E986" ns3:editId="60CDE690">
                  <ns2:extent cx="2295525" cy="2305050"/>
                  <ns2:effectExtent l="0" t="0" r="0" b="0"/>
                  <ns2:docPr id="1611379918" name="Graphic 1" descr="This line chart shows total receipts and tax receipts as a share of GDP at the 2025-26 MYEFO and the 2025 PEFO. Total receipts as a share of GDP are to be 25.7 per cent of GDP in 2025–26 and 25.4 per cent of GDP in 2028–29. During this period, tax receipts are expected to decrease from 23.6 per cent of GDP to 23.5 per cent of GDP. Total receipts are expected to increase to 26.6 per cent of GDP in 2035-36, compared to 26.8 per cent of GDP at the 2025 PEFO. Tax receipts are expected to increase to 24.7 per cent of GDP in 2035-36, compared to 24.9 per cent of GDP at the 2025 PEFO."/>
                  <ns2:cNvGraphicFramePr>
                    <a:graphicFrameLocks noChangeAspect="1"/>
                  </ns2:cNvGraphicFramePr>
                  <a:graphic>
                    <a:graphicData uri="http://schemas.openxmlformats.org/drawingml/2006/picture">
                      <ns5:pic>
                        <ns5:nvPicPr>
                          <ns5:cNvPr id="1611379918" name="Graphic 1" descr="This line chart shows total receipts and tax receipts as a share of GDP at the 2025-26 MYEFO and the 2025 PEFO. Total receipts as a share of GDP are to be 25.7 per cent of GDP in 2025–26 and 25.4 per cent of GDP in 2028–29. During this period, tax receipts are expected to decrease from 23.6 per cent of GDP to 23.5 per cent of GDP. Total receipts are expected to increase to 26.6 per cent of GDP in 2035-36, compared to 26.8 per cent of GDP at the 2025 PEFO. Tax receipts are expected to increase to 24.7 per cent of GDP in 2035-36, compared to 24.9 per cent of GDP at the 2025 PEFO."/>
                          <ns5:cNvPicPr/>
                        </ns5:nvPicPr>
                        <ns5:blipFill>
                          <a:blip r:embed="rId15">
                            <a:extLst>
                              <a:ext uri="{96DAC541-7B7A-43D3-8B79-37D633B846F1}">
                                <ns7:svgBlip r:embed="rId16"/>
                              </a:ext>
                            </a:extLst>
                          </a:blip>
                          <a:stretch>
                            <a:fillRect/>
                          </a:stretch>
                        </ns5:blipFill>
                        <ns5:spPr>
                          <a:xfrm>
                            <a:off x="0" y="0"/>
                            <a:ext cx="2295525" cy="2305050"/>
                          </a:xfrm>
                          <a:prstGeom prst="rect">
                            <a:avLst/>
                          </a:prstGeom>
                        </ns5:spPr>
                      </ns5:pic>
                    </a:graphicData>
                  </a:graphic>
                </ns2:inline>
              </w:drawing>
            </w:r>
          </w:p>
        </w:tc>
        <w:tc>
          <w:tcPr>
            <w:tcW w:w="2500" w:type="pct"/>
          </w:tcPr>
          <w:p>
            <w:pPr>
              <w:pStyle w:val="ChartGraphic"/>
            </w:pPr>
            <w:bookmarkStart w:id="23" w:name="_1803895596"/>
            <w:bookmarkStart w:id="24" w:name="_1804053203"/>
            <w:bookmarkStart w:id="25" w:name="_1804053212"/>
            <w:bookmarkEnd w:id="23"/>
            <w:bookmarkEnd w:id="24"/>
            <w:bookmarkEnd w:id="25"/>
            <w:r>
              <w:rPr>
                <w:noProof/>
              </w:rPr>
              <w:drawing>
                <ns2:inline distT="0" distB="0" distL="0" distR="0" ns3:anchorId="17EDF668" ns3:editId="09CD93E4">
                  <ns2:extent cx="2305050" cy="2286000"/>
                  <ns2:effectExtent l="0" t="0" r="0" b="0"/>
                  <ns2:docPr id="1707213296" name="Graphic 1" descr="This line chart shows total payments as a share of GDP at the 2025-26 MYEFO and the 2025 PEFO. Total payments as share of GDP are expected to increase from 26.9 per cent of GDP in 2025-26 to 27.0 per cent of GDP in 2032-33. Payments then gradually decrease to 26.8 per cent of GDP at the end of the medium term. Compared to the 2025 PEFO, payments as a share of GDP are projected to be slightly higher over the medium term."/>
                  <ns2:cNvGraphicFramePr>
                    <a:graphicFrameLocks noChangeAspect="1"/>
                  </ns2:cNvGraphicFramePr>
                  <a:graphic>
                    <a:graphicData uri="http://schemas.openxmlformats.org/drawingml/2006/picture">
                      <ns5:pic>
                        <ns5:nvPicPr>
                          <ns5:cNvPr id="1707213296" name="Graphic 1" descr="This line chart shows total payments as a share of GDP at the 2025-26 MYEFO and the 2025 PEFO. Total payments as share of GDP are expected to increase from 26.9 per cent of GDP in 2025-26 to 27.0 per cent of GDP in 2032-33. Payments then gradually decrease to 26.8 per cent of GDP at the end of the medium term. Compared to the 2025 PEFO, payments as a share of GDP are projected to be slightly higher over the medium term."/>
                          <ns5:cNvPicPr/>
                        </ns5:nvPicPr>
                        <ns5:blipFill>
                          <a:blip r:embed="rId17">
                            <a:extLst>
                              <a:ext uri="{96DAC541-7B7A-43D3-8B79-37D633B846F1}">
                                <ns7:svgBlip r:embed="rId18"/>
                              </a:ext>
                            </a:extLst>
                          </a:blip>
                          <a:stretch>
                            <a:fillRect/>
                          </a:stretch>
                        </ns5:blipFill>
                        <ns5:spPr>
                          <a:xfrm>
                            <a:off x="0" y="0"/>
                            <a:ext cx="2305050" cy="2286000"/>
                          </a:xfrm>
                          <a:prstGeom prst="rect">
                            <a:avLst/>
                          </a:prstGeom>
                        </ns5:spPr>
                      </ns5:pic>
                    </a:graphicData>
                  </a:graphic>
                </ns2:inline>
              </w:drawing>
            </w:r>
          </w:p>
        </w:tc>
      </w:tr>
      <w:tr>
        <w:tc>
          <w:tcPr>
            <w:tcW w:w="2500" w:type="pct"/>
            <w:tcMar>
              <w:left w:w="0" w:type="dxa"/>
            </w:tcMar>
          </w:tcPr>
          <w:p>
            <w:pPr>
              <w:pStyle w:val="ChartandTableFootnote"/>
            </w:pPr>
            <w:r>
              <w:t>Source:</w:t>
            </w:r>
            <w:r>
              <w:tab/>
            </w:r>
            <w:r>
              <w:t xml:space="preserve">Treasury. </w:t>
            </w:r>
          </w:p>
        </w:tc>
        <w:tc>
          <w:tcPr>
            <w:tcW w:w="2500" w:type="pct"/>
            <w:tcMar>
              <w:left w:w="0" w:type="dxa"/>
            </w:tcMar>
          </w:tcPr>
          <w:p>
            <w:pPr>
              <w:pStyle w:val="ChartandTableFootnote"/>
            </w:pPr>
            <w:r>
              <w:t>Source:</w:t>
            </w:r>
            <w:r>
              <w:tab/>
            </w:r>
            <w:r>
              <w:t>Treasury.</w:t>
            </w:r>
          </w:p>
        </w:tc>
      </w:tr>
    </w:tbl>
    <w:p>
      <w:pPr>
        <w:pStyle w:val="ChartMainHeading"/>
      </w:pPr>
      <w:r>
        <w:t>Chart 3.</w:t>
      </w:r>
      <w:r>
        <w:t>7</w:t>
      </w:r>
      <w:r>
        <w:t xml:space="preserve">: Average annual growth in major payments </w:t>
      </w:r>
      <w:r>
        <w:t xml:space="preserve">from </w:t>
      </w:r>
      <w:r>
        <w:t>202</w:t>
      </w:r>
      <w:r>
        <w:t>5</w:t>
      </w:r>
      <w:r>
        <w:t>–2</w:t>
      </w:r>
      <w:r>
        <w:t>6</w:t>
      </w:r>
      <w:r>
        <w:t xml:space="preserve"> to 203</w:t>
      </w:r>
      <w:r>
        <w:t>5</w:t>
      </w:r>
      <w:r>
        <w:t>–3</w:t>
      </w:r>
      <w:r>
        <w:t>6</w:t>
      </w:r>
      <w:bookmarkStart w:id="26" w:name="_1795519297"/>
      <w:bookmarkEnd w:id="26"/>
    </w:p>
    <w:p>
      <w:pPr>
        <w:pStyle w:val="ChartMainHeading"/>
      </w:pPr>
      <w:r>
        <w:t>Chart 3.</w:t>
      </w:r>
      <w:r>
        <w:t>8</w:t>
      </w:r>
      <w:r>
        <w:t>: Net debt</w:t>
      </w:r>
    </w:p>
    <w:p>
      <w:pPr>
        <w:pStyle w:val="ChartMainHeading"/>
      </w:pPr>
      <w:r>
        <w:t>Chart 3.</w:t>
      </w:r>
      <w:r>
        <w:t>9</w:t>
      </w:r>
      <w:r>
        <w:t>: Net financial worth</w:t>
      </w:r>
    </w:p>
    <w:p>
      <w:pPr>
        <w:pStyle w:val="ChartMainHeading"/>
      </w:pPr>
      <w:r>
        <w:t>Chart 3.</w:t>
      </w:r>
      <w:r>
        <w:t>1</w:t>
      </w:r>
      <w:r>
        <w:t>0</w:t>
      </w:r>
      <w:r>
        <w:t>: Structural budget balance</w:t>
      </w:r>
    </w:p>
  </w:body>
</w:document>
</file>