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bookmarkStart w:id="60" w:name="_Toc215139603"/>
      <w:r>
        <w:lastRenderedPageBreak/>
        <w:t>Appendix</w:t>
      </w:r>
      <w:bookmarkEnd w:id="59"/>
      <w:bookmarkEnd w:id="60"/>
    </w:p>
    <w:p>
      <w:bookmarkStart w:id="61" w:name="_Toc441066993"/>
      <w:r>
        <w:t xml:space="preserve">This appendix provides further detailed information about th</w:t>
      </w:r>
    </w:p>
    <w:p>
      <w:pPr>
        <w:pStyle w:val="Heading2-notnumbered"/>
      </w:pPr>
      <w:bookmarkStart w:id="62" w:name="_Toc2041250446"/>
      <w:bookmarkStart w:id="63" w:name="_Toc2131563234"/>
      <w:bookmarkStart w:id="64" w:name="_Toc183832504"/>
      <w:bookmarkStart w:id="65" w:name="_Toc126933891"/>
      <w:bookmarkEnd w:id="61"/>
      <w:r>
        <w:t xml:space="preserve"> A.1Revenue forgone estimates for all tax expenditures</w:t>
      </w:r>
      <w:bookmarkStart w:id="66" w:name="_Toc184287665"/>
      <w:bookmarkStart w:id="67" w:name="_Toc215139604"/>
      <w:r>
        <w:t/>
      </w:r>
      <w:r>
        <w:tab/>
        <w:t/>
      </w:r>
      <w:bookmarkEnd w:id="62"/>
      <w:bookmarkEnd w:id="63"/>
      <w:bookmarkEnd w:id="64"/>
      <w:bookmarkEnd w:id="65"/>
      <w:bookmarkEnd w:id="66"/>
      <w:bookmarkEnd w:id="67"/>
    </w:p>
    <w:p>
      <w:r>
        <w:t xml:space="preserve">Appendix A.1 contains disaggregated estimates of revenue for</w:t>
      </w:r>
      <w:r>
        <w:t xml:space="preserve"/>
      </w:r>
      <w:r>
        <w:t xml:space="preserve"/>
      </w:r>
      <w:r>
        <w:rPr>
          <w:rStyle w:val="Emphasis"/>
          <w:rFonts w:eastAsiaTheme="minorHAnsi"/>
        </w:rPr>
        <w:t/>
      </w:r>
      <w:r>
        <w:rPr>
          <w:rStyle w:val="Emphasis"/>
          <w:rFonts w:eastAsiaTheme="minorHAnsi"/>
        </w:rPr>
        <w:t/>
      </w:r>
      <w:r>
        <w:rPr>
          <w:rStyle w:val="Emphasis"/>
          <w:rFonts w:eastAsiaTheme="minorHAnsi"/>
        </w:rPr>
        <w:t/>
      </w:r>
      <w:r>
        <w:rPr>
          <w:i/>
          <w:iCs/>
        </w:rPr>
        <w:t xml:space="preserve"/>
      </w:r>
      <w:r>
        <w:t xml:space="preserve"/>
      </w:r>
    </w:p>
    <w:p>
      <w:r>
        <w:t xml:space="preserve">Tax expenditures have been grouped in this appendix by the t</w:t>
      </w:r>
    </w:p>
    <w:p>
      <w:pPr>
        <w:pStyle w:val="TableHeading"/>
        <w:rPr>
          <w:rFonts w:cs="Arial"/>
          <w:b w:val="0"/>
        </w:rPr>
      </w:pPr>
      <w:r>
        <w:t>Table A1.1 Number of tax expenditures by category</w:t>
      </w:r>
    </w:p>
    <w:tbl>
      <w:tblPr>
        <w:tblW w:w="5000" w:type="pct"/>
        <w:jc w:val="center"/>
        <w:tblLook w:val="04A0" w:firstRow="1" w:lastRow="0" w:firstColumn="1" w:lastColumn="0" w:noHBand="0" w:noVBand="1"/>
        <w:tblCaption w:val="Table"/>
      </w:tblPr>
      <w:tblGrid>
        <w:gridCol w:w="3855"/>
        <w:gridCol w:w="3856"/>
      </w:tblGrid>
      <w:tr>
        <w:trPr>
          <w:jc w:val="center"/>
        </w:trPr>
        <w:tc>
          <w:tcPr>
            <w:tcW w:w="3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>
            <w:pPr>
              <w:pStyle w:val="TableColumnHeadingLeft"/>
            </w:pPr>
            <w:r>
              <w:t>Tax expenditure category</w:t>
            </w:r>
          </w:p>
        </w:tc>
        <w:tc>
          <w:tcPr>
            <w:tcW w:w="3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right w:w="0" w:type="dxa"/>
            </w:tcMar>
          </w:tcPr>
          <w:p>
            <w:pPr>
              <w:pStyle w:val="TableColumnHeadingRight"/>
            </w:pPr>
            <w:r>
              <w:t>Number of tax expenditures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Personal income tax</w:t>
            </w:r>
          </w:p>
        </w:tc>
        <w:tc>
          <w:tcPr>
            <w:tcW w:w="3851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6</w:t>
            </w:r>
            <w:r>
              <w:t>2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Business income tax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91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Superannuation tax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12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Fringe benefits tax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52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Capital gains tax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33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Indirect taxes excluding GST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21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Natural resource taxes</w:t>
            </w:r>
          </w:p>
        </w:tc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8</w:t>
            </w:r>
          </w:p>
        </w:tc>
      </w:tr>
      <w:tr>
        <w:trPr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t>Goods and services tax</w:t>
            </w:r>
          </w:p>
        </w:tc>
        <w:tc>
          <w:tcPr>
            <w:tcW w:w="385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right w:w="0" w:type="dxa"/>
            </w:tcMar>
          </w:tcPr>
          <w:p>
            <w:pPr>
              <w:pStyle w:val="TableTextRight"/>
            </w:pPr>
            <w:r>
              <w:t>25</w:t>
            </w:r>
          </w:p>
        </w:tc>
      </w:tr>
      <w:tr>
        <w:trPr>
          <w:jc w:val="center"/>
        </w:trPr>
        <w:tc>
          <w:tcPr>
            <w:tcW w:w="3850" w:type="dxa"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>
            <w:pPr>
              <w:pStyle w:val="TableTextLeft"/>
            </w:pPr>
            <w:r>
              <w:rPr>
                <w:b/>
                <w:bCs/>
              </w:rPr>
              <w:t>Total</w:t>
            </w:r>
          </w:p>
        </w:tc>
        <w:tc>
          <w:tcPr>
            <w:tcW w:w="3851" w:type="dxa"/>
            <w:tcBorders>
              <w:left w:val="nil"/>
              <w:bottom w:val="single" w:sz="4" w:space="0" w:color="auto"/>
              <w:right w:val="nil"/>
            </w:tcBorders>
            <w:tcMar>
              <w:right w:w="0" w:type="dxa"/>
            </w:tcMar>
          </w:tcPr>
          <w:p>
            <w:pPr>
              <w:pStyle w:val="TableTextRight"/>
              <w:rPr>
                <w:bCs/>
              </w:rPr>
            </w:pPr>
            <w:r>
              <w:rPr>
                <w:b/>
                <w:bCs/>
              </w:rPr>
              <w:t>30</w:t>
            </w:r>
            <w:r>
              <w:rPr>
                <w:b/>
                <w:bCs/>
              </w:rPr>
              <w:t>4</w:t>
            </w:r>
          </w:p>
        </w:tc>
      </w:tr>
    </w:tbl>
    <w:p>
      <w:pPr>
        <w:rPr>
          <w:lang w:eastAsia="en-US"/>
        </w:rPr>
      </w:pPr>
      <w:r>
        <w:t>For each tax expenditure, the reliability of the estimate (w</w:t>
      </w:r>
      <w:r>
        <w:rPr>
          <w:lang w:eastAsia="en-US"/>
        </w:rPr>
        <w:t/>
      </w:r>
    </w:p>
    <w:p>
      <w:pPr>
        <w:pStyle w:val="Bullet"/>
      </w:pPr>
      <w:r>
        <w:t>the reliability of the available data</w:t>
      </w:r>
    </w:p>
    <w:p>
      <w:pPr>
        <w:pStyle w:val="Bullet"/>
      </w:pPr>
      <w:r>
        <w:t>the underlying assumptions made where no data, or insufficie</w:t>
      </w:r>
    </w:p>
    <w:p>
      <w:pPr>
        <w:pStyle w:val="Bullet"/>
      </w:pPr>
      <w:r>
        <w:t xml:space="preserve">other relevant factors (for example, the volatility of growt</w:t>
      </w:r>
    </w:p>
    <w:p>
      <w:r>
        <w:t>The following codes apply where a point estimate is not avai</w:t>
      </w:r>
    </w:p>
    <w:p>
      <w:pPr>
        <w:pStyle w:val="NormalIndent"/>
        <w:spacing w:after="160"/>
      </w:pPr>
      <w:r>
        <w:noBreakHyphen/>
      </w:r>
      <w:r>
        <w:t xml:space="preserve"> nil</w:t>
      </w:r>
      <w:r>
        <w:tab/>
      </w:r>
      <w:r>
        <w:tab/>
      </w:r>
      <w:r>
        <w:t/>
      </w:r>
    </w:p>
    <w:p>
      <w:pPr>
        <w:pStyle w:val="NormalIndent"/>
        <w:spacing w:after="160"/>
      </w:pPr>
      <w:r>
        <w:t xml:space="preserve">.. not zero but rounded to zero</w:t>
      </w:r>
      <w:r>
        <w:tab/>
        <w:t/>
      </w:r>
    </w:p>
    <w:p>
      <w:pPr>
        <w:pStyle w:val="NormalIndent"/>
        <w:spacing w:after="160"/>
      </w:pPr>
      <w:r>
        <w:t>*unquantifiable</w:t>
      </w:r>
      <w:r>
        <w:tab/>
      </w:r>
      <w:r>
        <w:tab/>
        <w:t/>
      </w:r>
    </w:p>
    <w:p>
      <w:pPr>
        <w:pStyle w:val="NormalIndent"/>
      </w:pPr>
      <w:r>
        <w:t xml:space="preserve">nfp not for publication due to commercial sensitivities</w:t>
      </w:r>
      <w:r>
        <w:tab/>
        <w:t/>
      </w:r>
    </w:p>
    <w:p>
      <w:r>
        <w:lastRenderedPageBreak/>
        <w:t>Where tax expenditures are not quantifiable, an order of mag</w:t>
      </w:r>
    </w:p>
    <w:p>
      <w:pPr>
        <w:pStyle w:val="NormalIndent"/>
        <w:rPr>
          <w:b/>
          <w:bCs/>
        </w:rPr>
      </w:pPr>
      <w:r>
        <w:rPr>
          <w:b/>
          <w:bCs/>
        </w:rPr>
        <w:t>CategoryExpected expenditure ($m)</w:t>
      </w:r>
      <w:r>
        <w:rPr>
          <w:b/>
          <w:bCs/>
        </w:rPr>
        <w:tab/>
        <w:t/>
      </w:r>
    </w:p>
    <w:p>
      <w:pPr>
        <w:pStyle w:val="NormalIndent"/>
      </w:pPr>
      <w:r>
        <w:t>00 on average over reporting period</w:t>
      </w:r>
      <w:r>
        <w:tab/>
      </w:r>
      <w:r>
        <w:tab/>
        <w:t/>
      </w:r>
    </w:p>
    <w:p>
      <w:pPr>
        <w:pStyle w:val="NormalIndent"/>
      </w:pPr>
      <w:r>
        <w:t>10–10</w:t>
      </w:r>
      <w:r>
        <w:tab/>
      </w:r>
      <w:r>
        <w:tab/>
        <w:t/>
      </w:r>
    </w:p>
    <w:p>
      <w:pPr>
        <w:pStyle w:val="NormalIndent"/>
      </w:pPr>
      <w:r>
        <w:t>210–100</w:t>
      </w:r>
      <w:r>
        <w:tab/>
      </w:r>
      <w:r>
        <w:tab/>
        <w:t/>
      </w:r>
    </w:p>
    <w:p>
      <w:pPr>
        <w:pStyle w:val="NormalIndent"/>
      </w:pPr>
      <w:r>
        <w:t>3100–1,000</w:t>
      </w:r>
      <w:r>
        <w:tab/>
      </w:r>
      <w:r>
        <w:tab/>
        <w:t/>
      </w:r>
    </w:p>
    <w:p>
      <w:pPr>
        <w:pStyle w:val="NormalIndent"/>
      </w:pPr>
      <w:r>
        <w:t>41,000 +</w:t>
      </w:r>
      <w:r>
        <w:tab/>
      </w:r>
      <w:r>
        <w:tab/>
        <w:t/>
      </w:r>
    </w:p>
    <w:p>
      <w:pPr>
        <w:pStyle w:val="NormalIndent"/>
      </w:pPr>
      <w:r>
        <w:t>NAnot available</w:t>
      </w:r>
      <w:r>
        <w:tab/>
        <w:t/>
      </w:r>
    </w:p>
    <w:bookmarkEnd w:id="34"/>
    <w:p>
      <w:pPr>
        <w:pStyle w:val="Heading3"/>
      </w:pPr>
      <w:r>
        <w:lastRenderedPageBreak/>
        <w:t>Personal income</w:t>
      </w:r>
    </w:p>
    <w:p>
      <w:pPr>
        <w:pStyle w:val="Heading4"/>
      </w:pPr>
      <w:r>
        <w:t>Tax expenditures for general public services</w:t>
      </w:r>
    </w:p>
    <w:p>
      <w:pPr>
        <w:pStyle w:val="Heading5"/>
        <w:rPr>
          <w:b w:val="0"/>
          <w:bCs/>
          <w:i/>
          <w:iCs/>
        </w:rPr>
      </w:pPr>
      <w:r>
        <w:rPr>
          <w:bCs/>
          <w:iCs/>
        </w:rPr>
        <w:t>A1</w:t>
      </w:r>
      <w:r>
        <w:rPr>
          <w:bCs/>
          <w:iCs/>
        </w:rPr>
        <w:tab/>
      </w:r>
      <w:r>
        <w:rPr>
          <w:bCs/>
          <w:iCs/>
        </w:rPr>
        <w:t>Deduction for expenses incurred by election candidates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Legislative and executive affairs ($m)</w:t>
      </w:r>
    </w:p>
    <w:tbl>
      <w:tblPr>
        <w:tblW w:w="5017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8"/>
        <w:gridCol w:w="967"/>
        <w:gridCol w:w="967"/>
        <w:gridCol w:w="967"/>
        <w:gridCol w:w="967"/>
        <w:gridCol w:w="967"/>
        <w:gridCol w:w="967"/>
        <w:gridCol w:w="967"/>
      </w:tblGrid>
      <w:tr>
        <w:trPr>
          <w:cantSplit/>
          <w:jc w:val="center"/>
        </w:trPr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625" w:type="pct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</w:tr>
      <w:tr>
        <w:trPr>
          <w:cantSplit/>
          <w:jc w:val="center"/>
        </w:trPr>
        <w:tc>
          <w:tcPr>
            <w:tcW w:w="625" w:type="pct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625" w:type="pct"/>
            <w:gridSpan w:val="3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625" w:type="pct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</w:t>
            </w:r>
          </w:p>
        </w:tc>
      </w:tr>
      <w:tr>
        <w:trPr>
          <w:cantSplit/>
          <w:jc w:val="center"/>
        </w:trPr>
        <w:tc>
          <w:tcPr>
            <w:tcW w:w="625" w:type="pct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625" w:type="pct"/>
            <w:gridSpan w:val="3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625" w:type="pct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625" w:type="pct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625" w:type="pct"/>
            <w:gridSpan w:val="3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625" w:type="pct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625" w:type="pct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625" w:type="pct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625" w:type="pct"/>
            <w:gridSpan w:val="6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25-60, 25-65 and 25-70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expenses are only deductible if they ar</w:t>
      </w:r>
      <w:r>
        <w:fldChar w:fldCharType="begin"/>
      </w:r>
      <w:r>
        <w:instrText xml:space="preserve"> XE </w:instrText>
      </w:r>
      <w:r>
        <w:instrText>“</w:instrText>
      </w:r>
      <w:r>
        <w:instrText>Election candidates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A2</w:t>
      </w:r>
      <w:r>
        <w:tab/>
        <w:t>Exemption of certain income earned by Australians working overseas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23AF and 23AG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</w:p>
    <w:p>
      <w:pPr>
        <w:pStyle w:val="Bullet"/>
      </w:pPr>
      <w:r>
        <w:t>the activities of the individual’s employer in operating a d</w:t>
      </w:r>
      <w:r>
        <w:t/>
      </w:r>
      <w:r>
        <w:t/>
      </w:r>
    </w:p>
    <w:p>
      <w:pPr>
        <w:pStyle w:val="Bullet"/>
      </w:pPr>
      <w:r>
        <w:t>the activities of the individual’s employer being a prescrib</w:t>
      </w:r>
      <w:r>
        <w:t/>
      </w:r>
      <w:r>
        <w:t/>
      </w:r>
    </w:p>
    <w:p>
      <w:pPr>
        <w:pStyle w:val="Bullet"/>
      </w:pPr>
      <w:r>
        <w:t>the individual’s deployment outside Australia by an Australi</w:t>
      </w:r>
      <w:r>
        <w:t/>
      </w:r>
      <w:r>
        <w:t/>
      </w:r>
    </w:p>
    <w:p>
      <w:pPr>
        <w:pStyle w:val="Bullet"/>
      </w:pPr>
      <w:r>
        <w:t>an activity of a kind specified in the regulations.</w:t>
      </w:r>
    </w:p>
    <w:p>
      <w:r>
        <w:lastRenderedPageBreak/>
        <w:t>This exemption may not apply where the foreign earnings are 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Australians working overseas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A3</w:t>
      </w:r>
      <w:r>
        <w:tab/>
        <w:t>Exemption of income of certain visitors to Australia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Sections 842-105 and 768-100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r>
        <w:t>The benchmark tax treatment is that income tax is paid on th</w:t>
      </w:r>
      <w:r>
        <w:noBreakHyphen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Visitors to Australia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A4</w:t>
      </w:r>
      <w:r>
        <w:tab/>
        <w:t>Exemption of official remuneration of officials of prescribed international organisations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International Organisations (Privileges and Immunities) Act 1963</w:t>
            </w:r>
          </w:p>
        </w:tc>
      </w:tr>
    </w:tbl>
    <w:p>
      <w:pPr>
        <w:pStyle w:val="MeasureTableHeading"/>
      </w:pPr>
    </w:p>
    <w:p>
      <w:r>
        <w:t>The benchmark tax treatment is that personal services income</w:t>
      </w:r>
      <w:r>
        <w:fldChar w:fldCharType="begin"/>
      </w:r>
      <w:r>
        <w:instrText xml:space="preserve"> XE </w:instrText>
      </w:r>
      <w:r>
        <w:instrText>“</w:instrText>
      </w:r>
      <w:r>
        <w:instrText>International organisations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International tax expenditures</w:t>
      </w:r>
    </w:p>
    <w:p>
      <w:pPr>
        <w:pStyle w:val="Heading5"/>
      </w:pPr>
      <w:r>
        <w:t>A5</w:t>
      </w:r>
      <w:r>
        <w:tab/>
        <w:t>Exemption for New Zealand sporting teams and support staff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6B of the </w:t>
            </w:r>
            <w:r>
              <w:rPr>
                <w:rFonts w:cs="Arial"/>
                <w:i/>
                <w:iCs/>
                <w:szCs w:val="16"/>
              </w:rPr>
              <w:t>International Tax Agreements Act 1953</w:t>
            </w:r>
          </w:p>
        </w:tc>
      </w:tr>
    </w:tbl>
    <w:p>
      <w:pPr>
        <w:pStyle w:val="MeasureTableHeading"/>
      </w:pPr>
    </w:p>
    <w:p>
      <w:r>
        <w:t>The benchmark tax treatment under the AustraliaNew Zealand D</w:t>
      </w:r>
      <w:r>
        <w:noBreakHyphen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Sportspersons:New Zealand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COVID</w:instrText>
      </w:r>
      <w:r>
        <w:noBreakHyphen/>
      </w:r>
      <w:r>
        <w:instrText>19:Response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New Zealand sporting teams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expenditures for defence</w:t>
      </w:r>
    </w:p>
    <w:p>
      <w:pPr>
        <w:pStyle w:val="Heading5"/>
      </w:pPr>
      <w:r>
        <w:t>A6</w:t>
      </w:r>
      <w:r>
        <w:tab/>
        <w:t>Australian Defence Force personnel</w:t>
      </w:r>
      <w:r>
        <w:t xml:space="preserve"> –</w:t>
      </w:r>
      <w:r>
        <w:t xml:space="preserve"> </w:t>
      </w:r>
      <w:r>
        <w:t>exemption of certain allowances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Section 51-5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Regulation 51-5.01 of the </w:t>
            </w:r>
            <w:r>
              <w:rPr>
                <w:rFonts w:cs="Arial"/>
                <w:i/>
                <w:iCs/>
                <w:szCs w:val="16"/>
              </w:rPr>
              <w:t>Income Tax Assessment Regulations 1997</w:t>
            </w:r>
          </w:p>
        </w:tc>
      </w:tr>
    </w:tbl>
    <w:p>
      <w:pPr>
        <w:pStyle w:val="MeasureTableHeading"/>
      </w:pPr>
    </w:p>
    <w:p>
      <w:r>
        <w:t xml:space="preserve"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lastRenderedPageBreak/>
        <w:t>A7</w:t>
      </w:r>
      <w:r>
        <w:tab/>
        <w:t>Australian Defence Force personnel</w:t>
      </w:r>
      <w:r>
        <w:t xml:space="preserve"> –</w:t>
      </w:r>
      <w:r>
        <w:t xml:space="preserve"> </w:t>
      </w:r>
      <w:r>
        <w:t>exemption of compensation for lost deployment allowance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Sections 51-5 and 51-32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A8</w:t>
      </w:r>
      <w:r>
        <w:tab/>
        <w:t>Australian Defence Force personnel</w:t>
      </w:r>
      <w:r>
        <w:t xml:space="preserve"> –</w:t>
      </w:r>
      <w:r>
        <w:t xml:space="preserve"> </w:t>
      </w:r>
      <w:r>
        <w:t>exemption of pay and allowances earned while on eligible overseas duty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23AD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A9</w:t>
      </w:r>
      <w:r>
        <w:tab/>
        <w:t>Australian Defence Force Reserve personnel</w:t>
      </w:r>
      <w:r>
        <w:t xml:space="preserve"> –</w:t>
      </w:r>
      <w:r>
        <w:t xml:space="preserve"> </w:t>
      </w:r>
      <w:r>
        <w:t>exemption of compensation for loss of pay and allowances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Sections 51-5 and 51-33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pPr>
        <w:pStyle w:val="MeasureTableHeading"/>
      </w:pPr>
    </w:p>
    <w:p>
      <w:r>
        <w:t xml:space="preserve"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Reserve personnel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 xml:space="preserve"/>
      </w:r>
      <w:r>
        <w:lastRenderedPageBreak/>
        <w:t/>
      </w:r>
    </w:p>
    <w:p>
      <w:pPr>
        <w:pStyle w:val="Heading5"/>
      </w:pPr>
      <w:r>
        <w:t>A10</w:t>
      </w:r>
      <w:r>
        <w:tab/>
        <w:t>Australian Defence Force Reserve personnel</w:t>
      </w:r>
      <w:r>
        <w:t xml:space="preserve"> –</w:t>
      </w:r>
      <w:r>
        <w:t xml:space="preserve"> </w:t>
      </w:r>
      <w:r>
        <w:t>exemption of pay and allowances for part</w:t>
      </w:r>
      <w:r>
        <w:noBreakHyphen/>
      </w:r>
      <w:r>
        <w:t>time personnel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51-5 of the </w:t>
            </w:r>
            <w:r>
              <w:rPr>
                <w:rFonts w:cs="Arial"/>
                <w:i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Reserve personnel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A11</w:t>
      </w:r>
      <w:r>
        <w:tab/>
        <w:t>Exemption of some payments to Australian Federal Police and civilian personnel on service with an armed force of the United Nations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23AB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Federal Police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United Nations service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A12</w:t>
      </w:r>
      <w:r>
        <w:tab/>
        <w:t>Medicare levy exemption for current and veteran Australian Defence Force personnel and their relatives and associates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251T and 251U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tax treatment is that the Medicare levy is pai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Medicare levy:Exemption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A13</w:t>
      </w:r>
      <w:r>
        <w:tab/>
        <w:t>Tax offsets for Australian Defence Force personnel serving overseas and for Australian Federal Police and civilians serving with United Nations forces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A4</w:t>
            </w:r>
            <w:r>
              <w:t>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79B and 23AB(7) of the </w:t>
            </w:r>
            <w:r>
              <w:rPr>
                <w:rFonts w:cs="Arial"/>
                <w:i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 xml:space="preserve"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United Nations service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4"/>
      </w:pPr>
      <w:r>
        <w:lastRenderedPageBreak/>
        <w:t>Tax expenditures for education</w:t>
      </w:r>
    </w:p>
    <w:p>
      <w:pPr>
        <w:pStyle w:val="Heading5"/>
      </w:pPr>
      <w:r>
        <w:t>A14</w:t>
      </w:r>
      <w:r>
        <w:tab/>
        <w:t>Denial of deductibility for HECS</w:t>
      </w:r>
      <w:r>
        <w:t>-</w:t>
      </w:r>
      <w:r>
        <w:t>HELP expenses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26-20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expenses are only deductible if they ar</w:t>
      </w:r>
      <w:r>
        <w:fldChar w:fldCharType="begin"/>
      </w:r>
      <w:r>
        <w:instrText xml:space="preserve"> XE </w:instrText>
      </w:r>
      <w:r>
        <w:instrText>“</w:instrText>
      </w:r>
      <w:r>
        <w:instrText>Education:</w:instrText>
      </w:r>
      <w:r>
        <w:instrText xml:space="preserve"> </w:instrText>
      </w:r>
      <w:r>
        <w:instrText>Expenses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Higher Education Contribution Scheme Higher Education Loan Program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t>A15</w:t>
      </w:r>
      <w:r>
        <w:tab/>
        <w:t>Exemption of income from certain educational scholarships, payments to apprentices or similar forms of assistance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51-10, 51-35, 51-40, 51-42 and 842-105 of the </w:t>
            </w:r>
            <w:r>
              <w:rPr>
                <w:rFonts w:cs="Arial"/>
                <w:i/>
                <w:iCs/>
                <w:szCs w:val="16"/>
              </w:rPr>
              <w:t>Income Tax Assessment</w:t>
            </w:r>
            <w:r>
              <w:rPr>
                <w:rFonts w:cs="Arial"/>
                <w:i/>
                <w:iCs/>
                <w:szCs w:val="16"/>
              </w:rPr>
              <w:t> </w:t>
            </w:r>
            <w:r>
              <w:rPr>
                <w:rFonts w:cs="Arial"/>
                <w:i/>
                <w:iCs/>
                <w:szCs w:val="16"/>
              </w:rPr>
              <w:t>Act 1997</w:t>
            </w:r>
          </w:p>
        </w:tc>
      </w:tr>
    </w:tbl>
    <w:p>
      <w:pPr>
        <w:pStyle w:val="MeasureTableHeading"/>
      </w:pPr>
    </w:p>
    <w:p>
      <w:pPr>
        <w:rPr>
          <w:i/>
          <w:iCs/>
        </w:rPr>
      </w:pPr>
      <w:r>
        <w:t>The benchmark tax treatment is that income tax is paid on th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Educational allowance income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</w:rPr>
        <w:t/>
      </w:r>
      <w:r>
        <w:t/>
      </w:r>
      <w:r>
        <w:rPr>
          <w:i/>
        </w:rPr>
        <w:t/>
      </w:r>
      <w:r>
        <w:t xml:space="preserve"/>
      </w:r>
      <w:r>
        <w:rPr>
          <w:i/>
          <w:iCs/>
        </w:rPr>
        <w:t/>
      </w:r>
    </w:p>
    <w:p>
      <w:pPr>
        <w:pStyle w:val="Heading5"/>
      </w:pPr>
      <w:r>
        <w:lastRenderedPageBreak/>
        <w:t>A16</w:t>
      </w:r>
      <w:r>
        <w:tab/>
        <w:t>Threshold for the deductibility of self</w:t>
      </w:r>
      <w:r>
        <w:t>-</w:t>
      </w:r>
      <w:r>
        <w:t>education expenses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  <w:rPr>
                <w:iCs/>
              </w:rPr>
            </w:pPr>
            <w:r>
              <w:t>Expiry date:</w:t>
            </w:r>
            <w:r>
              <w:rPr>
                <w:iCs/>
              </w:rPr>
              <w:t xml:space="preserve">30 June </w:t>
            </w:r>
            <w:r>
              <w:rPr>
                <w:iCs/>
              </w:rPr>
              <w:t>202</w:t>
            </w:r>
            <w:r>
              <w:rPr>
                <w:iCs/>
              </w:rPr>
              <w:t>2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82A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expenses are only deductible if they ar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Child care:Expenses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r>
        <w:t>The $250 nondeductible threshold for workrelated selfeducati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t xml:space="preserve"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Education:Expenses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expenditures for health</w:t>
      </w:r>
    </w:p>
    <w:p>
      <w:pPr>
        <w:pStyle w:val="Heading5"/>
      </w:pPr>
      <w:r>
        <w:t>A17</w:t>
      </w:r>
      <w:r>
        <w:tab/>
      </w:r>
      <w:r>
        <w:t>Exempting lump sum payments in arrears from the Medicare levy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9A of the </w:t>
            </w:r>
            <w:r>
              <w:rPr>
                <w:rFonts w:cs="Arial"/>
                <w:i/>
                <w:szCs w:val="16"/>
              </w:rPr>
              <w:t xml:space="preserve">Medicare Levy Act 1986 </w:t>
            </w:r>
          </w:p>
        </w:tc>
      </w:tr>
    </w:tbl>
    <w:p>
      <w:pPr>
        <w:pStyle w:val="MeasureTableHeading"/>
      </w:pPr>
    </w:p>
    <w:p>
      <w:r>
        <w:t>Under the benchmark, the Medicare levy is paid on the taxabl</w:t>
      </w:r>
      <w:r>
        <w:t/>
      </w:r>
      <w:r>
        <w:t xml:space="preserve"/>
      </w:r>
      <w:r>
        <w:t xml:space="preserve"/>
      </w:r>
      <w:r>
        <w:t/>
      </w:r>
    </w:p>
    <w:p>
      <w:pPr>
        <w:pStyle w:val="Heading5"/>
      </w:pPr>
      <w:r>
        <w:lastRenderedPageBreak/>
        <w:t>A18</w:t>
      </w:r>
      <w:r>
        <w:tab/>
        <w:t>Exemption of the Private Health Insurance Rebate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1,650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1,700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1,750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Subdivision 61-G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Part 2-2 of the </w:t>
            </w:r>
            <w:r>
              <w:rPr>
                <w:rFonts w:cs="Arial"/>
                <w:i/>
                <w:iCs/>
                <w:szCs w:val="16"/>
              </w:rPr>
              <w:t>Private Health Insurance Act 2007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Private health insurance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A19</w:t>
      </w:r>
      <w:r>
        <w:tab/>
        <w:t>Medicare levy exemption for blind pensioners, persons not entitled to Medicare benefits and foreign government representatives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1,025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1,135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1,255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251T and 251U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 xml:space="preserve">The benchmark tax treatment is that the Medicare levy is pai</w:t>
      </w:r>
      <w:r>
        <w:rPr>
          <w:i/>
        </w:rPr>
        <w:t xml:space="preserve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Medicare levy:Exemption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A20</w:t>
      </w:r>
      <w:r>
        <w:tab/>
        <w:t>Medicare levy exemption for residents with taxable income below the low</w:t>
      </w:r>
      <w:r>
        <w:t>-‍</w:t>
      </w:r>
      <w:r>
        <w:t>income thresholds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2,600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7 of the </w:t>
            </w:r>
            <w:r>
              <w:rPr>
                <w:rFonts w:cs="Arial"/>
                <w:i/>
                <w:iCs/>
                <w:szCs w:val="16"/>
              </w:rPr>
              <w:t>Medicare Levy Act 1986</w:t>
            </w:r>
          </w:p>
        </w:tc>
      </w:tr>
    </w:tbl>
    <w:p>
      <w:pPr>
        <w:pStyle w:val="MeasureTableHeading"/>
      </w:pPr>
    </w:p>
    <w:p>
      <w:r>
        <w:lastRenderedPageBreak/>
        <w:t xml:space="preserve">The benchmark tax treatment is that the Medicare levy is pai</w:t>
      </w:r>
      <w:r>
        <w:fldChar w:fldCharType="begin"/>
      </w:r>
      <w:r>
        <w:instrText xml:space="preserve"> XE </w:instrText>
      </w:r>
      <w:r>
        <w:instrText>“</w:instrText>
      </w:r>
      <w:r>
        <w:instrText>Medicare levy:Low</w:instrText>
      </w:r>
      <w:r>
        <w:noBreakHyphen/>
      </w:r>
      <w:r>
        <w:instrText>income threshold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A21</w:t>
      </w:r>
      <w:r>
        <w:tab/>
        <w:t>Medicare levy surcharge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-720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-890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-1,100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A21 and A22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Sections 8B to 8D of the </w:t>
            </w:r>
            <w:r>
              <w:rPr>
                <w:rFonts w:cs="Arial"/>
                <w:i/>
                <w:iCs/>
                <w:szCs w:val="16"/>
              </w:rPr>
              <w:t>Medicare Levy Act 1986</w:t>
            </w:r>
          </w:p>
          <w:p>
            <w:pPr>
              <w:pStyle w:val="MeasureTableTextLeftAligned"/>
              <w:rPr>
                <w:rFonts w:cs="Arial"/>
                <w:i/>
                <w:iCs/>
                <w:szCs w:val="16"/>
              </w:rPr>
            </w:pPr>
            <w:r>
              <w:rPr>
                <w:rFonts w:cs="Arial"/>
                <w:i/>
                <w:iCs/>
                <w:szCs w:val="16"/>
              </w:rPr>
              <w:t>A New Tax System (Medicare Levy Surcharge - Fringe Benefits) Act 1999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61L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the Medicare levy is pai</w:t>
      </w:r>
      <w:r>
        <w:fldChar w:fldCharType="begin"/>
      </w:r>
      <w:r>
        <w:instrText xml:space="preserve"> XE </w:instrText>
      </w:r>
      <w:r>
        <w:instrText>“</w:instrText>
      </w:r>
      <w:r>
        <w:instrText>Medicare levy:Surcharge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Tax expenditures for social security and welfare</w:t>
      </w:r>
    </w:p>
    <w:p>
      <w:pPr>
        <w:pStyle w:val="Heading5"/>
      </w:pPr>
      <w:r>
        <w:t>A</w:t>
      </w:r>
      <w:r>
        <w:t>22</w:t>
      </w:r>
      <w:r>
        <w:tab/>
        <w:t>Concessional taxation of lump sum payments for unused recreation and long service leave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Subdivisions 83-A and 83-B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Unused long service or annual leave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A</w:t>
      </w:r>
      <w:r>
        <w:t>23</w:t>
      </w:r>
      <w:r>
        <w:tab/>
        <w:t>Concessional taxation of non</w:t>
      </w:r>
      <w:r>
        <w:noBreakHyphen/>
      </w:r>
      <w:r>
        <w:t>superannuation termination benefits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3,100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Division 82 of the </w:t>
            </w:r>
            <w:r>
              <w:rPr>
                <w:rFonts w:cs="Arial"/>
                <w:i/>
                <w:iCs/>
                <w:szCs w:val="16"/>
              </w:rPr>
              <w:t>Income Tax (Transitional Provisions) Act 1997</w:t>
            </w:r>
          </w:p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 xml:space="preserve">Division 82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83-C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noBreakHyphen/>
      </w:r>
      <w:r>
        <w:t xml:space="preserve"/>
      </w:r>
    </w:p>
    <w:p>
      <w:r>
        <w:t>From 1 July 2019, the age below which persons can receive ge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Non</w:instrText>
      </w:r>
      <w:r>
        <w:noBreakHyphen/>
      </w:r>
      <w:r>
        <w:instrText>superannuation termination payments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Employment termination payments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</w:t>
      </w:r>
      <w:r>
        <w:t>24</w:t>
      </w:r>
      <w:r>
        <w:tab/>
        <w:t>Concessional taxation of unused long service leave accumulated prior to 16</w:t>
      </w:r>
      <w:r>
        <w:t> </w:t>
      </w:r>
      <w:r>
        <w:t>August 1978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83-B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Unused long service or annual leave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pPr>
        <w:pStyle w:val="Heading5"/>
      </w:pPr>
      <w:r>
        <w:lastRenderedPageBreak/>
        <w:t>A</w:t>
      </w:r>
      <w:r>
        <w:t>25</w:t>
      </w:r>
      <w:r>
        <w:tab/>
        <w:t>Exemption for National Disability Insurance Scheme amounts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5,240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7,760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11,510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12,180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13,110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14,110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15,420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28 May 2013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26-97, 40-235, and 52-180 of the </w:t>
            </w:r>
            <w:r>
              <w:rPr>
                <w:rFonts w:cs="Arial"/>
                <w:i/>
                <w:iCs/>
                <w:szCs w:val="16"/>
              </w:rPr>
              <w:t xml:space="preserve">Income Tax Assessment Act 1997 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National Disability Insurance Scheme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</w:t>
      </w:r>
      <w:r>
        <w:t>26</w:t>
      </w:r>
      <w:r>
        <w:tab/>
        <w:t>Exemption of Child Care Assistance payments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4,050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4,600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5,100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5,400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52-150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Child care:Subsidy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A</w:t>
      </w:r>
      <w:r>
        <w:t>27</w:t>
      </w:r>
      <w:r>
        <w:tab/>
        <w:t>Exemption of disaster relief payments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8 July 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11-15, 51-30, 51-125, 52-40, 53-25, 59-60, 59-95 and 59-96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government payments to individuals are </w:t>
      </w:r>
      <w:r>
        <w:lastRenderedPageBreak/>
        <w:t xml:space="preserve"/>
      </w:r>
    </w:p>
    <w:p>
      <w:pPr>
        <w:pStyle w:val="Heading4"/>
      </w:pPr>
      <w:r>
        <w:t>Tax concessions for certain taxpayers</w:t>
      </w:r>
    </w:p>
    <w:p>
      <w:pPr>
        <w:pStyle w:val="Heading5"/>
      </w:pPr>
      <w:r>
        <w:t>A</w:t>
      </w:r>
      <w:r>
        <w:t>28</w:t>
      </w:r>
      <w:r>
        <w:tab/>
      </w:r>
      <w:r>
        <w:t>Beneficiary tax offset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A29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</w:t>
            </w: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160AAA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Allowances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</w:t>
      </w:r>
      <w:r>
        <w:t>29</w:t>
      </w:r>
      <w:r>
        <w:tab/>
        <w:t>Dependant (invalid and carer) tax offset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61-A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Dependency tax offset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A</w:t>
      </w:r>
      <w:r>
        <w:t>30</w:t>
      </w:r>
      <w:r>
        <w:tab/>
        <w:t>Release from particular tax liabilities in cases of serious hardship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340 in Schedule 1 to the </w:t>
            </w:r>
            <w:r>
              <w:rPr>
                <w:rFonts w:cs="Arial"/>
                <w:i/>
                <w:iCs/>
                <w:szCs w:val="16"/>
              </w:rPr>
              <w:t>Tax Administration Act 1953</w:t>
            </w:r>
          </w:p>
        </w:tc>
      </w:tr>
    </w:tbl>
    <w:p>
      <w:r>
        <w:t xml:space="preserve"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Serious hardship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A</w:t>
      </w:r>
      <w:r>
        <w:t>31</w:t>
      </w:r>
      <w:r>
        <w:tab/>
        <w:t>Seniors and pensioners tax offset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</w:t>
            </w:r>
            <w:r>
              <w:t>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2,300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160AAAA and 160AAAB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pPr>
        <w:rPr>
          <w:color w:val="000000"/>
        </w:rPr>
      </w:pPr>
      <w:r>
        <w:t>Under the benchmark, government payments to individuals are </w:t>
      </w:r>
      <w:r>
        <w:rPr>
          <w:color w:val="000000"/>
        </w:rPr>
        <w:t/>
      </w:r>
      <w:r>
        <w:rPr>
          <w:color w:val="000000"/>
        </w:rPr>
        <w:fldChar w:fldCharType="begin"/>
      </w:r>
      <w:r>
        <w:instrText xml:space="preserve"> XE </w:instrText>
      </w:r>
      <w:r>
        <w:instrText>“</w:instrText>
      </w:r>
      <w:r>
        <w:instrText>Seniors and pensioners tax offset</w:instrText>
      </w:r>
      <w:r>
        <w:instrText>”</w:instrText>
      </w:r>
      <w:r>
        <w:instrText xml:space="preserve"> </w:instrText>
      </w:r>
      <w:r>
        <w:rPr>
          <w:color w:val="000000"/>
        </w:rPr>
        <w:fldChar w:fldCharType="end"/>
      </w:r>
      <w:r>
        <w:rPr>
          <w:color w:val="000000"/>
        </w:rPr>
        <w:t xml:space="preserve"/>
      </w:r>
      <w:r>
        <w:rPr>
          <w:color w:val="000000"/>
        </w:rPr>
        <w:fldChar w:fldCharType="begin"/>
      </w:r>
      <w:r>
        <w:instrText xml:space="preserve"> XE </w:instrText>
      </w:r>
      <w:r>
        <w:instrText>“</w:instrText>
      </w:r>
      <w:r>
        <w:rPr>
          <w:color w:val="000000"/>
        </w:rPr>
        <w:instrText>Defence Force Income Support Allowance</w:instrText>
      </w:r>
      <w:r>
        <w:instrText>”</w:instrText>
      </w:r>
      <w:r>
        <w:instrText xml:space="preserve"> </w:instrText>
      </w:r>
      <w:r>
        <w:rPr>
          <w:color w:val="000000"/>
        </w:rPr>
        <w:fldChar w:fldCharType="end"/>
      </w:r>
      <w:r>
        <w:rPr>
          <w:color w:val="000000"/>
        </w:rPr>
        <w:t/>
      </w:r>
    </w:p>
    <w:p>
      <w:pPr>
        <w:pStyle w:val="Heading5"/>
      </w:pPr>
      <w:r>
        <w:t>A</w:t>
      </w:r>
      <w:r>
        <w:t>32</w:t>
      </w:r>
      <w:r>
        <w:tab/>
        <w:t>Pacific Australia Labour Mobility Scheme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iCs/>
                <w:szCs w:val="16"/>
              </w:rPr>
            </w:pPr>
            <w:r>
              <w:rPr>
                <w:rFonts w:cs="Arial"/>
                <w:i/>
                <w:iCs/>
                <w:szCs w:val="16"/>
              </w:rPr>
              <w:t>Income Tax (Seasonal Labour Mobility Program Withholding Tax) Act 2012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840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Seasonal Labour Mobility Program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lastRenderedPageBreak/>
        <w:t/>
      </w:r>
    </w:p>
    <w:p>
      <w:r>
        <w:t>The Seasonal Worker Program was consolidated into the PALM s</w:t>
      </w:r>
    </w:p>
    <w:p>
      <w:pPr>
        <w:pStyle w:val="Heading5"/>
      </w:pPr>
      <w:r>
        <w:t>A</w:t>
      </w:r>
      <w:r>
        <w:t>33</w:t>
      </w:r>
      <w:r>
        <w:tab/>
        <w:t>Working holiday makers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365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605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January 2017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Part III of Schedule 7 to the </w:t>
            </w:r>
            <w:r>
              <w:rPr>
                <w:rFonts w:cs="Arial"/>
                <w:i/>
                <w:iCs/>
                <w:szCs w:val="16"/>
              </w:rPr>
              <w:t>Income Tax Rates Act 1986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t/>
      </w:r>
      <w:r>
        <w:t/>
      </w:r>
      <w:r>
        <w:t/>
      </w:r>
      <w:r>
        <w:t/>
      </w:r>
    </w:p>
    <w:p>
      <w:r>
        <w:t>Working holiday makers from jurisdictions with which Austral</w:t>
      </w:r>
      <w:r>
        <w:fldChar w:fldCharType="begin"/>
      </w:r>
      <w:r>
        <w:instrText xml:space="preserve"> XE </w:instrText>
      </w:r>
      <w:r>
        <w:instrText>“</w:instrText>
      </w:r>
      <w:r>
        <w:instrText>Working holiday makers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r>
        <w:t>Whether a working holiday maker is a resident for tax purpos</w:t>
      </w:r>
    </w:p>
    <w:p>
      <w:r>
        <w:t>For nonresident working holiday makers the 15 per cent rate </w:t>
      </w:r>
      <w:r>
        <w:noBreakHyphen/>
      </w:r>
      <w:r>
        <w:t/>
      </w:r>
    </w:p>
    <w:p>
      <w:r>
        <w:t>In contrast, the legislated treatment constitutes a negative</w:t>
      </w:r>
      <w:r>
        <w:noBreakHyphen/>
      </w:r>
      <w:r>
        <w:t xml:space="preserve"/>
      </w:r>
    </w:p>
    <w:p>
      <w:pPr>
        <w:pStyle w:val="Heading5"/>
      </w:pPr>
      <w:r>
        <w:lastRenderedPageBreak/>
        <w:t>A</w:t>
      </w:r>
      <w:r>
        <w:t>34</w:t>
      </w:r>
      <w:r>
        <w:tab/>
        <w:t>Exemption of foreign termination payments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Subdivision 83-D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pPr>
        <w:pStyle w:val="MeasureTableHeading"/>
      </w:pPr>
    </w:p>
    <w:p>
      <w:r>
        <w:t>Under the benchmark, income tax is paid on the taxable incom</w:t>
      </w:r>
      <w:r>
        <w:fldChar w:fldCharType="begin"/>
      </w:r>
      <w:r>
        <w:instrText xml:space="preserve"> XE </w:instrText>
      </w:r>
      <w:r>
        <w:instrText>“</w:instrText>
      </w:r>
      <w:r>
        <w:instrText>Foreign termination payments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Bullet"/>
        <w:numPr>
          <w:ilvl w:val="0"/>
          <w:numId w:val="37"/>
        </w:numPr>
      </w:pPr>
      <w:r>
        <w:t xml:space="preserve">it was received in consequence of the termination of a perio</w:t>
      </w:r>
    </w:p>
    <w:p>
      <w:pPr>
        <w:pStyle w:val="Bullet"/>
      </w:pPr>
      <w:r>
        <w:t xml:space="preserve">the payment relates only to that period of employment or eng</w:t>
      </w:r>
    </w:p>
    <w:p>
      <w:pPr>
        <w:pStyle w:val="Bullet"/>
      </w:pPr>
      <w:r>
        <w:t xml:space="preserve">the payment is not exempt from income tax under the law of t</w:t>
      </w:r>
    </w:p>
    <w:p>
      <w:r>
        <w:t>This does not apply if the payment is a superannuation benef</w:t>
      </w:r>
    </w:p>
    <w:p>
      <w:pPr>
        <w:pStyle w:val="Heading5"/>
      </w:pPr>
      <w:r>
        <w:t>A</w:t>
      </w:r>
      <w:r>
        <w:t>35</w:t>
      </w:r>
      <w:r>
        <w:tab/>
        <w:t>Foreign income exemption for temporary residents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768-R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Temporary residents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lastRenderedPageBreak/>
        <w:t>A</w:t>
      </w:r>
      <w:r>
        <w:t>36</w:t>
      </w:r>
      <w:r>
        <w:tab/>
        <w:t>Income tax exemption for Australian staff of the Asian Development Bank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i/>
                <w:iCs/>
                <w:szCs w:val="16"/>
              </w:rPr>
              <w:t>Asian Development Bank (Privileges and Immunities) Regulations 1967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Asian Development Bank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Heading4"/>
      </w:pPr>
      <w:r>
        <w:t>Tax exemptions for certain government income support payments</w:t>
      </w:r>
    </w:p>
    <w:p>
      <w:pPr>
        <w:pStyle w:val="Heading5"/>
      </w:pPr>
      <w:r>
        <w:t>A</w:t>
      </w:r>
      <w:r>
        <w:t>37</w:t>
      </w:r>
      <w:r>
        <w:tab/>
        <w:t>Exemption of certain income support benefits, pensions or allowances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1,700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2,850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3,100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Subdivisions 52-A, 52-E and 52-F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Pensions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Allowances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</w:rPr>
        <w:t/>
      </w:r>
      <w:r>
        <w:t/>
      </w:r>
      <w:r>
        <w:rPr>
          <w:i/>
        </w:rPr>
        <w:t xml:space="preserve"/>
      </w:r>
      <w:r>
        <w:t xml:space="preserve"/>
      </w:r>
    </w:p>
    <w:p>
      <w:pPr>
        <w:pStyle w:val="Heading5"/>
      </w:pPr>
      <w:r>
        <w:lastRenderedPageBreak/>
        <w:t>A</w:t>
      </w:r>
      <w:r>
        <w:t>38</w:t>
      </w:r>
      <w:r>
        <w:tab/>
        <w:t>Exemption of Family Tax Benefit payments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1,730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A39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52-150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Family Tax Benefit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</w:t>
      </w:r>
      <w:r>
        <w:t>39</w:t>
      </w:r>
      <w:r>
        <w:tab/>
        <w:t>Exemptions of certain veterans</w:t>
      </w:r>
      <w:r>
        <w:t>’</w:t>
      </w:r>
      <w:r>
        <w:t xml:space="preserve"> pensions, allowances or benefits, compensation, and particular World War II</w:t>
      </w:r>
      <w:r>
        <w:noBreakHyphen/>
      </w:r>
      <w:r>
        <w:t>related payments for persecution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1,060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1,740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2,230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1,620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Subdivisions 52-B, 52-C, 52-CA and 52-CB and Section 768-105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Repatriation pensions</w:instrText>
      </w:r>
      <w:r>
        <w:instrText>”</w:instrText>
      </w:r>
      <w:r>
        <w:fldChar w:fldCharType="end"/>
      </w:r>
      <w:r>
        <w:t xml:space="preserve"/>
      </w:r>
      <w:r>
        <w:rPr>
          <w:i/>
        </w:rPr>
        <w:t/>
      </w:r>
      <w:r>
        <w:t xml:space="preserve"/>
      </w:r>
      <w:r>
        <w:rPr>
          <w:i/>
        </w:rPr>
        <w:t/>
      </w:r>
      <w:r>
        <w:t xml:space="preserve"/>
      </w:r>
      <w:r>
        <w:rPr>
          <w:i/>
        </w:rPr>
        <w:t/>
      </w:r>
      <w:r>
        <w:t xml:space="preserve"/>
      </w:r>
      <w:r>
        <w:rPr>
          <w:i/>
        </w:rP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Rehabilitation and compensation payments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World War II payments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Benefits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Australian participants in the British nuclear tests of the </w:t>
      </w:r>
      <w:r>
        <w:t/>
      </w:r>
      <w:r>
        <w:t xml:space="preserve"/>
      </w:r>
    </w:p>
    <w:p>
      <w:pPr>
        <w:pStyle w:val="Heading4"/>
      </w:pPr>
      <w:r>
        <w:lastRenderedPageBreak/>
        <w:t>Tax expenditures for housing and community amenities</w:t>
      </w:r>
    </w:p>
    <w:p>
      <w:pPr>
        <w:pStyle w:val="Heading5"/>
      </w:pPr>
      <w:r>
        <w:t>A</w:t>
      </w:r>
      <w:r>
        <w:t>40</w:t>
      </w:r>
      <w:r>
        <w:tab/>
        <w:t>Denial of deduction of travel expenses for residential rental property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-175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26-31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expenses connected to income earning ac</w:t>
      </w:r>
      <w:r>
        <w:fldChar w:fldCharType="begin"/>
      </w:r>
      <w:r>
        <w:instrText xml:space="preserve"> XE </w:instrText>
      </w:r>
      <w:r>
        <w:instrText>“</w:instrText>
      </w:r>
      <w:r>
        <w:instrText>Travel expenses for rental property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</w:t>
      </w:r>
      <w:r>
        <w:t>41</w:t>
      </w:r>
      <w:r>
        <w:tab/>
        <w:t>Denial of deductions for vacant land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26-102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expenses connected to income earning ac</w:t>
      </w:r>
      <w:r>
        <w:fldChar w:fldCharType="begin"/>
      </w:r>
      <w:r>
        <w:instrText xml:space="preserve"> XE </w:instrText>
      </w:r>
      <w:r>
        <w:instrText>“</w:instrText>
      </w:r>
      <w:r>
        <w:instrText>Vacant land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spacing w:after="120"/>
      </w:pPr>
      <w:r>
        <w:t xml:space="preserve">Deductions continue to be available in a range of circumstan</w:t>
      </w:r>
    </w:p>
    <w:p>
      <w:pPr>
        <w:pStyle w:val="Bullet"/>
        <w:numPr>
          <w:ilvl w:val="0"/>
          <w:numId w:val="37"/>
        </w:numPr>
        <w:spacing w:after="120"/>
      </w:pPr>
      <w:r>
        <w:t xml:space="preserve">there is a substantial building or structure on the land; </w:t>
      </w:r>
    </w:p>
    <w:p>
      <w:pPr>
        <w:pStyle w:val="Bullet"/>
        <w:spacing w:after="120"/>
      </w:pPr>
      <w:r>
        <w:t>the land is being used, or held available for use, by the ta</w:t>
      </w:r>
    </w:p>
    <w:p>
      <w:pPr>
        <w:pStyle w:val="Bullet"/>
      </w:pPr>
      <w:r>
        <w:t>the land is rented out by a taxpayer where they or a related</w:t>
      </w:r>
    </w:p>
    <w:p>
      <w:r>
        <w:t>Furthermore, deductions continue to be available for land he</w:t>
      </w:r>
      <w:r>
        <w:noBreakHyphen/>
      </w:r>
      <w:r>
        <w:t xml:space="preserve"/>
      </w:r>
    </w:p>
    <w:p>
      <w:pPr>
        <w:pStyle w:val="Heading5"/>
      </w:pPr>
      <w:r>
        <w:lastRenderedPageBreak/>
        <w:t>A4</w:t>
      </w:r>
      <w:r>
        <w:t>2</w:t>
      </w:r>
      <w:r>
        <w:tab/>
        <w:t>Exemption of payments made under the First Home Owner Grant scheme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January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rFonts w:cs="Arial"/>
                <w:i/>
                <w:iCs/>
                <w:szCs w:val="16"/>
              </w:rPr>
              <w:t xml:space="preserve">A New Tax System (Commonwealth State Financial Arrangements) Act 1999 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Appendix A,</w:t>
            </w:r>
            <w:r>
              <w:rPr>
                <w:rFonts w:cs="Arial"/>
                <w:i/>
                <w:iCs/>
                <w:szCs w:val="16"/>
              </w:rPr>
              <w:t xml:space="preserve"> Intergovernmental Agreement on Federal Financial Relations Appropriation (Economic Security Strategy) Act (No. 2) 2008-09 </w:t>
            </w:r>
            <w:r>
              <w:rPr>
                <w:rFonts w:cs="Arial"/>
                <w:szCs w:val="16"/>
              </w:rPr>
              <w:t>and relevant state legislation.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First Home Owners Grant Scheme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A4</w:t>
      </w:r>
      <w:r>
        <w:t>3</w:t>
      </w:r>
      <w:r>
        <w:tab/>
        <w:t>Zone tax offsets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79A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ChartandTableFootnote"/>
      </w:pPr>
      <w:r>
        <w:t>Note: estimates include tax expenditures A44 and A13</w:t>
      </w:r>
    </w:p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Remote areas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 xml:space="preserve"/>
      </w:r>
    </w:p>
    <w:p>
      <w:r>
        <w:t xml:space="preserve">From 1 July 2015, ‘flyin flyout’ workers whose normal reside</w:t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Zone tax offsets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Tax expenditures for recreation and culture</w:t>
      </w:r>
    </w:p>
    <w:p>
      <w:pPr>
        <w:pStyle w:val="Heading5"/>
      </w:pPr>
      <w:r>
        <w:t>A4</w:t>
      </w:r>
      <w:r>
        <w:t>4</w:t>
      </w:r>
      <w:r>
        <w:tab/>
        <w:t>Income averaging for authors, inventors, performing artists, production associates and sportspersons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405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The benchmark tax treatment is that income tax is calculated</w:t>
      </w:r>
    </w:p>
    <w:p>
      <w:r>
        <w:t xml:space="preserve">However, special professionals (such as authors, composers, </w:t>
      </w:r>
      <w:r>
        <w:fldChar w:fldCharType="begin"/>
      </w:r>
      <w:r>
        <w:instrText xml:space="preserve"> XE </w:instrText>
      </w:r>
      <w:r>
        <w:instrText>“</w:instrText>
      </w:r>
      <w:r>
        <w:instrText>Authors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Composers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Artists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Inventors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Performing artists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Production associates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Sportspersons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Income averaging:Special professionals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A4</w:t>
      </w:r>
      <w:r>
        <w:t>5</w:t>
      </w:r>
      <w:r>
        <w:tab/>
        <w:t>Income tax exemption of certain Prime Minister</w:t>
      </w:r>
      <w:r>
        <w:t>’</w:t>
      </w:r>
      <w:r>
        <w:t>s prizes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51-60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t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Prime Minister</w:instrText>
      </w:r>
      <w:r>
        <w:instrText>’</w:instrText>
      </w:r>
      <w:r>
        <w:instrText>s Prizes</w:instrText>
      </w:r>
      <w:r>
        <w:instrText xml:space="preserve"> </w:instrText>
      </w:r>
      <w:r>
        <w:instrText>“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 xml:space="preserve"/>
      </w:r>
    </w:p>
    <w:p>
      <w:pPr>
        <w:pStyle w:val="Heading4"/>
      </w:pPr>
      <w:r>
        <w:rPr>
          <w:bCs/>
        </w:rPr>
        <w:lastRenderedPageBreak/>
        <w:t>Tax</w:t>
      </w:r>
      <w:r>
        <w:t xml:space="preserve"> expenditures for other economic affairs</w:t>
      </w:r>
    </w:p>
    <w:p>
      <w:pPr>
        <w:pStyle w:val="Heading5"/>
      </w:pPr>
      <w:r>
        <w:t>A46</w:t>
      </w:r>
      <w:r>
        <w:tab/>
        <w:t>Deductibility of COVID</w:t>
      </w:r>
      <w:r>
        <w:t>-</w:t>
      </w:r>
      <w:r>
        <w:t>19 test expenses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25-125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expenses are only deductible if they ar</w:t>
      </w:r>
      <w:r>
        <w:noBreakHyphen/>
      </w:r>
      <w:r>
        <w:t/>
      </w:r>
    </w:p>
    <w:p>
      <w:pPr>
        <w:pStyle w:val="Heading5"/>
      </w:pPr>
      <w:r>
        <w:t>A4</w:t>
      </w:r>
      <w:r>
        <w:t>7</w:t>
      </w:r>
      <w:r>
        <w:tab/>
        <w:t>Non</w:t>
      </w:r>
      <w:r>
        <w:noBreakHyphen/>
      </w:r>
      <w:r>
        <w:t>commercial losses deductions allowed for certain taxpayers with an adjusted taxable income under $250,000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35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losses arising from noncommercial busin</w:t>
      </w:r>
      <w:r>
        <w:noBreakHyphen/>
      </w:r>
      <w:r>
        <w:t xml:space="preserve"/>
      </w:r>
    </w:p>
    <w:p>
      <w:r>
        <w:t>However, under the noncommercial loss rules, individuals car</w:t>
      </w:r>
      <w:r>
        <w:noBreakHyphen/>
      </w:r>
      <w:r>
        <w:t xml:space="preserve"/>
      </w:r>
    </w:p>
    <w:p>
      <w:r>
        <w:t>This treatment results in some business activities that are </w:t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Non</w:instrText>
      </w:r>
      <w:r>
        <w:noBreakHyphen/>
      </w:r>
      <w:r>
        <w:instrText>commercial losses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A4</w:t>
      </w:r>
      <w:r>
        <w:t>8</w:t>
      </w:r>
      <w:r>
        <w:tab/>
        <w:t>Non</w:t>
      </w:r>
      <w:r>
        <w:noBreakHyphen/>
      </w:r>
      <w:r>
        <w:t>commercial losses exception rules for primary producers and artists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A49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Subsection 35-10(4)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snapToGrid w:val="0"/>
        </w:rPr>
      </w:pPr>
      <w:r>
        <w:rPr>
          <w:snapToGrid w:val="0"/>
        </w:rPr>
        <w:t>Under the benchmark, losses arising from noncommercial busin</w:t>
      </w:r>
      <w:r>
        <w:rPr>
          <w:snapToGrid w:val="0"/>
        </w:rPr>
        <w:noBreakHyphen/>
      </w:r>
      <w:r>
        <w:rPr>
          <w:snapToGrid w:val="0"/>
        </w:rPr>
        <w:t/>
      </w:r>
    </w:p>
    <w:p>
      <w:pPr>
        <w:rPr>
          <w:lang w:val="en-US"/>
        </w:rPr>
      </w:pPr>
      <w:r>
        <w:t>However, individuals that carry on a primary production or p</w:t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Artists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r>
        <w:t>This treatment results in some business activities that are </w:t>
      </w:r>
      <w:r>
        <w:noBreakHyphen/>
      </w:r>
      <w:r>
        <w:t/>
      </w:r>
    </w:p>
    <w:p>
      <w:pPr>
        <w:pStyle w:val="Heading5"/>
      </w:pPr>
      <w:r>
        <w:t>A</w:t>
      </w:r>
      <w:r>
        <w:t>49</w:t>
      </w:r>
      <w:r>
        <w:tab/>
        <w:t>Tax concessions for employee share schemes income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28 March 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83A of the </w:t>
            </w:r>
            <w:r>
              <w:rPr>
                <w:rFonts w:cs="Arial"/>
                <w:i/>
                <w:iCs/>
                <w:szCs w:val="16"/>
              </w:rPr>
              <w:t>Income Tax Assessment Act</w:t>
            </w:r>
            <w:r>
              <w:rPr>
                <w:rFonts w:cs="Arial"/>
                <w:i/>
                <w:caps/>
                <w:szCs w:val="16"/>
              </w:rPr>
              <w:t xml:space="preserve"> 1997</w:t>
            </w:r>
          </w:p>
        </w:tc>
      </w:tr>
    </w:tbl>
    <w:p>
      <w:pPr>
        <w:pStyle w:val="MeasureTableHeading"/>
      </w:pPr>
    </w:p>
    <w:p>
      <w:r>
        <w:t>The benchmark tax treatment is that discounts on shares and </w:t>
      </w:r>
      <w:r>
        <w:fldChar w:fldCharType="begin"/>
      </w:r>
      <w:r>
        <w:instrText xml:space="preserve"> XE </w:instrText>
      </w:r>
      <w:r>
        <w:instrText>“</w:instrText>
      </w:r>
      <w:r>
        <w:instrText>Employee share schemes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r>
        <w:t>On 1 July 2015, additional ESS tax concessions took effect. 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Start</w:instrText>
      </w:r>
      <w:r>
        <w:noBreakHyphen/>
      </w:r>
      <w:r>
        <w:instrText>up companies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On 1 July 2022, cessation of employment was removed as a tax</w:t>
      </w:r>
      <w:r>
        <w:noBreakHyphen/>
      </w:r>
      <w:r>
        <w:t xml:space="preserve"/>
      </w:r>
      <w:r>
        <w:lastRenderedPageBreak/>
        <w:t xml:space="preserve"/>
      </w:r>
    </w:p>
    <w:p>
      <w:r>
        <w:t>For ESS interests which are rights, the deferred taxing poin</w:t>
      </w:r>
    </w:p>
    <w:p>
      <w:pPr>
        <w:pStyle w:val="Heading5"/>
      </w:pPr>
      <w:r>
        <w:t>A5</w:t>
      </w:r>
      <w:r>
        <w:t>0</w:t>
      </w:r>
      <w:r>
        <w:tab/>
        <w:t>Tax deferral advantage arising from personal after</w:t>
      </w:r>
      <w:r>
        <w:noBreakHyphen/>
      </w:r>
      <w:r>
        <w:t>tax contributions to a pension or annuity</w:t>
      </w:r>
    </w:p>
    <w:p>
      <w:pPr>
        <w:pStyle w:val="MeasureTableHeading"/>
      </w:pPr>
      <w:r>
        <w:t>Other economic affairs</w:t>
      </w:r>
      <w:r>
        <w:t xml:space="preserve"> </w:t>
      </w:r>
      <w:r>
        <w:t>–</w:t>
      </w:r>
      <w:r>
        <w:t xml:space="preserve">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27H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earnings on savings held outside of the</w:t>
      </w:r>
      <w:r>
        <w:t/>
      </w:r>
      <w:r>
        <w:t/>
      </w:r>
      <w:r>
        <w:t xml:space="preserve"/>
      </w:r>
    </w:p>
    <w:p>
      <w:r>
        <w:t>However, earnings on savings supporting nonsuperannuation pe</w:t>
      </w:r>
      <w:r>
        <w:noBreakHyphen/>
      </w:r>
      <w:r>
        <w:t/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t>A5</w:t>
      </w:r>
      <w:r>
        <w:t>1</w:t>
      </w:r>
      <w:r>
        <w:tab/>
        <w:t>Union dues and subscriptions to business associations deduction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25-55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expenses are only deductible if they ar</w:t>
      </w:r>
      <w:r>
        <w:fldChar w:fldCharType="begin"/>
      </w:r>
      <w:r>
        <w:instrText xml:space="preserve"> XE </w:instrText>
      </w:r>
      <w:r>
        <w:instrText>“</w:instrText>
      </w:r>
      <w:r>
        <w:instrText>Union dues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Trade unions and registered associations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Business associations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Professional associations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A5</w:t>
      </w:r>
      <w:r>
        <w:t>2</w:t>
      </w:r>
      <w:r>
        <w:tab/>
        <w:t>Denial of deductions for illegal activities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1999 (bribery), 30 April 2005 (illegal activities)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26-52, 26-53 and 26-54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 expenses incurred in earning income are </w:t>
      </w:r>
    </w:p>
    <w:p>
      <w:r>
        <w:t>Deductions are also denied for expenditure to the extent it </w:t>
      </w:r>
      <w:r>
        <w:fldChar w:fldCharType="begin"/>
      </w:r>
      <w:r>
        <w:instrText xml:space="preserve"> XE </w:instrText>
      </w:r>
      <w:r>
        <w:instrText>“</w:instrText>
      </w:r>
      <w:r>
        <w:instrText>Illegal activities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A5</w:t>
      </w:r>
      <w:r>
        <w:t>3</w:t>
      </w:r>
      <w:r>
        <w:tab/>
        <w:t>Increased tax rates for certain minors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Part III Division 6AA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Minors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Unearned income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A5</w:t>
      </w:r>
      <w:r>
        <w:t>4</w:t>
      </w:r>
      <w:r>
        <w:tab/>
        <w:t>Limit plant and equipment depreciation deductions to outlays actually incurred by investors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40-27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expenses are only deductible if they ar</w:t>
      </w:r>
      <w:r>
        <w:fldChar w:fldCharType="begin"/>
      </w:r>
      <w:r>
        <w:instrText xml:space="preserve"> XE </w:instrText>
      </w:r>
      <w:r>
        <w:instrText>“</w:instrText>
      </w:r>
      <w:r>
        <w:instrText>Plant and equipment depreciation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  <w:r>
        <w:t/>
      </w:r>
      <w:r>
        <w:t xml:space="preserve"/>
      </w:r>
    </w:p>
    <w:p>
      <w:pPr>
        <w:rPr>
          <w:rFonts w:eastAsia="Calibri"/>
          <w:lang w:eastAsia="en-US"/>
        </w:rPr>
      </w:pPr>
      <w:r>
        <w:t>This results in a negative tax expenditure, which reflects t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Depreciation deductions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A5</w:t>
      </w:r>
      <w:r>
        <w:t>5</w:t>
      </w:r>
      <w:r>
        <w:tab/>
        <w:t>Part</w:t>
      </w:r>
      <w:r>
        <w:t>-</w:t>
      </w:r>
      <w:r>
        <w:t>year tax free threshold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-16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16 to 20 of the </w:t>
            </w:r>
            <w:r>
              <w:rPr>
                <w:rFonts w:cs="Arial"/>
                <w:i/>
                <w:iCs/>
                <w:szCs w:val="16"/>
              </w:rPr>
              <w:t>Income Tax Rates Act 1986</w:t>
            </w:r>
          </w:p>
        </w:tc>
      </w:tr>
    </w:tbl>
    <w:p>
      <w:pPr>
        <w:pStyle w:val="MeasureTableHeading"/>
      </w:pPr>
    </w:p>
    <w:p>
      <w:r>
        <w:t>Under the benchmark, income tax is paid on the taxable incom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Part</w:instrText>
      </w:r>
      <w:r>
        <w:noBreakHyphen/>
      </w:r>
      <w:r>
        <w:instrText>year tax free threshold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Heading5"/>
      </w:pPr>
      <w:r>
        <w:lastRenderedPageBreak/>
        <w:t>A5</w:t>
      </w:r>
      <w:r>
        <w:t>6</w:t>
      </w:r>
      <w:r>
        <w:tab/>
        <w:t>Philanthropy – deduction for gifts to deductible gift recipients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1,630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4,145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1,495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1,585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1,690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30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>Under the benchmark, expenses are only deductible if they ar</w:t>
      </w:r>
      <w:r>
        <w:rPr>
          <w:rFonts w:eastAsia="Calibri"/>
          <w:lang w:eastAsia="en-US"/>
        </w:rPr>
        <w:t xml:space="preserve"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Deductible gift recipients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A5</w:t>
      </w:r>
      <w:r>
        <w:t>7</w:t>
      </w:r>
      <w:r>
        <w:tab/>
        <w:t>Philanthropy – deduction for gifts to private giving funds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605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675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715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755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October 2009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>Item 2 of the table in Section 30-15 of the</w:t>
            </w:r>
            <w:r>
              <w:rPr>
                <w:rFonts w:cs="Arial"/>
                <w:i/>
                <w:iCs/>
                <w:szCs w:val="16"/>
              </w:rPr>
              <w:t xml:space="preserve"> Income Tax Assessment Act 1997</w:t>
            </w:r>
          </w:p>
        </w:tc>
      </w:tr>
    </w:tbl>
    <w:p>
      <w:pPr>
        <w:pStyle w:val="MeasureTableHeading"/>
      </w:pPr>
    </w:p>
    <w:p>
      <w:r>
        <w:t>Under the benchmark, expenses are only deductible if they ar</w:t>
      </w:r>
      <w:r>
        <w:fldChar w:fldCharType="begin"/>
      </w:r>
      <w:r>
        <w:instrText xml:space="preserve"> XE </w:instrText>
      </w:r>
      <w:r>
        <w:instrText>“</w:instrText>
      </w:r>
      <w:r>
        <w:instrText>Private Ancillary Funds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Deductible gift recipients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Concessions under the substantiation provisions for employment</w:t>
      </w:r>
      <w:r>
        <w:noBreakHyphen/>
      </w:r>
      <w:r>
        <w:t>related expenses</w:t>
      </w:r>
    </w:p>
    <w:p>
      <w:pPr>
        <w:pStyle w:val="Heading5"/>
      </w:pPr>
      <w:r>
        <w:t>A5</w:t>
      </w:r>
      <w:r>
        <w:t>8</w:t>
      </w:r>
      <w:r>
        <w:tab/>
        <w:t>Car expenses – alternatives to the logbook method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A59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28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expenses are only deductible if they ar</w:t>
      </w:r>
      <w:r>
        <w:t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Car expense deductions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Miscellaneous tax expenditures</w:t>
      </w:r>
    </w:p>
    <w:p>
      <w:pPr>
        <w:pStyle w:val="Heading5"/>
      </w:pPr>
      <w:r>
        <w:t>A</w:t>
      </w:r>
      <w:r>
        <w:t>59</w:t>
      </w:r>
      <w:r>
        <w:tab/>
        <w:t>Tax offset on certain payments of income received in arrears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A60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Sections 159ZR to 159ZRD of the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>The benchmark tax treatment is that income tax is paid on th</w:t>
      </w:r>
      <w:r>
        <w:rPr>
          <w:rFonts w:eastAsia="Calibri"/>
          <w:lang w:eastAsia="en-US"/>
        </w:rPr>
        <w:t xml:space="preserve"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Offset for income received in arrears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A6</w:t>
      </w:r>
      <w:r>
        <w:t>0</w:t>
      </w:r>
      <w:r>
        <w:tab/>
        <w:t>Exemption for personal injury annuities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A61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Division 54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Personal injury victims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A6</w:t>
      </w:r>
      <w:r>
        <w:t>1</w:t>
      </w:r>
      <w:r>
        <w:tab/>
        <w:t>Exemption of post</w:t>
      </w:r>
      <w:r>
        <w:t>-</w:t>
      </w:r>
      <w:r>
        <w:t>judgment interest awards in personal injury compensation cases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A62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Section 51-57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Personal injury compensation cases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lastRenderedPageBreak/>
        <w:t xml:space="preserve"/>
      </w:r>
    </w:p>
    <w:p>
      <w:pPr>
        <w:pStyle w:val="Heading5"/>
      </w:pPr>
      <w:r>
        <w:t>A6</w:t>
      </w:r>
      <w:r>
        <w:t>2</w:t>
      </w:r>
      <w:r>
        <w:tab/>
        <w:t>Low</w:t>
      </w:r>
      <w:r>
        <w:noBreakHyphen/>
      </w:r>
      <w:r>
        <w:t>value depreciating assets – immediate deduction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A63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Subsections 40-25(1) and 40-80(2)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assets are depreciated over their effec</w:t>
      </w:r>
      <w:r>
        <w:noBreakHyphen/>
      </w:r>
      <w:r>
        <w:t xml:space="preserve"/>
      </w:r>
    </w:p>
    <w:p>
      <w:pPr>
        <w:pStyle w:val="Heading3"/>
      </w:pPr>
      <w:r>
        <w:fldChar w:fldCharType="begin"/>
      </w:r>
      <w:r>
        <w:instrText xml:space="preserve"> XE </w:instrText>
      </w:r>
      <w:r>
        <w:instrText>“</w:instrText>
      </w:r>
      <w:r>
        <w:instrText>Low</w:instrText>
      </w:r>
      <w:r>
        <w:noBreakHyphen/>
      </w:r>
      <w:r>
        <w:instrText>value depreciating assets</w:instrText>
      </w:r>
      <w:r>
        <w:instrText>”</w:instrText>
      </w:r>
      <w:r>
        <w:instrText xml:space="preserve"> </w:instrText>
      </w:r>
      <w:r>
        <w:fldChar w:fldCharType="end"/>
      </w:r>
      <w:r>
        <w:t>Business</w:t>
      </w:r>
      <w:r>
        <w:rPr>
          <w:rFonts w:cs="Arial"/>
          <w:smallCaps/>
          <w:sz w:val="28"/>
          <w:szCs w:val="28"/>
        </w:rPr>
        <w:t xml:space="preserve"> </w:t>
      </w:r>
      <w:r>
        <w:t>income</w:t>
      </w:r>
    </w:p>
    <w:p>
      <w:pPr>
        <w:pStyle w:val="Heading4"/>
      </w:pPr>
      <w:r>
        <w:t>Tax expenditures for general public services</w:t>
      </w:r>
    </w:p>
    <w:p>
      <w:pPr>
        <w:pStyle w:val="Heading5"/>
      </w:pPr>
      <w:r>
        <w:t>B1</w:t>
      </w:r>
      <w:r>
        <w:tab/>
        <w:t>Local government bodies income tax exemption</w:t>
      </w:r>
    </w:p>
    <w:p>
      <w:pPr>
        <w:pStyle w:val="MeasureTableHeading"/>
      </w:pPr>
      <w:r>
        <w:t>Other purposes</w:t>
      </w:r>
      <w:r>
        <w:t xml:space="preserve"> – </w:t>
      </w:r>
      <w:r>
        <w:t>General purpose inter</w:t>
      </w:r>
      <w:r>
        <w:noBreakHyphen/>
      </w:r>
      <w:r>
        <w:t>governmental transactions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1,880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2,000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2,120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2,150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2,170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5.1 in the table in Section 50-25 of the </w:t>
            </w:r>
            <w:r>
              <w:rPr>
                <w:rFonts w:cs="Arial"/>
                <w:i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 tax treatment, corporations are taxable </w:t>
      </w:r>
      <w:r>
        <w:fldChar w:fldCharType="begin"/>
      </w:r>
      <w:r>
        <w:instrText xml:space="preserve"> XE </w:instrText>
      </w:r>
      <w:r>
        <w:instrText>“</w:instrText>
      </w:r>
      <w:r>
        <w:instrText>Local government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International tax expenditures</w:t>
      </w:r>
    </w:p>
    <w:p>
      <w:pPr>
        <w:pStyle w:val="Heading5"/>
      </w:pPr>
      <w:r>
        <w:t>B2</w:t>
      </w:r>
      <w:r>
        <w:tab/>
        <w:t>Dividend withholding tax, interest withholding tax and royalty withholding tax exemptions for overseas charitable institutions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16 July 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Paragraph 128B(3)(aa) of the </w:t>
            </w:r>
            <w:r>
              <w:rPr>
                <w:rFonts w:cs="Arial"/>
                <w:i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dividends, interest and royalties paid 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Overseas charitable institutions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B3</w:t>
      </w:r>
      <w:r>
        <w:tab/>
        <w:t>Exemptions for prescribed international organisations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1963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Section 6 of the </w:t>
            </w:r>
            <w:r>
              <w:rPr>
                <w:rFonts w:cs="Arial"/>
                <w:i/>
                <w:iCs/>
                <w:szCs w:val="16"/>
              </w:rPr>
              <w:t>International Organisations (Privileges and Immunities) Act 1963</w:t>
            </w:r>
          </w:p>
        </w:tc>
      </w:tr>
    </w:tbl>
    <w:p>
      <w:pPr>
        <w:pStyle w:val="MeasureTableHeading"/>
      </w:pPr>
    </w:p>
    <w:p>
      <w:pPr>
        <w:spacing w:after="0" w:line="240" w:lineRule="auto"/>
      </w:pPr>
      <w:r>
        <w:t xml:space="preserve">Under the benchmark, income derived by organisations that ar</w:t>
      </w:r>
      <w:r>
        <w:fldChar w:fldCharType="begin"/>
      </w:r>
      <w:r>
        <w:instrText xml:space="preserve"> XE </w:instrText>
      </w:r>
      <w:r>
        <w:instrText>“</w:instrText>
      </w:r>
      <w:r>
        <w:instrText>International organisations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B4</w:t>
      </w:r>
      <w:r>
        <w:tab/>
        <w:t>Investment Manager Regime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Subdivision 842-I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income tax law generally exempts nonresident investors i</w:t>
      </w:r>
      <w:r>
        <w:noBreakHyphen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lastRenderedPageBreak/>
        <w:t xml:space="preserve"/>
      </w:r>
    </w:p>
    <w:p>
      <w:r>
        <w:t>The effect of the IMR is that when a foreign investor invest</w:t>
      </w:r>
    </w:p>
    <w:p>
      <w:pPr>
        <w:pStyle w:val="Heading5"/>
      </w:pPr>
      <w:r>
        <w:t>B5</w:t>
      </w:r>
      <w:r>
        <w:tab/>
        <w:t>Reduced withholding tax under international tax treaties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1,080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1,320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Date of effect depends on the date of effect of the tax treaty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rPr>
                <w:i/>
                <w:iCs/>
              </w:rPr>
              <w:t>International Tax Agreements Act 1953</w:t>
            </w:r>
          </w:p>
        </w:tc>
      </w:tr>
    </w:tbl>
    <w:p>
      <w:pPr>
        <w:pStyle w:val="MeasureTableHeading"/>
      </w:pPr>
    </w:p>
    <w:p>
      <w:r>
        <w:t>Under the benchmark, dividends, interest and royalties paid 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International tax treaties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 xml:space="preserve"/>
      </w:r>
    </w:p>
    <w:p>
      <w:r>
        <w:t xml:space="preserve">Australia has signed 50 tax treaties, with 46 of the tax tre</w:t>
      </w:r>
      <w:r>
        <w:t/>
      </w:r>
      <w:r>
        <w:t xml:space="preserve"/>
      </w:r>
    </w:p>
    <w:p>
      <w:pPr>
        <w:pStyle w:val="Heading5"/>
      </w:pPr>
      <w:r>
        <w:lastRenderedPageBreak/>
        <w:t>B6</w:t>
      </w:r>
      <w:r>
        <w:tab/>
        <w:t>Income tax exemption for persons connected with certain US Government projects in Australia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23AA of the</w:t>
            </w: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foreign residents are generally taxed o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US Government projects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B7</w:t>
      </w:r>
      <w:r>
        <w:tab/>
        <w:t>Concessional tax treatment of offshore banking units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1987 (interest withholding), 1992 (concessional tax rate)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Division 9A of Part III and Section 128GB of the</w:t>
            </w: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company profits are taxed at 30 per cen</w:t>
      </w:r>
      <w:r>
        <w:fldChar w:fldCharType="begin"/>
      </w:r>
      <w:r>
        <w:instrText xml:space="preserve"> XE </w:instrText>
      </w:r>
      <w:r>
        <w:instrText>“</w:instrText>
      </w:r>
      <w:r>
        <w:instrText>Offshore banking units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The concessional tax rate no longer applies from the end of </w:t>
      </w:r>
      <w:r>
        <w:t/>
      </w:r>
      <w:r>
        <w:t xml:space="preserve"/>
      </w:r>
      <w:r>
        <w:t/>
      </w:r>
      <w:r>
        <w:t/>
      </w:r>
    </w:p>
    <w:p>
      <w:pPr>
        <w:pStyle w:val="Heading5"/>
      </w:pPr>
      <w:r>
        <w:lastRenderedPageBreak/>
        <w:t>B8</w:t>
      </w:r>
      <w:r>
        <w:tab/>
        <w:t>Exemption for foreign branch profits from income tax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23AH of the</w:t>
            </w: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Australian resident companies are taxed</w:t>
      </w:r>
      <w:r>
        <w:fldChar w:fldCharType="begin"/>
      </w:r>
      <w:r>
        <w:instrText xml:space="preserve"> XE </w:instrText>
      </w:r>
      <w:r>
        <w:instrText>“</w:instrText>
      </w:r>
      <w:r>
        <w:instrText>Foreign branch income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B9</w:t>
      </w:r>
      <w:r>
        <w:tab/>
        <w:t>Exemption from accruals taxation system for certain transferor trusts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102AAT of the</w:t>
            </w: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the transferor would normally be subjec</w:t>
      </w:r>
      <w:r>
        <w:fldChar w:fldCharType="begin"/>
      </w:r>
      <w:r>
        <w:instrText xml:space="preserve"> XE </w:instrText>
      </w:r>
      <w:r>
        <w:instrText>“</w:instrText>
      </w:r>
      <w:r>
        <w:instrText>Transferor trust rules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B10</w:t>
      </w:r>
      <w:r>
        <w:t xml:space="preserve"> </w:t>
      </w:r>
      <w:r>
        <w:t>Exemption from accruals taxation system for controlled foreign companies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Sections 385 and 432 of the</w:t>
            </w:r>
            <w:r>
              <w:rPr>
                <w:rFonts w:ascii="Microsoft Sans Serif" w:hAnsi="Microsoft Sans Serif" w:cs="Microsoft Sans Serif"/>
                <w:sz w:val="17"/>
                <w:szCs w:val="17"/>
              </w:rPr>
              <w:t xml:space="preserve"> </w:t>
            </w:r>
            <w:r>
              <w:rPr>
                <w:rFonts w:cs="Arial"/>
                <w:i/>
                <w:iCs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certain types of income and gains deriv</w:t>
      </w:r>
      <w:r>
        <w:fldChar w:fldCharType="begin"/>
      </w:r>
      <w:r>
        <w:instrText xml:space="preserve"> XE </w:instrText>
      </w:r>
      <w:r>
        <w:instrText>“</w:instrText>
      </w:r>
      <w:r>
        <w:instrText>Controlled foreign companies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rFonts w:cs="Segoe UI"/>
        </w:rPr>
        <w:t xml:space="preserve"/>
      </w:r>
      <w:r>
        <w:t/>
      </w:r>
      <w:r>
        <w:rPr>
          <w:b/>
          <w:bCs/>
          <w:i/>
          <w:iCs/>
        </w:rPr>
        <w:t xml:space="preserve"/>
      </w:r>
      <w:r>
        <w:t/>
      </w:r>
      <w:r>
        <w:t/>
      </w:r>
      <w:r>
        <w:t/>
      </w:r>
      <w:r>
        <w:noBreakHyphen/>
      </w:r>
      <w:r>
        <w:t/>
      </w:r>
    </w:p>
    <w:p>
      <w:r>
        <w:lastRenderedPageBreak/>
        <w:t>However, such income derived by a CFC and which is taxed in </w:t>
      </w:r>
    </w:p>
    <w:p>
      <w:pPr>
        <w:pStyle w:val="Heading5"/>
      </w:pPr>
      <w:r>
        <w:t>B11</w:t>
      </w:r>
      <w:r>
        <w:tab/>
        <w:t>Exemption from interest withholding tax on certain securities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1,960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2,780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4,060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128F and 128FA of the </w:t>
            </w:r>
            <w:r>
              <w:rPr>
                <w:rFonts w:cs="Arial"/>
                <w:i/>
                <w:szCs w:val="16"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withholding tax from interest payments </w:t>
      </w:r>
      <w:r>
        <w:fldChar w:fldCharType="begin"/>
      </w:r>
      <w:r>
        <w:instrText xml:space="preserve"> XE </w:instrText>
      </w:r>
      <w:r>
        <w:instrText>“</w:instrText>
      </w:r>
      <w:r>
        <w:instrText>Debentures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Debt interests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B12</w:t>
      </w:r>
      <w:r>
        <w:tab/>
        <w:t>Exemption of inbound non</w:t>
      </w:r>
      <w:r>
        <w:t>-</w:t>
      </w:r>
      <w:r>
        <w:t>portfolio distributions from income tax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2,41</w:t>
            </w:r>
            <w:r>
              <w:t>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2,32</w:t>
            </w:r>
            <w:r>
              <w:t>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</w:t>
            </w: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</w:t>
            </w:r>
            <w:r>
              <w:t>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</w:t>
            </w:r>
            <w:r>
              <w:t>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</w:t>
            </w:r>
            <w:r>
              <w:t>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</w:t>
            </w:r>
            <w:r>
              <w:t>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768-5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Nonportfolio distributions are distributions paid to a corpo</w:t>
      </w:r>
      <w:r>
        <w:noBreakHyphen/>
      </w:r>
      <w:r>
        <w:t/>
      </w:r>
    </w:p>
    <w:p>
      <w:r>
        <w:t>The benchmark tax treatment is that such distributions would</w:t>
      </w:r>
      <w:r>
        <w:t/>
      </w:r>
      <w:r>
        <w:t/>
      </w:r>
    </w:p>
    <w:p>
      <w:pPr>
        <w:pStyle w:val="Heading5"/>
      </w:pPr>
      <w:r>
        <w:lastRenderedPageBreak/>
        <w:t>B13</w:t>
      </w:r>
      <w:r>
        <w:tab/>
        <w:t>Exemptions for the thin capitalisation regime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trHeight w:val="441"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t xml:space="preserve">Sections 820-32, 820-35, 820-37, 820-39 and Subdivision 820-EAA of the </w:t>
            </w:r>
            <w:r>
              <w:rPr>
                <w:rFonts w:cs="Arial"/>
                <w:i/>
                <w:iCs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thin capitalisation regime is an integrity measure desig</w:t>
      </w:r>
      <w:r>
        <w:fldChar w:fldCharType="begin"/>
      </w:r>
      <w:r>
        <w:instrText xml:space="preserve"> XE </w:instrText>
      </w:r>
      <w:r>
        <w:instrText>“</w:instrText>
      </w:r>
      <w:r>
        <w:instrText>Thin capitalisation regime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</w:p>
    <w:p>
      <w:r>
        <w:t xml:space="preserve">Under the benchmark, the thin capitalisation regime applies </w:t>
      </w:r>
    </w:p>
    <w:p>
      <w:r>
        <w:t>Entities will not have debt deductions disallowed under the </w:t>
      </w:r>
      <w:r>
        <w:noBreakHyphen/>
      </w:r>
      <w:r>
        <w:t xml:space="preserve"/>
      </w:r>
    </w:p>
    <w:p>
      <w:pPr>
        <w:rPr>
          <ns2:ligatures ns2:val="standardContextual"/>
        </w:rPr>
      </w:pPr>
      <w:r>
        <w:t>Outward investing entities (which now includes certain gener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noBreakHyphen/>
      </w:r>
      <w:r>
        <w:t/>
      </w:r>
    </w:p>
    <w:p>
      <w:r>
        <w:t>Australian plantation forestry entities, authorised depositt</w:t>
      </w:r>
      <w:r>
        <w:noBreakHyphen/>
      </w:r>
      <w:r>
        <w:t xml:space="preserve"/>
      </w:r>
    </w:p>
    <w:p>
      <w:r>
        <w:t>Australian plantation forestry entities can apply the previo</w:t>
      </w:r>
    </w:p>
    <w:p>
      <w:pPr>
        <w:pStyle w:val="Heading5"/>
      </w:pPr>
      <w:r>
        <w:lastRenderedPageBreak/>
        <w:t>B14</w:t>
      </w:r>
      <w:r>
        <w:tab/>
        <w:t>Global minimum tax and domestic minimum tax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-190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January 2024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Not yet legislated</w:t>
            </w:r>
          </w:p>
        </w:tc>
      </w:tr>
    </w:tbl>
    <w:p>
      <w:pPr>
        <w:pStyle w:val="MeasureTableHeading"/>
      </w:pPr>
    </w:p>
    <w:p>
      <w:pPr>
        <w:rPr>
          <w:color w:val="000000"/>
        </w:rPr>
      </w:pPr>
      <w:r>
        <w:t>Under the benchmark tax treatment, tax is paid on the undert</w:t>
      </w:r>
      <w:r>
        <w:t/>
      </w:r>
      <w:r>
        <w:t xml:space="preserve"/>
      </w:r>
      <w:r>
        <w:rPr>
          <w:color w:val="000000"/>
        </w:rPr>
        <w:t/>
      </w:r>
      <w:r>
        <w:rPr>
          <w:color w:val="000000"/>
        </w:rPr>
        <w:noBreakHyphen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noBreakHyphen/>
      </w:r>
      <w:r>
        <w:rPr>
          <w:color w:val="000000"/>
        </w:rPr>
        <w:t xml:space="preserve"/>
      </w:r>
    </w:p>
    <w:p>
      <w:pPr>
        <w:rPr>
          <w:color w:val="000000"/>
        </w:rPr>
      </w:pPr>
      <w:r>
        <w:rPr>
          <w:color w:val="000000"/>
        </w:rPr>
        <w:t>Top up tax imposed under the domestic minimum tax will give </w:t>
      </w:r>
      <w:r>
        <w:rPr>
          <w:color w:val="000000"/>
        </w:rPr>
        <w:noBreakHyphen/>
      </w:r>
      <w:r>
        <w:rPr>
          <w:color w:val="000000"/>
        </w:rPr>
        <w:t xml:space="preserve"/>
      </w:r>
    </w:p>
    <w:p>
      <w:pPr>
        <w:pStyle w:val="Heading5"/>
      </w:pPr>
      <w:r>
        <w:t>B15</w:t>
      </w:r>
      <w:r>
        <w:tab/>
        <w:t>Interest withholding tax concession on interest payments by financial institutions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160ZZZJ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tax from interest payments paid to a fo</w:t>
      </w:r>
      <w:r>
        <w:fldChar w:fldCharType="begin"/>
      </w:r>
      <w:r>
        <w:instrText xml:space="preserve"> XE </w:instrText>
      </w:r>
      <w:r>
        <w:instrText>“</w:instrText>
      </w:r>
      <w:r>
        <w:instrText>Australian branch of a foreign bank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B16</w:t>
      </w:r>
      <w:r>
        <w:tab/>
        <w:t>International tax – concessional rate of final withholding tax on certain distributions by clean building managed investment trusts to foreign residents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B92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t>Section 12-385 of Schedule 1 to the</w:t>
            </w:r>
            <w:r>
              <w:rPr>
                <w:rFonts w:cs="Arial"/>
                <w:szCs w:val="16"/>
              </w:rPr>
              <w:t xml:space="preserve"> </w:t>
            </w:r>
            <w:r>
              <w:rPr>
                <w:rFonts w:cs="Arial"/>
                <w:i/>
                <w:iCs/>
                <w:szCs w:val="16"/>
              </w:rPr>
              <w:t>Taxation Administration Act 1953</w:t>
            </w:r>
          </w:p>
          <w:p>
            <w:pPr>
              <w:pStyle w:val="MeasureTableTextLeftAligned"/>
            </w:pPr>
            <w:r>
              <w:rPr>
                <w:rFonts w:cs="Arial"/>
                <w:szCs w:val="16"/>
              </w:rPr>
              <w:t xml:space="preserve">Regulation 34 of the </w:t>
            </w:r>
            <w:r>
              <w:rPr>
                <w:rFonts w:cs="Arial"/>
                <w:i/>
                <w:iCs/>
                <w:szCs w:val="16"/>
              </w:rPr>
              <w:t>Taxation Administration Regulations 2017</w:t>
            </w:r>
          </w:p>
        </w:tc>
      </w:tr>
    </w:tbl>
    <w:p>
      <w:pPr>
        <w:pStyle w:val="MeasureTableHeading"/>
      </w:pPr>
    </w:p>
    <w:p>
      <w:r>
        <w:t>Australia’s default withholding tax rate for Managed Investm</w:t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Managed investment trusts:Distributions to foreign residents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However, for MITs that only hold energy efficient buildings </w:t>
      </w:r>
    </w:p>
    <w:p>
      <w:r>
        <w:t>The Government announced in 2023–24 Budget that it will exte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</w:p>
    <w:p>
      <w:pPr>
        <w:pStyle w:val="Heading4"/>
      </w:pPr>
      <w:r>
        <w:t>Tax expenditures for defence</w:t>
      </w:r>
    </w:p>
    <w:p>
      <w:pPr>
        <w:pStyle w:val="Heading5"/>
      </w:pPr>
      <w:r>
        <w:t>B17</w:t>
      </w:r>
      <w:r>
        <w:tab/>
        <w:t>Security agency transaction exemption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850 of Schedule 1 to the </w:t>
            </w:r>
            <w:r>
              <w:rPr>
                <w:i/>
                <w:iCs/>
              </w:rPr>
              <w:t>Taxation Administration Act 1953</w:t>
            </w:r>
          </w:p>
        </w:tc>
      </w:tr>
    </w:tbl>
    <w:p>
      <w:pPr>
        <w:pStyle w:val="MeasureTableHeading"/>
      </w:pPr>
    </w:p>
    <w:p>
      <w:r>
        <w:t>Under the tax benchmark, tax laws apply broadly. The heads o</w:t>
      </w:r>
      <w:r>
        <w:fldChar w:fldCharType="begin"/>
      </w:r>
      <w:r>
        <w:instrText xml:space="preserve"> XE </w:instrText>
      </w:r>
      <w:r>
        <w:instrText>“</w:instrText>
      </w:r>
      <w:r>
        <w:instrText>Security agencies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Tax expenditures for health</w:t>
      </w:r>
    </w:p>
    <w:p>
      <w:pPr>
        <w:pStyle w:val="Heading5"/>
      </w:pPr>
      <w:r>
        <w:t>B18</w:t>
      </w:r>
      <w:r>
        <w:tab/>
        <w:t>Not</w:t>
      </w:r>
      <w:r>
        <w:t>-</w:t>
      </w:r>
      <w:r>
        <w:t>for</w:t>
      </w:r>
      <w:r>
        <w:t>-</w:t>
      </w:r>
      <w:r>
        <w:t>profit private health insurers income tax exemption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6.3 of the table in Section 50-30 of the </w:t>
            </w:r>
            <w:r>
              <w:rPr>
                <w:rFonts w:cs="Arial"/>
                <w:i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fldChar w:fldCharType="begin"/>
      </w:r>
      <w:r>
        <w:instrText xml:space="preserve"> XE </w:instrText>
      </w:r>
      <w:r>
        <w:instrText>“</w:instrText>
      </w:r>
      <w:r>
        <w:instrText>Private health insurance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</w:rPr>
        <w:t xml:space="preserve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4"/>
      </w:pPr>
      <w:r>
        <w:t>Tax expenditures for social security and welfare</w:t>
      </w:r>
    </w:p>
    <w:p>
      <w:pPr>
        <w:pStyle w:val="Heading5"/>
      </w:pPr>
      <w:r>
        <w:t>B19</w:t>
      </w:r>
      <w:r>
        <w:tab/>
        <w:t>Deductibility for entertainment provided without charge to those in need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32-50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tax benchmark, the cost of providing entertainment</w:t>
      </w:r>
    </w:p>
    <w:p>
      <w:pPr>
        <w:pStyle w:val="Heading5"/>
      </w:pPr>
      <w:r>
        <w:t>B20</w:t>
      </w:r>
      <w:r>
        <w:tab/>
        <w:t>Exemption for payments for mining on Aboriginal land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8 July 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59-15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payments in respect of mining rights ar</w:t>
      </w:r>
    </w:p>
    <w:p>
      <w:pPr>
        <w:pStyle w:val="Heading5"/>
      </w:pPr>
      <w:r>
        <w:lastRenderedPageBreak/>
        <w:t>B21</w:t>
      </w:r>
      <w:r>
        <w:tab/>
        <w:t>Life insurance investment income taxation concession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Offset,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26AH and 160AAB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 xml:space="preserve">Under the tax benchmark individuals are taxed on their inves</w:t>
      </w:r>
      <w:r>
        <w:fldChar w:fldCharType="begin"/>
      </w:r>
      <w:r>
        <w:instrText xml:space="preserve"> XE </w:instrText>
      </w:r>
      <w:r>
        <w:instrText>“</w:instrText>
      </w:r>
      <w:r>
        <w:instrText>Life insurance investment income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B22</w:t>
      </w:r>
      <w:r>
        <w:tab/>
        <w:t>Superannuation Guarantee amnesty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24 May 2018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7 September 2022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26-95(2) of the </w:t>
            </w:r>
            <w:r>
              <w:rPr>
                <w:rFonts w:cs="Arial"/>
                <w:i/>
                <w:szCs w:val="16"/>
              </w:rPr>
              <w:t xml:space="preserve">Income </w:t>
            </w:r>
            <w:r>
              <w:rPr>
                <w:i/>
                <w:iCs/>
              </w:rPr>
              <w:t>Tax Assessment Act 1997</w:t>
            </w:r>
          </w:p>
        </w:tc>
      </w:tr>
    </w:tbl>
    <w:p>
      <w:pPr>
        <w:pStyle w:val="MeasureTableHeading"/>
      </w:pPr>
    </w:p>
    <w:p>
      <w:pPr>
        <w:rPr>
          <w:color w:val="000000"/>
        </w:rPr>
      </w:pPr>
      <w:bookmarkStart w:id="68" w:name="_Hlk100045504"/>
      <w:r>
        <w:rPr>
          <w:color w:val="000000"/>
        </w:rPr>
        <w:t xml:space="preserve">Under the benchmark, superannuation guarantee (SG) charge pa</w:t>
      </w:r>
      <w:r>
        <w:rPr>
          <w:i/>
          <w:iCs/>
          <w:color w:val="000000"/>
        </w:rPr>
        <w:t/>
      </w:r>
      <w:r>
        <w:rPr>
          <w:color w:val="000000"/>
        </w:rPr>
        <w:t xml:space="preserve"/>
      </w:r>
    </w:p>
    <w:p>
      <w:r>
        <w:rPr>
          <w:color w:val="000000"/>
        </w:rPr>
        <w:t>However, the SG charge is tax deductible for employers if it</w:t>
      </w:r>
      <w:r>
        <w:rPr>
          <w:color w:val="000000"/>
        </w:rPr>
        <w:noBreakHyphen/>
      </w:r>
      <w:r>
        <w:rPr>
          <w:color w:val="000000"/>
        </w:rPr>
        <w:t/>
      </w:r>
      <w:r>
        <w:rPr>
          <w:color w:val="000000"/>
        </w:rPr>
        <w:noBreakHyphen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 xml:space="preserve"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rPr>
          <w:color w:val="000000"/>
        </w:rP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Superannuation:Superannuation Guarantee amnesty</w:instrText>
      </w:r>
      <w:r>
        <w:instrText>”</w:instrText>
      </w:r>
      <w:r>
        <w:instrText xml:space="preserve"> </w:instrText>
      </w:r>
      <w:r>
        <w:fldChar w:fldCharType="end"/>
      </w:r>
      <w:bookmarkEnd w:id="68"/>
    </w:p>
    <w:p>
      <w:pPr>
        <w:pStyle w:val="Heading5"/>
      </w:pPr>
      <w:r>
        <w:lastRenderedPageBreak/>
        <w:t>B23</w:t>
      </w:r>
      <w:r>
        <w:tab/>
        <w:t>Deferral or spreading of profit from the forced disposal or death of livestock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385-E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of profit from the disposal of s</w:t>
      </w:r>
      <w:r>
        <w:fldChar w:fldCharType="begin"/>
      </w:r>
      <w:r>
        <w:instrText xml:space="preserve"> XE </w:instrText>
      </w:r>
      <w:r>
        <w:instrText>“</w:instrText>
      </w:r>
      <w:r>
        <w:instrText>Livestock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Bullet"/>
      </w:pPr>
      <w:r>
        <w:t xml:space="preserve">the next five income years; or </w:t>
      </w:r>
    </w:p>
    <w:p>
      <w:pPr>
        <w:pStyle w:val="Bullet"/>
      </w:pPr>
      <w:r>
        <w:t xml:space="preserve">the next 10 income years if the forced disposal or death was</w:t>
      </w:r>
    </w:p>
    <w:p>
      <w:r>
        <w:t xml:space="preserve">Alternatively, primary producers can elect to spread such am</w:t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concessions for certain taxpayers</w:t>
      </w:r>
    </w:p>
    <w:p>
      <w:pPr>
        <w:pStyle w:val="Heading5"/>
      </w:pPr>
      <w:r>
        <w:t>B24</w:t>
      </w:r>
      <w:r>
        <w:tab/>
        <w:t xml:space="preserve">Tax exemption for assistance provided through the </w:t>
      </w:r>
      <w:r>
        <w:t>‘</w:t>
      </w:r>
      <w:r>
        <w:t>boosting cash flow for employers</w:t>
      </w:r>
      <w:r>
        <w:t>’</w:t>
      </w:r>
      <w:r>
        <w:t xml:space="preserve"> measure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Financial and fiscal affairs ($m)</w:t>
      </w:r>
    </w:p>
    <w:tbl>
      <w:tblPr>
        <w:tblW w:w="0" w:type="auto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278"/>
        <w:gridCol w:w="689"/>
        <w:gridCol w:w="811"/>
        <w:gridCol w:w="156"/>
        <w:gridCol w:w="968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3,110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2020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59-90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Commonwealth government </w:t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COVID</w:instrText>
      </w:r>
      <w:r>
        <w:noBreakHyphen/>
      </w:r>
      <w:r>
        <w:instrText>19:Response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Boosting Cash Flow for Employers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B25</w:t>
      </w:r>
      <w:r>
        <w:tab/>
        <w:t>Temporary loss carry</w:t>
      </w:r>
      <w:r>
        <w:noBreakHyphen/>
      </w:r>
      <w:r>
        <w:t>back for certain incorporated entities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Financial and fiscal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-160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Rebate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6 October 2020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67-23 of the </w:t>
            </w:r>
            <w:r>
              <w:rPr>
                <w:i/>
                <w:iCs/>
              </w:rPr>
              <w:t xml:space="preserve">Income Tax Assessment Act 1997 </w:t>
            </w:r>
            <w:r>
              <w:t xml:space="preserve">Subdivision 160-A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Subdivision 160-B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cs="Book Antiqua"/>
          <w:sz w:val="19"/>
          <w:szCs w:val="19"/>
        </w:rPr>
      </w:pPr>
      <w:r>
        <w:rPr>
          <w:rFonts w:cs="Book Antiqua"/>
          <w:sz w:val="19"/>
          <w:szCs w:val="19"/>
        </w:rPr>
        <w:t>Under the benchmark, companies are required to carry losses </w:t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/>
      </w:r>
      <w:r>
        <w:rPr>
          <w:rFonts w:cs="Book Antiqua"/>
          <w:sz w:val="19"/>
          <w:szCs w:val="19"/>
        </w:rPr>
        <w:t xml:space="preserve"/>
      </w:r>
    </w:p>
    <w:p>
      <w:pPr>
        <w:rPr>
          <w:rFonts w:cs="Book Antiqua"/>
          <w:sz w:val="19"/>
          <w:szCs w:val="19"/>
        </w:rPr>
      </w:pPr>
      <w:r>
        <w:rPr>
          <w:rFonts w:cs="Book Antiqua"/>
          <w:sz w:val="19"/>
          <w:szCs w:val="19"/>
        </w:rPr>
        <w:t>Companies that do not elect to carry back losses can carry t</w:t>
      </w:r>
    </w:p>
    <w:p>
      <w:pPr>
        <w:pStyle w:val="Heading5"/>
      </w:pPr>
      <w:r>
        <w:t>B26</w:t>
      </w:r>
      <w:r>
        <w:tab/>
        <w:t>Exemption of foreign currency gains and losses from certain low balance accounts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775-D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tax benchmark, taxpayers include the change of val</w:t>
      </w:r>
    </w:p>
    <w:p>
      <w:r>
        <w:t>This option is available to all taxpayers other than financi</w:t>
      </w:r>
      <w:r>
        <w:fldChar w:fldCharType="begin"/>
      </w:r>
      <w:r>
        <w:instrText xml:space="preserve"> XE </w:instrText>
      </w:r>
      <w:r>
        <w:instrText>“</w:instrText>
      </w:r>
      <w:r>
        <w:instrText>Foreign currency gains and losses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B27</w:t>
      </w:r>
      <w:r>
        <w:tab/>
        <w:t>Off</w:t>
      </w:r>
      <w:r>
        <w:t>-</w:t>
      </w:r>
      <w:r>
        <w:t>market share buy</w:t>
      </w:r>
      <w:r>
        <w:noBreakHyphen/>
      </w:r>
      <w:r>
        <w:t>backs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16K of Part III and 177EA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proceeds paid to shareholders who participate in an offm</w:t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Off</w:instrText>
      </w:r>
      <w:r>
        <w:noBreakHyphen/>
      </w:r>
      <w:r>
        <w:instrText>market share buy</w:instrText>
      </w:r>
      <w:r>
        <w:noBreakHyphen/>
      </w:r>
      <w:r>
        <w:instrText>back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Franking credits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On 27 November 2023 legislation was enacted to align the tax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Heading5"/>
      </w:pPr>
      <w:r>
        <w:t>B28</w:t>
      </w:r>
      <w:r>
        <w:tab/>
        <w:t>Tax exemption for business recipients of disaster relief and recovery payments</w:t>
      </w:r>
    </w:p>
    <w:p>
      <w:pPr>
        <w:pStyle w:val="MeasureTableHeading"/>
      </w:pPr>
      <w:r>
        <w:t>Other purposes</w:t>
      </w:r>
      <w:r>
        <w:t xml:space="preserve"> – </w:t>
      </w:r>
      <w:r>
        <w:t>Natural disaster relief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B28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2021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11-15, 11-55, 51-125, 59-60, 59-85, 59-86, 59-99 and 59-105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businesses are g</w:t>
      </w:r>
      <w:r>
        <w:fldChar w:fldCharType="begin"/>
      </w:r>
      <w:r>
        <w:instrText xml:space="preserve"> XE </w:instrText>
      </w:r>
      <w:r>
        <w:instrText>“</w:instrText>
      </w:r>
      <w:r>
        <w:instrText>Natural disasters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Tax expenditures for housing and community amenities</w:t>
      </w:r>
    </w:p>
    <w:p>
      <w:pPr>
        <w:pStyle w:val="Heading5"/>
      </w:pPr>
      <w:r>
        <w:t>B</w:t>
      </w:r>
      <w:r>
        <w:t>29</w:t>
      </w:r>
      <w:r>
        <w:tab/>
        <w:t>Tax exemption for National Rental Affordability Scheme incentives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Division 380 of the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individuals are </w:t>
      </w:r>
      <w:r>
        <w:fldChar w:fldCharType="begin"/>
      </w:r>
      <w:r>
        <w:instrText xml:space="preserve"> XE </w:instrText>
      </w:r>
      <w:r>
        <w:instrText>“</w:instrText>
      </w:r>
      <w:r>
        <w:instrText>National Rental Affordability Scheme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rPr>
          <w:rFonts w:eastAsia="Calibri"/>
          <w:lang w:eastAsia="en-US"/>
        </w:rPr>
      </w:pPr>
      <w:r>
        <w:t>The scheme is no longer open to new providers.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National Rental Affordability Scheme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4"/>
      </w:pPr>
      <w:r>
        <w:t>Tax expenditures for recreation and culture</w:t>
      </w:r>
    </w:p>
    <w:p>
      <w:pPr>
        <w:pStyle w:val="Heading5"/>
      </w:pPr>
      <w:r>
        <w:t>B</w:t>
      </w:r>
      <w:r>
        <w:t>30</w:t>
      </w:r>
      <w:r>
        <w:tab/>
        <w:t>Film industry concessions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376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bookmarkStart w:id="69" w:name="_Hlk93245169"/>
      <w:r>
        <w:t xml:space="preserve">Film production companies incurring expenditure on certain p</w:t>
      </w:r>
      <w:bookmarkEnd w:id="69"/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Location offset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Producer offset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Post, digital and visual effects offset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t/>
      </w:r>
      <w:r>
        <w:t/>
      </w:r>
    </w:p>
    <w:p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Under the benchmark, government payments to taxpayers are ge</w:t>
      </w:r>
      <w:r>
        <w:t/>
      </w:r>
      <w:r>
        <w:rPr>
          <w:rFonts w:eastAsia="Calibri"/>
          <w:lang w:eastAsia="en-US"/>
        </w:rPr>
        <w:t xml:space="preserve"/>
      </w:r>
      <w:r>
        <w:t xml:space="preserve"/>
      </w:r>
      <w:r>
        <w:rPr>
          <w:rFonts w:eastAsia="Calibri"/>
          <w:lang w:eastAsia="en-US"/>
        </w:rPr>
        <w:t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Film production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4"/>
      </w:pPr>
      <w:r>
        <w:lastRenderedPageBreak/>
        <w:t>Tax expenditures relating to prepayments and advance expenditures</w:t>
      </w:r>
    </w:p>
    <w:p>
      <w:pPr>
        <w:pStyle w:val="Heading5"/>
      </w:pPr>
      <w:r>
        <w:t>B</w:t>
      </w:r>
      <w:r>
        <w:t>31</w:t>
      </w:r>
      <w:r>
        <w:tab/>
        <w:t>Exemption from the tax shelter prepayments measure for certain passive investments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11 November 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82KZME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payments for business expenditure that </w:t>
      </w:r>
      <w:r>
        <w:fldChar w:fldCharType="begin"/>
      </w:r>
      <w:r>
        <w:instrText xml:space="preserve"> XE </w:instrText>
      </w:r>
      <w:r>
        <w:instrText>“</w:instrText>
      </w:r>
      <w:r>
        <w:instrText>Prepayments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However, a prepayment is immediately deductible in the year </w:t>
      </w:r>
    </w:p>
    <w:p>
      <w:pPr>
        <w:pStyle w:val="Bullet"/>
      </w:pPr>
      <w:r>
        <w:t xml:space="preserve">interest on money borrowed for investments in shares, units </w:t>
      </w:r>
    </w:p>
    <w:p>
      <w:pPr>
        <w:pStyle w:val="Bullet"/>
      </w:pPr>
      <w:r>
        <w:t>eligible insurance premiums;</w:t>
      </w:r>
    </w:p>
    <w:p>
      <w:pPr>
        <w:pStyle w:val="Bullet"/>
      </w:pPr>
      <w:r>
        <w:t>‘excluded expenditure’ under the tax law;</w:t>
      </w:r>
      <w:r>
        <w:t/>
      </w:r>
      <w:r>
        <w:t/>
      </w:r>
      <w:r>
        <w:t xml:space="preserve"/>
      </w:r>
    </w:p>
    <w:p>
      <w:pPr>
        <w:pStyle w:val="Bullet"/>
      </w:pPr>
      <w:r>
        <w:t xml:space="preserve">certain other arrangements entered into before 11 November 1</w:t>
      </w:r>
    </w:p>
    <w:p>
      <w:pPr>
        <w:pStyle w:val="Bullet"/>
      </w:pPr>
      <w:r>
        <w:t>an agreement subject to a product ruling made by the Commiss</w:t>
      </w:r>
      <w:r>
        <w:fldChar w:fldCharType="begin"/>
      </w:r>
      <w:r>
        <w:instrText xml:space="preserve"> XE </w:instrText>
      </w:r>
      <w:r>
        <w:instrText>“</w:instrText>
      </w:r>
      <w:r>
        <w:instrText>Tax shelter prepayments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32</w:t>
      </w:r>
      <w:r>
        <w:tab/>
        <w:t>Prepayment rule for eligible business taxpayers and non</w:t>
      </w:r>
      <w:r>
        <w:t>-</w:t>
      </w:r>
      <w:r>
        <w:t>business expenditure by individuals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25 May 1988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82KZM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 xml:space="preserve">Under the benchmark, payments for business expenditure that </w:t>
      </w:r>
      <w:r>
        <w:lastRenderedPageBreak/>
        <w:t xml:space="preserve"/>
      </w:r>
    </w:p>
    <w:p>
      <w:r>
        <w:t>However, prepayments by eligible businesses and nonbusiness </w:t>
      </w:r>
      <w: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Prepayments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</w:t>
      </w:r>
      <w:r>
        <w:t>33</w:t>
      </w:r>
      <w:r>
        <w:tab/>
        <w:t>The 10</w:t>
      </w:r>
      <w:r>
        <w:t>-</w:t>
      </w:r>
      <w:r>
        <w:t>year rule for prepayments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82KZL(1)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treatment of prepayments is that they are dedu</w:t>
      </w:r>
      <w:r>
        <w:fldChar w:fldCharType="begin"/>
      </w:r>
      <w:r>
        <w:instrText xml:space="preserve"> XE </w:instrText>
      </w:r>
      <w:r>
        <w:instrText>“</w:instrText>
      </w:r>
      <w:r>
        <w:instrText>Prepayments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Tax expenditures for agriculture, forestry and fishing</w:t>
      </w:r>
    </w:p>
    <w:p>
      <w:pPr>
        <w:pStyle w:val="Heading5"/>
      </w:pPr>
      <w:r>
        <w:t>B</w:t>
      </w:r>
      <w:r>
        <w:t>34</w:t>
      </w:r>
      <w:r>
        <w:tab/>
        <w:t>Accelerated write</w:t>
      </w:r>
      <w:r>
        <w:noBreakHyphen/>
      </w:r>
      <w:r>
        <w:t>off for forestry managed investment schemes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394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expenditure on forestry managed investm</w:t>
      </w:r>
      <w:r>
        <w:fldChar w:fldCharType="begin"/>
      </w:r>
      <w:r>
        <w:instrText xml:space="preserve"> XE </w:instrText>
      </w:r>
      <w:r>
        <w:instrText>“</w:instrText>
      </w:r>
      <w:r>
        <w:instrText>Forestry managed investment schemes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B</w:t>
      </w:r>
      <w:r>
        <w:t>35</w:t>
      </w:r>
      <w:r>
        <w:tab/>
        <w:t>Deferral of profit from early sale of double wool clips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385-135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income from business activities is gene</w:t>
      </w:r>
    </w:p>
    <w:p>
      <w:r>
        <w:t>However, as a consequence of drought, fire or flood, primary</w:t>
      </w:r>
      <w:r>
        <w:fldChar w:fldCharType="begin"/>
      </w:r>
      <w:r>
        <w:instrText xml:space="preserve"> XE </w:instrText>
      </w:r>
      <w:r>
        <w:instrText>“</w:instrText>
      </w:r>
      <w:r>
        <w:instrText>Advanced shearing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36</w:t>
      </w:r>
      <w:r>
        <w:tab/>
        <w:t>Farm Management Deposits scheme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265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393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income from primary production is gener</w:t>
      </w:r>
      <w:r>
        <w:fldChar w:fldCharType="begin"/>
      </w:r>
      <w:r>
        <w:instrText xml:space="preserve"> XE </w:instrText>
      </w:r>
      <w:r>
        <w:instrText>“</w:instrText>
      </w:r>
      <w:r>
        <w:instrText>Farm Management Deposits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 xml:space="preserve"/>
      </w:r>
    </w:p>
    <w:p>
      <w:r>
        <w:t xml:space="preserve">Primary producers can claim deductions for deposits made int</w:t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B</w:t>
      </w:r>
      <w:r>
        <w:t>37</w:t>
      </w:r>
      <w:r>
        <w:tab/>
        <w:t>Income tax averaging for primary producers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275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392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income tax is calculated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Income averaging:Primary 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38</w:t>
      </w:r>
      <w:r>
        <w:tab/>
        <w:t>Primary producers – concessional tax treatment for carbon abatement income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B39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392 and Subdivisions 420-A and 420-D of the </w:t>
            </w:r>
            <w:r>
              <w:rPr>
                <w:i/>
                <w:iCs/>
              </w:rPr>
              <w:t>Income Tax Assessment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Act</w:t>
            </w:r>
            <w:r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i/>
                <w:iCs/>
              </w:rPr>
              <w:t>1997</w:t>
            </w:r>
          </w:p>
        </w:tc>
      </w:tr>
    </w:tbl>
    <w:p>
      <w:pPr>
        <w:pStyle w:val="MeasureTableHeading"/>
      </w:pPr>
    </w:p>
    <w:p>
      <w:r>
        <w:t xml:space="preserve">Under the benchmark, Australian Carbon Credit Unit (ACCU) ho</w:t>
      </w:r>
    </w:p>
    <w:p>
      <w:r>
        <w:t>For ACCUs held from 1 July 2022, primary producers meeting t</w:t>
      </w:r>
    </w:p>
    <w:p>
      <w:pPr>
        <w:pStyle w:val="Heading5"/>
      </w:pPr>
      <w:r>
        <w:lastRenderedPageBreak/>
        <w:t>B</w:t>
      </w:r>
      <w:r>
        <w:t>39</w:t>
      </w:r>
      <w:r>
        <w:tab/>
        <w:t>Spreading of insurance income for loss of livestock or trees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385-130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insurance proceeds are c</w:t>
      </w:r>
      <w:r>
        <w:fldChar w:fldCharType="begin"/>
      </w:r>
      <w:r>
        <w:instrText xml:space="preserve"> XE </w:instrText>
      </w:r>
      <w:r>
        <w:instrText>“</w:instrText>
      </w:r>
      <w:r>
        <w:instrText>Livestock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4</w:t>
      </w:r>
      <w:r>
        <w:t>0</w:t>
      </w:r>
      <w:r>
        <w:tab/>
        <w:t>Valuation of livestock from natural increase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70-55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trading stock would be allocated a clos</w:t>
      </w:r>
    </w:p>
    <w:p>
      <w:r>
        <w:t xml:space="preserve">However, the cost of livestock acquired by natural increase </w:t>
      </w:r>
      <w:r>
        <w:fldChar w:fldCharType="begin"/>
      </w:r>
      <w:r>
        <w:instrText xml:space="preserve"> XE </w:instrText>
      </w:r>
      <w:r>
        <w:instrText>“</w:instrText>
      </w:r>
      <w:r>
        <w:instrText>Livestock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Tax expenditures for manufacturing and mining</w:t>
      </w:r>
    </w:p>
    <w:p>
      <w:pPr>
        <w:pStyle w:val="Heading5"/>
      </w:pPr>
      <w:r>
        <w:t>B</w:t>
      </w:r>
      <w:r>
        <w:t>4</w:t>
      </w:r>
      <w:r>
        <w:t>1</w:t>
      </w:r>
      <w:r>
        <w:tab/>
        <w:t>Exemption of the Critical Minerals Production Tax Incentive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419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government payments to taxpayers are ge</w:t>
      </w:r>
      <w:r>
        <w:lastRenderedPageBreak/>
        <w:t/>
      </w:r>
      <w:r>
        <w:t/>
      </w:r>
      <w:r>
        <w:t xml:space="preserve"/>
      </w:r>
    </w:p>
    <w:p>
      <w:r>
        <w:t>For income years beginning on or after 1 July 2027 but endin</w:t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t>B</w:t>
      </w:r>
      <w:r>
        <w:t>4</w:t>
      </w:r>
      <w:r>
        <w:t>2</w:t>
      </w:r>
      <w:r>
        <w:tab/>
        <w:t>Exemption of the Hydrogen Production Tax Incentive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421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taxpayers are ge</w:t>
      </w:r>
      <w:r>
        <w:t/>
      </w:r>
      <w:r>
        <w:t xml:space="preserve"/>
      </w:r>
    </w:p>
    <w:p>
      <w:r>
        <w:t>For income years beginning on or after 1 July 2027 but endin</w:t>
      </w:r>
      <w:r>
        <w:t/>
      </w:r>
      <w:r>
        <w:t/>
      </w:r>
    </w:p>
    <w:p>
      <w:pPr>
        <w:pStyle w:val="Heading4"/>
      </w:pPr>
      <w:r>
        <w:lastRenderedPageBreak/>
        <w:t>Tax expenditures for transport and communications</w:t>
      </w:r>
    </w:p>
    <w:p>
      <w:pPr>
        <w:pStyle w:val="Heading5"/>
      </w:pPr>
      <w:r>
        <w:t>B</w:t>
      </w:r>
      <w:r>
        <w:t>4</w:t>
      </w:r>
      <w:r>
        <w:t>3</w:t>
      </w:r>
      <w:r>
        <w:tab/>
        <w:t>Denial of depreciation deduction for car value above the car limit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-260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-400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40-230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treatment is that the full value of a car used</w:t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Depreciation deductions:Car value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4</w:t>
      </w:r>
      <w:r>
        <w:t>4</w:t>
      </w:r>
      <w:r>
        <w:tab/>
        <w:t>Shipping – investment incentives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Accelerated write-off, 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 w:val="17"/>
                <w:szCs w:val="17"/>
              </w:rPr>
            </w:pPr>
            <w:r>
              <w:t>Section 51-100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  <w:rPr>
                <w:rFonts w:cs="Arial"/>
                <w:sz w:val="17"/>
                <w:szCs w:val="17"/>
              </w:rPr>
            </w:pPr>
            <w:r>
              <w:t xml:space="preserve">Subsection 128B(3) of </w:t>
            </w:r>
            <w:r>
              <w:rPr>
                <w:rFonts w:cs="Arial"/>
                <w:sz w:val="17"/>
                <w:szCs w:val="17"/>
              </w:rPr>
              <w:t xml:space="preserve">the </w:t>
            </w:r>
            <w:r>
              <w:rPr>
                <w:i/>
                <w:iCs/>
              </w:rPr>
              <w:t>Income Tax Assessment Act 1936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Item 10 of the table to subsection 40-102(4) of the </w:t>
            </w:r>
            <w:r>
              <w:rPr>
                <w:i/>
                <w:iCs/>
              </w:rPr>
              <w:t>Income Tax Assessment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1997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Section 40-362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Subsection 40-285(5)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Under the benchmark, vessels are depreciated over their effe</w:t>
      </w:r>
    </w:p>
    <w:p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Tax incentives are provided to encourage investment in the A</w:t>
      </w:r>
    </w:p>
    <w:p>
      <w:pPr>
        <w:pStyle w:val="Heading5"/>
      </w:pPr>
      <w:r>
        <w:lastRenderedPageBreak/>
        <w:t>B</w:t>
      </w:r>
      <w:r>
        <w:t>4</w:t>
      </w:r>
      <w:r>
        <w:t>5</w:t>
      </w:r>
      <w:r>
        <w:tab/>
        <w:t>Shipping – refundable tax offset for employers of qualifying Australian seafarers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Subdivision 61-N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Under the benchmark, government payments to taxpayers are ge</w:t>
      </w:r>
    </w:p>
    <w:p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A refundable tax offset is available to qualifying companies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Shipping:Seafarers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  <w:r>
        <w:rPr>
          <w:rFonts w:eastAsia="Calibri"/>
          <w:lang w:eastAsia="en-US"/>
        </w:rPr>
        <w:t/>
      </w:r>
      <w:r>
        <w:rPr>
          <w:rFonts w:eastAsia="Calibri"/>
          <w:lang w:eastAsia="en-US"/>
        </w:rPr>
        <w:t/>
      </w:r>
      <w:r>
        <w:rPr>
          <w:rFonts w:eastAsia="Calibri"/>
          <w:lang w:eastAsia="en-US"/>
        </w:rPr>
        <w:t/>
      </w:r>
    </w:p>
    <w:p>
      <w:pPr>
        <w:pStyle w:val="Heading5"/>
      </w:pPr>
      <w:r>
        <w:t>B</w:t>
      </w:r>
      <w:r>
        <w:t>4</w:t>
      </w:r>
      <w:r>
        <w:t>6</w:t>
      </w:r>
      <w:r>
        <w:tab/>
        <w:t>Deductions for boat expenditure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Tourism and area promotion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26-47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expenses connected to income earning ac</w:t>
      </w:r>
      <w:r>
        <w:fldChar w:fldCharType="begin"/>
      </w:r>
      <w:r>
        <w:instrText xml:space="preserve"> XE </w:instrText>
      </w:r>
      <w:r>
        <w:instrText>“</w:instrText>
      </w:r>
      <w:r>
        <w:instrText>Boat expenditure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4"/>
      </w:pPr>
      <w:r>
        <w:lastRenderedPageBreak/>
        <w:t>Tax expenditures for other economic affairs</w:t>
      </w:r>
    </w:p>
    <w:p>
      <w:pPr>
        <w:pStyle w:val="Heading5"/>
      </w:pPr>
      <w:r>
        <w:t>B</w:t>
      </w:r>
      <w:r>
        <w:t>4</w:t>
      </w:r>
      <w:r>
        <w:t>7</w:t>
      </w:r>
      <w:r>
        <w:tab/>
        <w:t>Digital Games Tax Offset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B49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378 to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taxpayers are ge</w:t>
      </w:r>
    </w:p>
    <w:p>
      <w:r>
        <w:t>Eligible companies incurring expenditure in relation to the 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Digital Games Tax Offset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4</w:t>
      </w:r>
      <w:r>
        <w:t>8</w:t>
      </w:r>
      <w:r>
        <w:tab/>
        <w:t>Additional deduction for external training expenses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29 March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328-445 and 328-450 of the </w:t>
            </w:r>
            <w:r>
              <w:rPr>
                <w:i/>
                <w:iCs/>
              </w:rPr>
              <w:t>Income Tax (Transitional Provisions)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1997</w:t>
            </w:r>
          </w:p>
        </w:tc>
      </w:tr>
    </w:tbl>
    <w:p>
      <w:pPr>
        <w:pStyle w:val="MeasureTableHeading"/>
      </w:pPr>
    </w:p>
    <w:p>
      <w:r>
        <w:t xml:space="preserve">Under the benchmark, the cost of expenses incurred in earnin</w:t>
      </w:r>
      <w:bookmarkStart w:id="70" w:name="_Hlk120813338"/>
      <w:r>
        <w:t xml:space="preserve"/>
      </w:r>
      <w:bookmarkEnd w:id="70"/>
      <w:r>
        <w:t xml:space="preserve"/>
      </w:r>
    </w:p>
    <w:p>
      <w:r>
        <w:t xml:space="preserve">Small and medium businesses with an aggregated annual turnov</w:t>
      </w:r>
      <w:bookmarkStart w:id="71" w:name="_Hlk120811369"/>
      <w:r>
        <w:t/>
      </w:r>
      <w:bookmarkEnd w:id="71"/>
      <w:r>
        <w:t xml:space="preserve"/>
      </w:r>
    </w:p>
    <w:p>
      <w:r>
        <w:t xml:space="preserve">The additional deduction applied to eligible expenditure inc</w:t>
      </w:r>
      <w:bookmarkStart w:id="72" w:name="_Hlk120812300"/>
      <w:r>
        <w:t xml:space="preserve"/>
      </w:r>
      <w:bookmarkEnd w:id="72"/>
      <w:r>
        <w:t/>
      </w:r>
      <w:r>
        <w:t/>
      </w:r>
      <w:r>
        <w:t xml:space="preserve"/>
      </w:r>
    </w:p>
    <w:p>
      <w:pPr>
        <w:pStyle w:val="Heading5"/>
      </w:pPr>
      <w:r>
        <w:lastRenderedPageBreak/>
        <w:t>B</w:t>
      </w:r>
      <w:r>
        <w:t>49</w:t>
      </w:r>
      <w:r>
        <w:tab/>
        <w:t>Additional deduction for digital adoption expenses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29 March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328-455 and 328-460 of the </w:t>
            </w:r>
            <w:r>
              <w:rPr>
                <w:i/>
                <w:iCs/>
              </w:rPr>
              <w:t>Income Tax (Transitional Provisions)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1997</w:t>
            </w:r>
          </w:p>
        </w:tc>
      </w:tr>
    </w:tbl>
    <w:p>
      <w:pPr>
        <w:pStyle w:val="MeasureTableHeading"/>
      </w:pPr>
    </w:p>
    <w:p>
      <w:pPr>
        <w:rPr>
          <w:rFonts w:ascii="Calibri" w:hAnsi="Calibri"/>
        </w:rPr>
      </w:pPr>
      <w:r>
        <w:t xml:space="preserve">Under the benchmark, the cost of expenses incurred in earnin</w:t>
      </w:r>
    </w:p>
    <w:p>
      <w:r>
        <w:t xml:space="preserve">Small and medium businesses with an aggregated annual turnov</w:t>
      </w:r>
      <w:bookmarkStart w:id="73" w:name="_Hlk120811008"/>
      <w:r>
        <w:t xml:space="preserve"/>
      </w:r>
      <w:bookmarkEnd w:id="73"/>
    </w:p>
    <w:p>
      <w:r>
        <w:t>The additional deduction applied to eligible expenditure inc</w:t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t>B</w:t>
      </w:r>
      <w:r>
        <w:t>5</w:t>
      </w:r>
      <w:r>
        <w:t>0</w:t>
      </w:r>
      <w:r>
        <w:tab/>
        <w:t>Additional deduction for electrification and energy efficiency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328-465 and 328-470 of the </w:t>
            </w:r>
            <w:r>
              <w:rPr>
                <w:i/>
                <w:iCs/>
              </w:rPr>
              <w:t>Income Tax (Transitional Provisions)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1997</w:t>
            </w:r>
          </w:p>
        </w:tc>
      </w:tr>
    </w:tbl>
    <w:p>
      <w:pPr>
        <w:pStyle w:val="MeasureTableHeading"/>
      </w:pPr>
    </w:p>
    <w:p>
      <w:r>
        <w:t>Under the benchmark, the cost of a depreciating asset is ded</w:t>
      </w:r>
    </w:p>
    <w:p>
      <w:r>
        <w:t>Small and medium businesses with an aggregated annual turnov</w:t>
      </w:r>
    </w:p>
    <w:p>
      <w:r>
        <w:lastRenderedPageBreak/>
        <w:t>The additional deduction applied from 1 July 2023 until 30 J</w:t>
      </w:r>
    </w:p>
    <w:p>
      <w:pPr>
        <w:pStyle w:val="Heading5"/>
      </w:pPr>
      <w:r>
        <w:t>B</w:t>
      </w:r>
      <w:r>
        <w:t>5</w:t>
      </w:r>
      <w:r>
        <w:t>1</w:t>
      </w:r>
      <w:r>
        <w:tab/>
        <w:t>Capital gains tax concession for carried interests paid to venture capital partners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t xml:space="preserve">Sections 104-255 and 118-21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rPr>
                <w:i/>
                <w:iCs/>
              </w:rPr>
              <w:t>Venture Capital Act 2002</w:t>
            </w:r>
          </w:p>
        </w:tc>
      </w:tr>
    </w:tbl>
    <w:p>
      <w:pPr>
        <w:pStyle w:val="MeasureTableHeading"/>
      </w:pPr>
    </w:p>
    <w:p>
      <w:r>
        <w:t>Venture capital fund managers may be paid a performancebased</w:t>
      </w:r>
      <w:r>
        <w:noBreakHyphen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Carried interests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Venture capital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</w:t>
      </w:r>
      <w:r>
        <w:t>5</w:t>
      </w:r>
      <w:r>
        <w:t>2</w:t>
      </w:r>
      <w:r>
        <w:tab/>
        <w:t>Clarification of the debt or equity treatment of perpetual subordinated debt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974-135 of the </w:t>
            </w:r>
            <w:r>
              <w:rPr>
                <w:i/>
                <w:iCs/>
              </w:rPr>
              <w:t>Income Tax Assessment Act 1997</w:t>
            </w:r>
            <w:r>
              <w:t xml:space="preserve">, and </w:t>
            </w:r>
          </w:p>
          <w:p>
            <w:pPr>
              <w:pStyle w:val="MeasureTableTextLeftAligned"/>
            </w:pPr>
            <w:r>
              <w:t xml:space="preserve">Regulation 974.135.04 of the </w:t>
            </w:r>
            <w:r>
              <w:rPr>
                <w:i/>
                <w:iCs/>
              </w:rPr>
              <w:t>Income Tax Assessment (1997 Act) Regulations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2021</w:t>
            </w:r>
          </w:p>
        </w:tc>
      </w:tr>
    </w:tbl>
    <w:p>
      <w:pPr>
        <w:pStyle w:val="MeasureTableHeading"/>
      </w:pPr>
    </w:p>
    <w:p>
      <w:r>
        <w:t xml:space="preserve">Issuers can defer payments on Upper Tier 2 perpetual cumulat</w:t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lastRenderedPageBreak/>
        <w:t>B</w:t>
      </w:r>
      <w:r>
        <w:t>5</w:t>
      </w:r>
      <w:r>
        <w:t>3</w:t>
      </w:r>
      <w:r>
        <w:tab/>
        <w:t>Deduction for borrowing expenses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25-25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 treatment up front borrowing expenses (s</w:t>
      </w:r>
      <w:r>
        <w:fldChar w:fldCharType="begin"/>
      </w:r>
      <w:r>
        <w:instrText xml:space="preserve"> XE </w:instrText>
      </w:r>
      <w:r>
        <w:instrText>“</w:instrText>
      </w:r>
      <w:r>
        <w:instrText>Borrowing expenses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B</w:t>
      </w:r>
      <w:r>
        <w:t>5</w:t>
      </w:r>
      <w:r>
        <w:t>4</w:t>
      </w:r>
      <w:r>
        <w:tab/>
        <w:t>Deduction for certain co</w:t>
      </w:r>
      <w:r>
        <w:t>-</w:t>
      </w:r>
      <w:r>
        <w:t>operatives repaying government loans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117 and 120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Under the benchmark, a repayment of the principal on a loan 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Co</w:instrText>
      </w:r>
      <w:r>
        <w:noBreakHyphen/>
      </w:r>
      <w:r>
        <w:instrText>operative companies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Australian and State Government loans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The deduction is allowed only if 90 per cent or more of the </w:t>
      </w:r>
    </w:p>
    <w:p>
      <w:pPr>
        <w:pStyle w:val="Heading5"/>
      </w:pPr>
      <w:r>
        <w:t>B</w:t>
      </w:r>
      <w:r>
        <w:t>5</w:t>
      </w:r>
      <w:r>
        <w:t>5</w:t>
      </w:r>
      <w:r>
        <w:tab/>
        <w:t>Denial of deductibility for non</w:t>
      </w:r>
      <w:r>
        <w:t>-</w:t>
      </w:r>
      <w:r>
        <w:t>compliant payments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26-105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a deduction is generally allowed to ent</w:t>
      </w:r>
    </w:p>
    <w:p>
      <w:r>
        <w:lastRenderedPageBreak/>
        <w:t>Since 1 July 2019, a deduction has been denied for these pay</w:t>
      </w:r>
    </w:p>
    <w:p>
      <w:pPr>
        <w:pStyle w:val="Heading5"/>
      </w:pPr>
      <w:r>
        <w:t>B</w:t>
      </w:r>
      <w:r>
        <w:t>5</w:t>
      </w:r>
      <w:r>
        <w:t>6</w:t>
      </w:r>
      <w:r>
        <w:tab/>
        <w:t>Early stage investors – non</w:t>
      </w:r>
      <w:r>
        <w:t>-</w:t>
      </w:r>
      <w:r>
        <w:t>refundable tax offset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2016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360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The benchmark tax treatment is that gains and income from in</w:t>
      </w:r>
    </w:p>
    <w:p>
      <w:pPr>
        <w:rPr>
          <w:rFonts w:eastAsia="Calibri"/>
          <w:lang w:eastAsia="en-US"/>
        </w:rPr>
      </w:pPr>
      <w:r>
        <w:t xml:space="preserve">A tax expenditure arises because eligible investors in quali</w:t>
      </w:r>
      <w:r>
        <w:rPr>
          <w:lang w:val="en"/>
        </w:rPr>
        <w:t/>
      </w:r>
      <w:r>
        <w:rPr>
          <w:lang w:val="en"/>
        </w:rPr>
        <w:noBreakHyphen/>
      </w:r>
      <w:r>
        <w:rPr>
          <w:lang w:val="en"/>
        </w:rPr>
        <w:t xml:space="preserve"/>
      </w:r>
    </w:p>
    <w:p>
      <w:pPr>
        <w:pStyle w:val="Heading5"/>
      </w:pPr>
      <w:r>
        <w:t>B</w:t>
      </w:r>
      <w:r>
        <w:t>5</w:t>
      </w:r>
      <w:r>
        <w:t>7</w:t>
      </w:r>
      <w:r>
        <w:tab/>
        <w:t>Immediate deduction for professional expenses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B59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40-880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professional expenses associated with s</w:t>
      </w:r>
      <w:r>
        <w:t/>
      </w:r>
      <w:r>
        <w:noBreakHyphen/>
      </w:r>
      <w:r>
        <w:t/>
      </w:r>
      <w:r>
        <w:t xml:space="preserve"/>
      </w:r>
    </w:p>
    <w:p>
      <w:r>
        <w:t>However, eligible businesses can immediately deduct these pr</w:t>
      </w:r>
    </w:p>
    <w:p>
      <w:pPr>
        <w:pStyle w:val="Heading5"/>
      </w:pPr>
      <w:r>
        <w:lastRenderedPageBreak/>
        <w:t>B</w:t>
      </w:r>
      <w:r>
        <w:t>5</w:t>
      </w:r>
      <w:r>
        <w:t>8</w:t>
      </w:r>
      <w:r>
        <w:tab/>
        <w:t>Income tax exemption for prescribed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50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bookmarkStart w:id="74" w:name="_Hlk124941927"/>
      <w:r>
        <w:t xml:space="preserve">The benchmark tax treatment is that income tax is paid on th</w:t>
      </w:r>
    </w:p>
    <w:p>
      <w:pPr>
        <w:pStyle w:val="Bullet"/>
        <w:numPr>
          <w:ilvl w:val="0"/>
          <w:numId w:val="38"/>
        </w:numPr>
      </w:pPr>
      <w:r>
        <w:t>Commonwealth, state and territory public authorities;</w:t>
      </w:r>
      <w:r>
        <w:fldChar w:fldCharType="begin"/>
      </w:r>
      <w:r>
        <w:instrText xml:space="preserve"> XE </w:instrText>
      </w:r>
      <w:r>
        <w:instrText>“</w:instrText>
      </w:r>
      <w:r>
        <w:instrText>Public authorities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Bullet"/>
      </w:pPr>
      <w:r>
        <w:t>public and notforprofit hospitals;</w:t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Hospitals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Bullet"/>
      </w:pPr>
      <w:r>
        <w:t>trade unions and employer associations; </w:t>
      </w:r>
      <w:r>
        <w:fldChar w:fldCharType="begin"/>
      </w:r>
      <w:r>
        <w:instrText xml:space="preserve"> XE </w:instrText>
      </w:r>
      <w:r>
        <w:instrText>“</w:instrText>
      </w:r>
      <w:r>
        <w:instrText>Trade unions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Employer associations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Bullet"/>
      </w:pPr>
      <w:bookmarkStart w:id="75" w:name="_Hlk88734312"/>
      <w:r>
        <w:t>industryspecific notforprofit associations predominantly dev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bookmarkEnd w:id="75"/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softHyphen/>
        <w:instrText>for</w:instrText>
      </w:r>
      <w:r>
        <w:softHyphen/>
        <w:instrText>profit associations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Bullet"/>
      </w:pPr>
      <w:r>
        <w:t>registered charities, public educational institutions, scien</w:t>
      </w:r>
      <w:r>
        <w:fldChar w:fldCharType="begin"/>
      </w:r>
      <w:r>
        <w:instrText xml:space="preserve"> XE </w:instrText>
      </w:r>
      <w:r>
        <w:instrText>“</w:instrText>
      </w:r>
      <w:r>
        <w:instrText>Charities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Bullet"/>
      </w:pPr>
      <w:bookmarkStart w:id="76" w:name="_Hlk88734427"/>
      <w:r>
        <w:t>associations and clubs established for the encouragement of </w:t>
      </w:r>
      <w:bookmarkEnd w:id="76"/>
      <w:r>
        <w:t/>
      </w:r>
    </w:p>
    <w:p>
      <w:pPr>
        <w:pStyle w:val="Bullet"/>
      </w:pPr>
      <w:r>
        <w:t>certain international sporting organisations that receive Au</w:t>
      </w:r>
      <w:r>
        <w:noBreakHyphen/>
      </w:r>
      <w:r>
        <w:t/>
      </w:r>
      <w:r>
        <w:noBreakHyphen/>
      </w:r>
      <w:r>
        <w:t/>
      </w:r>
      <w:bookmarkEnd w:id="74"/>
    </w:p>
    <w:p>
      <w:pPr>
        <w:pStyle w:val="Heading5"/>
      </w:pPr>
      <w:r>
        <w:t>B</w:t>
      </w:r>
      <w:r>
        <w:t>59</w:t>
      </w:r>
      <w:r>
        <w:tab/>
        <w:t>Income tax exemptions for foreign government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880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Where the income of an eligible foreign government entity is</w:t>
      </w:r>
      <w:r>
        <w:noBreakHyphen/>
      </w:r>
      <w:r>
        <w:t/>
      </w:r>
      <w:r>
        <w:noBreakHyphen/>
      </w:r>
      <w:r>
        <w:t xml:space="preserve"/>
      </w:r>
      <w:r>
        <w:lastRenderedPageBreak/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r>
        <w:t xml:space="preserve">The benchmark tax treatment is the default withholding rate </w:t>
      </w:r>
      <w:r>
        <w:fldChar w:fldCharType="begin"/>
      </w:r>
      <w:r>
        <w:instrText xml:space="preserve"> XE </w:instrText>
      </w:r>
      <w:r>
        <w:instrText>“</w:instrText>
      </w:r>
      <w:r>
        <w:instrText>Foreign government entity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6</w:t>
      </w:r>
      <w:r>
        <w:t>0</w:t>
      </w:r>
      <w:r>
        <w:tab/>
        <w:t>Income tax exemptions for foreign superannuation funds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128B(3)(jb)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Interest income and dividends received by foreign superannua</w:t>
      </w:r>
      <w:r>
        <w:fldChar w:fldCharType="begin"/>
      </w:r>
      <w:r>
        <w:instrText xml:space="preserve"> XE </w:instrText>
      </w:r>
      <w:r>
        <w:instrText>“</w:instrText>
      </w:r>
      <w:r>
        <w:instrText>Foreign superannuation funds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 xml:space="preserve"/>
      </w:r>
    </w:p>
    <w:p>
      <w:r>
        <w:t>The benchmark tax treatment is the default withholding rate </w:t>
      </w:r>
    </w:p>
    <w:p>
      <w:pPr>
        <w:pStyle w:val="Heading5"/>
      </w:pPr>
      <w:r>
        <w:t>B</w:t>
      </w:r>
      <w:r>
        <w:t>6</w:t>
      </w:r>
      <w:r>
        <w:t>1</w:t>
      </w:r>
      <w:r>
        <w:tab/>
        <w:t>Lower tax rate for small companies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3,600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3,400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3,900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3,800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4,000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23(2) of the </w:t>
            </w:r>
            <w:r>
              <w:rPr>
                <w:i/>
                <w:iCs/>
              </w:rPr>
              <w:t>Income Tax Rates Act 1986</w:t>
            </w:r>
          </w:p>
        </w:tc>
      </w:tr>
    </w:tbl>
    <w:p>
      <w:pPr>
        <w:pStyle w:val="MeasureTableHeading"/>
      </w:pPr>
    </w:p>
    <w:p>
      <w:r>
        <w:t>Under the benchmark treatment company income tax is paid at </w:t>
      </w:r>
      <w:r>
        <w:fldChar w:fldCharType="begin"/>
      </w:r>
      <w:r>
        <w:instrText xml:space="preserve"> XE </w:instrText>
      </w:r>
      <w:r>
        <w:instrText>“</w:instrText>
      </w:r>
      <w:r>
        <w:instrText>Lower company tax rate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</w:p>
    <w:p>
      <w:r>
        <w:lastRenderedPageBreak/>
        <w:t>The rate that applied to small companies prior to their 2021</w:t>
      </w:r>
      <w:r>
        <w:t/>
      </w:r>
      <w:r>
        <w:t xml:space="preserve"/>
      </w:r>
    </w:p>
    <w:p>
      <w:pPr>
        <w:pStyle w:val="Bullet"/>
        <w:numPr>
          <w:ilvl w:val="0"/>
          <w:numId w:val="37"/>
        </w:numPr>
      </w:pPr>
      <w:r>
        <w:t>2020–21 – 26 per cent </w:t>
      </w:r>
      <w:r>
        <w:t/>
      </w:r>
      <w:r>
        <w:t/>
      </w:r>
      <w:r>
        <w:t xml:space="preserve"/>
      </w:r>
      <w:r>
        <w:t xml:space="preserve"/>
      </w:r>
    </w:p>
    <w:p>
      <w:pPr>
        <w:pStyle w:val="Bullet"/>
      </w:pPr>
      <w:r>
        <w:t>2019–20 – 27.5 per cent </w:t>
      </w:r>
      <w:r>
        <w:t/>
      </w:r>
      <w:r>
        <w:t/>
      </w:r>
      <w:r>
        <w:t xml:space="preserve"/>
      </w:r>
      <w:r>
        <w:t xml:space="preserve"/>
      </w:r>
    </w:p>
    <w:p>
      <w:pPr>
        <w:pStyle w:val="Bullet"/>
      </w:pPr>
      <w:r>
        <w:t>2018–19 – 27.5 per cent </w:t>
      </w:r>
      <w:r>
        <w:t/>
      </w:r>
      <w:r>
        <w:t/>
      </w:r>
      <w:r>
        <w:t xml:space="preserve"/>
      </w:r>
      <w:r>
        <w:t xml:space="preserve"/>
      </w:r>
    </w:p>
    <w:p>
      <w:pPr>
        <w:pStyle w:val="Bullet"/>
      </w:pPr>
      <w:r>
        <w:t>2017–18 – 27.5 per cent (for companies with aggregated annua</w:t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</w:p>
    <w:p>
      <w:r>
        <w:t>Prior to 2017–18 the tax rate that applied to small companie</w:t>
      </w:r>
      <w:r>
        <w:t/>
      </w:r>
      <w:r>
        <w:t/>
      </w:r>
    </w:p>
    <w:p>
      <w:pPr>
        <w:pStyle w:val="Heading5"/>
      </w:pPr>
      <w:r>
        <w:t>B</w:t>
      </w:r>
      <w:r>
        <w:t>6</w:t>
      </w:r>
      <w:r>
        <w:t>2</w:t>
      </w:r>
      <w:r>
        <w:tab/>
        <w:t>Managed investment trusts</w:t>
      </w:r>
      <w:r>
        <w:t xml:space="preserve"> –</w:t>
      </w:r>
      <w:r>
        <w:t xml:space="preserve"> </w:t>
      </w:r>
      <w:r>
        <w:t>election to allow capital gains tax to be the primary code for disposals of certain assets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Division 275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Gains and losses on disposals of assets by managed investmen</w:t>
      </w:r>
    </w:p>
    <w:p>
      <w:r>
        <w:t>However, from the 2008–09 income year, eligible MITs can mak</w:t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Managed investment trusts:Capital account treatment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lastRenderedPageBreak/>
        <w:t>B</w:t>
      </w:r>
      <w:r>
        <w:t>6</w:t>
      </w:r>
      <w:r>
        <w:t>3</w:t>
      </w:r>
      <w:r>
        <w:tab/>
        <w:t>Philanthropy – income tax exemption for not</w:t>
      </w:r>
      <w:r>
        <w:noBreakHyphen/>
      </w:r>
      <w:r>
        <w:t>for</w:t>
      </w:r>
      <w:r>
        <w:noBreakHyphen/>
      </w:r>
      <w:r>
        <w:t>profit companies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23(6) of the </w:t>
            </w:r>
            <w:r>
              <w:rPr>
                <w:i/>
                <w:iCs/>
              </w:rPr>
              <w:t>Income Tax Rates Act 1986</w:t>
            </w:r>
          </w:p>
        </w:tc>
      </w:tr>
    </w:tbl>
    <w:p>
      <w:pPr>
        <w:pStyle w:val="MeasureTableHeading"/>
      </w:pPr>
    </w:p>
    <w:p>
      <w:r>
        <w:t>The benchmark tax treatment is that income tax is paid on th</w:t>
      </w:r>
      <w:r>
        <w:noBreakHyphen/>
      </w:r>
      <w:r>
        <w:t/>
      </w:r>
      <w:r>
        <w:noBreakHyphen/>
      </w:r>
      <w:r>
        <w:t/>
      </w:r>
      <w:bookmarkStart w:id="77" w:name="_Hlk93418262"/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  <w:bookmarkEnd w:id="77"/>
      <w:r>
        <w:t xml:space="preserve"/>
      </w:r>
      <w:r>
        <w:t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</w:p>
    <w:p>
      <w:pPr>
        <w:pStyle w:val="Heading5"/>
      </w:pPr>
      <w:r>
        <w:t>B</w:t>
      </w:r>
      <w:r>
        <w:t>6</w:t>
      </w:r>
      <w:r>
        <w:t>4</w:t>
      </w:r>
      <w:r>
        <w:tab/>
        <w:t>Philanthropy – refund of franking credits for certain income tax exempt philanthropic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2,840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Rebate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207-E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Entities that are not subject to Australian tax generally ca</w:t>
      </w:r>
      <w:r>
        <w:fldChar w:fldCharType="begin"/>
      </w:r>
      <w:r>
        <w:instrText xml:space="preserve"> XE </w:instrText>
      </w:r>
      <w:r>
        <w:instrText>“</w:instrText>
      </w:r>
      <w:r>
        <w:instrText>Charitable institutions</w:instrText>
      </w:r>
      <w:r>
        <w:instrText>”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Deductible gift recipients</w:instrText>
      </w:r>
      <w:r>
        <w:instrText>”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Franking credits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B</w:t>
      </w:r>
      <w:r>
        <w:t>6</w:t>
      </w:r>
      <w:r>
        <w:t>5</w:t>
      </w:r>
      <w:r>
        <w:tab/>
        <w:t>Tax exemption for small and medium credit unions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trHeight w:val="49"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6H and 23G of the </w:t>
            </w:r>
            <w:r>
              <w:rPr>
                <w:i/>
                <w:iCs/>
              </w:rPr>
              <w:t>Income Tax Assessment Act 1936</w:t>
            </w:r>
          </w:p>
          <w:p>
            <w:pPr>
              <w:pStyle w:val="MeasureTableTextLeftAligned"/>
            </w:pPr>
            <w:r>
              <w:t xml:space="preserve">Subsection 23(7) of the </w:t>
            </w:r>
            <w:r>
              <w:rPr>
                <w:i/>
                <w:iCs/>
              </w:rPr>
              <w:t>Income Tax Rates Act 1986</w:t>
            </w:r>
          </w:p>
        </w:tc>
      </w:tr>
    </w:tbl>
    <w:p>
      <w:pPr>
        <w:pStyle w:val="MeasureTableHeading"/>
      </w:pPr>
    </w:p>
    <w:p>
      <w:r>
        <w:t xml:space="preserve">The benchmark tax treatment is that interest derived from lo</w:t>
      </w:r>
      <w:r>
        <w:fldChar w:fldCharType="begin"/>
      </w:r>
      <w:r>
        <w:instrText xml:space="preserve"> XE </w:instrText>
      </w:r>
      <w:r>
        <w:instrText>“</w:instrText>
      </w:r>
      <w:r>
        <w:instrText>Credit unions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Recognised medium credit unions are subject to an effective </w:t>
      </w:r>
    </w:p>
    <w:p>
      <w:pPr>
        <w:pStyle w:val="Heading5"/>
      </w:pPr>
      <w:r>
        <w:t>B</w:t>
      </w:r>
      <w:r>
        <w:t>6</w:t>
      </w:r>
      <w:r>
        <w:t>6</w:t>
      </w:r>
      <w:r>
        <w:tab/>
        <w:t>Tax incentives for Venture Capital Limited Partnerships and Early Stage Venture Capital Limited Partnerships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2002 and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i/>
                <w:iCs/>
              </w:rPr>
              <w:t>Venture Capital Act 2002</w:t>
            </w:r>
          </w:p>
          <w:p>
            <w:pPr>
              <w:pStyle w:val="MeasureTableTextLeftAligned"/>
            </w:pPr>
            <w:r>
              <w:t>Sections 26-68, 51-52 and 51-54 and Subdivisions 118-F and</w:t>
            </w:r>
          </w:p>
          <w:p>
            <w:pPr>
              <w:pStyle w:val="MeasureTableTextLeftAligned"/>
            </w:pPr>
            <w:r>
              <w:t xml:space="preserve">118-G (ESVCLPs and VCLPs)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autoSpaceDE w:val="0"/>
        <w:autoSpaceDN w:val="0"/>
      </w:pPr>
      <w:r>
        <w:t>The benchmark tax treatment is that gains and income from in</w:t>
      </w:r>
    </w:p>
    <w:p>
      <w:pPr>
        <w:autoSpaceDE w:val="0"/>
        <w:autoSpaceDN w:val="0"/>
      </w:pPr>
      <w:r>
        <w:t>A tax expenditure arises because foreign investors are gener</w:t>
      </w:r>
      <w:r>
        <w:fldChar w:fldCharType="begin"/>
      </w:r>
      <w:r>
        <w:instrText xml:space="preserve"> XE </w:instrText>
      </w:r>
      <w:r>
        <w:instrText>“</w:instrText>
      </w:r>
      <w:r>
        <w:instrText>Venture capital limited partnership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Early stage venture capital limited partnership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autoSpaceDE w:val="0"/>
        <w:autoSpaceDN w:val="0"/>
      </w:pPr>
      <w:r>
        <w:t>Since 1 July 2016, additional tax incentives have been avail</w:t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lastRenderedPageBreak/>
        <w:t>B</w:t>
      </w:r>
      <w:r>
        <w:t>6</w:t>
      </w:r>
      <w:r>
        <w:t>7</w:t>
      </w:r>
      <w:r>
        <w:tab/>
        <w:t>Treatment of distributions on certain term subordinated notes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B69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974-135 of the </w:t>
            </w:r>
            <w:r>
              <w:rPr>
                <w:rFonts w:cs="Arial"/>
                <w:szCs w:val="16"/>
              </w:rPr>
              <w:t>Income Tax Assessment Act 1997</w:t>
            </w:r>
            <w:r>
              <w:t xml:space="preserve">, and </w:t>
            </w:r>
          </w:p>
          <w:p>
            <w:pPr>
              <w:pStyle w:val="MeasureTableTextLeftAligned"/>
            </w:pPr>
            <w:r>
              <w:t xml:space="preserve">Regulations 974-135.03 and 974-135.05 of the </w:t>
            </w:r>
            <w:r>
              <w:rPr>
                <w:i/>
                <w:iCs/>
              </w:rPr>
              <w:t>Income Tax Assessment (1997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Act) Regulations 2021</w:t>
            </w:r>
            <w:r>
              <w:t xml:space="preserve"> </w:t>
            </w:r>
          </w:p>
        </w:tc>
      </w:tr>
    </w:tbl>
    <w:p>
      <w:pPr>
        <w:pStyle w:val="MeasureTableHeading"/>
      </w:pPr>
    </w:p>
    <w:p>
      <w:r>
        <w:t>Issuers can defer payment on certain Tier 2 regulatory capit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Subordinated notes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</w:p>
    <w:p>
      <w:r>
        <w:t>Under the benchmark debtequity rules, the notes would be equ</w:t>
      </w:r>
      <w:r>
        <w:noBreakHyphen/>
      </w:r>
      <w:r>
        <w:t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Debt</w:instrText>
      </w:r>
      <w:r>
        <w:noBreakHyphen/>
      </w:r>
      <w:r>
        <w:instrText>equity rules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  <w:r>
        <w:t/>
      </w:r>
    </w:p>
    <w:p>
      <w:pPr>
        <w:pStyle w:val="Heading5"/>
      </w:pPr>
      <w:r>
        <w:t>B</w:t>
      </w:r>
      <w:r>
        <w:t>6</w:t>
      </w:r>
      <w:r>
        <w:t>8</w:t>
      </w:r>
      <w:r>
        <w:tab/>
        <w:t>Treatment of finance leases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1936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Divisions 240, 242 and 250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tax benchmark, finance leases are taxed as a loan </w:t>
      </w:r>
      <w:r>
        <w:fldChar w:fldCharType="begin"/>
      </w:r>
      <w:r>
        <w:instrText xml:space="preserve"> XE </w:instrText>
      </w:r>
      <w:r>
        <w:instrText>“</w:instrText>
      </w:r>
      <w:r>
        <w:instrText>Finance Leases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lastRenderedPageBreak/>
        <w:t xml:space="preserve">A tax variation arises because except where specific provisi</w:t>
      </w:r>
      <w:r>
        <w:rPr>
          <w:i/>
          <w:iCs/>
        </w:rPr>
        <w:t/>
      </w:r>
      <w:r>
        <w:t/>
      </w:r>
    </w:p>
    <w:p>
      <w:pPr>
        <w:pStyle w:val="Heading5"/>
      </w:pPr>
      <w:r>
        <w:t>B</w:t>
      </w:r>
      <w:r>
        <w:t>69</w:t>
      </w:r>
      <w:r>
        <w:tab/>
        <w:t>Unincorporated small business tax discount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0" w:type="auto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278"/>
        <w:gridCol w:w="689"/>
        <w:gridCol w:w="811"/>
        <w:gridCol w:w="156"/>
        <w:gridCol w:w="968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960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Subdivision 328-F of the 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>Under the benchmark, business income is generally fully asse</w:t>
      </w:r>
      <w:r>
        <w:t/>
      </w:r>
      <w:r>
        <w:t/>
      </w:r>
      <w:r>
        <w:t/>
      </w:r>
      <w:r>
        <w:t/>
      </w:r>
      <w:r>
        <w:noBreakHyphen/>
      </w:r>
      <w:r>
        <w:t/>
      </w:r>
      <w:r>
        <w:t/>
      </w:r>
      <w:r>
        <w:t/>
      </w:r>
      <w:r>
        <w:rPr>
          <w:rFonts w:eastAsia="Calibri"/>
          <w:lang w:eastAsia="en-US"/>
        </w:rPr>
        <w:t xml:space="preserve"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4"/>
      </w:pPr>
      <w:r>
        <w:t>Tax expenditures relating to capital expenditure, effective life and depreciation</w:t>
      </w:r>
    </w:p>
    <w:p>
      <w:pPr>
        <w:pStyle w:val="Heading5"/>
      </w:pPr>
      <w:r>
        <w:t>B</w:t>
      </w:r>
      <w:r>
        <w:t>70</w:t>
      </w:r>
      <w:r>
        <w:tab/>
        <w:t>Accelerated depreciation of fencing and fodder storage assets for primary producers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12 May 2015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40-10 and Subdivision 40-F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ChartandTableFootnote"/>
      </w:pPr>
      <w:r>
        <w:t>Note: estimates include tax expenditures B72, B73, B76 and B</w:t>
      </w:r>
    </w:p>
    <w:p>
      <w:pPr>
        <w:pStyle w:val="MeasureTableHeading"/>
      </w:pPr>
    </w:p>
    <w:p>
      <w:pPr>
        <w:rPr>
          <w:lang w:val="en"/>
        </w:rPr>
      </w:pPr>
      <w:r>
        <w:rPr>
          <w:lang w:val="en"/>
        </w:rPr>
        <w:t xml:space="preserve">Under the benchmark, fences and fodder storage assets are de</w:t>
      </w:r>
      <w:r>
        <w:t/>
      </w:r>
      <w:r>
        <w:rPr>
          <w:lang w:val="en"/>
        </w:rPr>
        <w:t xml:space="preserve"/>
      </w:r>
      <w:r>
        <w:rPr>
          <w:lang w:val="en"/>
        </w:rPr>
        <w:fldChar w:fldCharType="begin"/>
      </w:r>
      <w:r>
        <w:instrText xml:space="preserve"> XE </w:instrText>
      </w:r>
      <w:r>
        <w:instrText>“</w:instrText>
      </w:r>
      <w:r>
        <w:instrText>Accelerated depreciation:Fodder storage assets</w:instrText>
      </w:r>
      <w:r>
        <w:instrText>”</w:instrText>
      </w:r>
      <w:r>
        <w:instrText xml:space="preserve"> </w:instrText>
      </w:r>
      <w:r>
        <w:rPr>
          <w:lang w:val="en"/>
        </w:rPr>
        <w:fldChar w:fldCharType="end"/>
      </w:r>
      <w:r>
        <w:rPr>
          <w:lang w:val="en"/>
        </w:rPr>
        <w:t/>
      </w:r>
    </w:p>
    <w:p>
      <w:pPr>
        <w:rPr>
          <w:lang w:val="en"/>
        </w:rPr>
      </w:pPr>
      <w:r>
        <w:rPr>
          <w:lang w:val="en"/>
        </w:rPr>
        <w:t>Prior to 19 August 2018, primary producers could depreciate </w:t>
      </w:r>
    </w:p>
    <w:p>
      <w:pPr>
        <w:pStyle w:val="Heading5"/>
      </w:pPr>
      <w:r>
        <w:lastRenderedPageBreak/>
        <w:t>B</w:t>
      </w:r>
      <w:r>
        <w:t>71</w:t>
      </w:r>
      <w:r>
        <w:tab/>
        <w:t>Accelerated write</w:t>
      </w:r>
      <w:r>
        <w:t>-</w:t>
      </w:r>
      <w:r>
        <w:t>off for expenditure on water facilities for primary producers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B72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40-F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expenditure on water facilities is gene</w:t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Accelerated depreciation:Water facilities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B</w:t>
      </w:r>
      <w:r>
        <w:t>72</w:t>
      </w:r>
      <w:r>
        <w:tab/>
        <w:t>Accelerated write</w:t>
      </w:r>
      <w:r>
        <w:t>-</w:t>
      </w:r>
      <w:r>
        <w:t>off for horticultural plants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40-F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capital expenditure on assets generally</w:t>
      </w:r>
      <w:r>
        <w:fldChar w:fldCharType="begin"/>
      </w:r>
      <w:r>
        <w:instrText xml:space="preserve"> XE </w:instrText>
      </w:r>
      <w:r>
        <w:instrText>“</w:instrText>
      </w:r>
      <w:r>
        <w:instrText>Accelerated depreciation:Horticultural plants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lastRenderedPageBreak/>
        <w:t>B</w:t>
      </w:r>
      <w:r>
        <w:t>73</w:t>
      </w:r>
      <w:r>
        <w:tab/>
        <w:t>Accelerated write</w:t>
      </w:r>
      <w:r>
        <w:t>-</w:t>
      </w:r>
      <w:r>
        <w:t>off for irrigation water providers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B72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Subdivision 40-F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Subdivision 40-G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expenditure on landcare and water facil</w:t>
      </w:r>
      <w:r>
        <w:fldChar w:fldCharType="begin"/>
      </w:r>
      <w:r>
        <w:instrText xml:space="preserve"> XE </w:instrText>
      </w:r>
      <w:r>
        <w:instrText>“</w:instrText>
      </w:r>
      <w:r>
        <w:instrText>Landcare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Water facilities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B</w:t>
      </w:r>
      <w:r>
        <w:t>74</w:t>
      </w:r>
      <w:r>
        <w:tab/>
        <w:t>Accelerated write</w:t>
      </w:r>
      <w:r>
        <w:t>-</w:t>
      </w:r>
      <w:r>
        <w:t>off for landcare operations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B72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40-G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tabs>
          <w:tab w:val="left" w:pos="6237"/>
        </w:tabs>
      </w:pPr>
      <w:r>
        <w:t>Under the benchmark, capital expenditure on landcare operati</w:t>
      </w:r>
      <w:r>
        <w:fldChar w:fldCharType="begin"/>
      </w:r>
      <w:r>
        <w:instrText xml:space="preserve"> XE </w:instrText>
      </w:r>
      <w:r>
        <w:instrText>“</w:instrText>
      </w:r>
      <w:r>
        <w:instrText>Primary producers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Landcare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B</w:t>
      </w:r>
      <w:r>
        <w:t>75</w:t>
      </w:r>
      <w:r>
        <w:tab/>
        <w:t>Accelerated write</w:t>
      </w:r>
      <w:r>
        <w:t>-</w:t>
      </w:r>
      <w:r>
        <w:t>off for telephone lines and electricity connections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40-G and Section 40-645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assets are generally depreciated over t</w:t>
      </w:r>
    </w:p>
    <w:p>
      <w:pPr>
        <w:pStyle w:val="Heading5"/>
      </w:pPr>
      <w:r>
        <w:lastRenderedPageBreak/>
        <w:t>B</w:t>
      </w:r>
      <w:r>
        <w:t>76</w:t>
      </w:r>
      <w:r>
        <w:tab/>
        <w:t>Closing stock valuation options for horse breeding stock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Deduction, 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70-60 and 70-65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horse breeding trading stock would be a</w:t>
      </w:r>
      <w:r>
        <w:fldChar w:fldCharType="begin"/>
      </w:r>
      <w:r>
        <w:instrText xml:space="preserve"> XE </w:instrText>
      </w:r>
      <w:r>
        <w:instrText>“</w:instrText>
      </w:r>
      <w:r>
        <w:instrText>Accelerated depreciation:Horse breeding stock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rFonts w:ascii="Times New Roman" w:hAnsi="Times New Roman"/>
        </w:rPr>
        <w:t/>
      </w:r>
      <w:r>
        <w:t/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t>B</w:t>
      </w:r>
      <w:r>
        <w:t>77</w:t>
      </w:r>
      <w:r>
        <w:tab/>
        <w:t>Exploration and prospecting deduction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B79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40-25 and 40-730, and Subsections 40-80(1) and 40-95(12)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tabs>
          <w:tab w:val="left" w:pos="2977"/>
        </w:tabs>
      </w:pPr>
      <w:r>
        <w:t>Under the benchmark, business capital expenditures not elsew</w:t>
      </w:r>
      <w:r>
        <w:fldChar w:fldCharType="begin"/>
      </w:r>
      <w:r>
        <w:instrText xml:space="preserve"> XE </w:instrText>
      </w:r>
      <w:r>
        <w:instrText>“</w:instrText>
      </w:r>
      <w:r>
        <w:instrText>Exploration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Prospecting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Mining and quarrying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 xml:space="preserve">Under the benchmark, expenditure on a depreciating asset is </w:t>
      </w:r>
    </w:p>
    <w:p>
      <w:r>
        <w:t>From 14 May 2013, the cost of a mining, quarrying or prospec</w:t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lastRenderedPageBreak/>
        <w:t>B</w:t>
      </w:r>
      <w:r>
        <w:t>78</w:t>
      </w:r>
      <w:r>
        <w:tab/>
        <w:t>Statutory effective life caps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40-102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tax benchmark deductions for depreciation are made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Accelerated depreciation:Statutory effective life caps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</w:t>
      </w:r>
      <w:r>
        <w:t>79</w:t>
      </w:r>
      <w:r>
        <w:tab/>
        <w:t>Absence of depreciation recapture for certain assets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43 and Section 110-45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deductions for expenses related to econ</w:t>
      </w:r>
      <w:r>
        <w:fldChar w:fldCharType="begin"/>
      </w:r>
      <w:r>
        <w:instrText xml:space="preserve"> XE </w:instrText>
      </w:r>
      <w:r>
        <w:instrText>“</w:instrText>
      </w:r>
      <w:r>
        <w:instrText>Buildings and structures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B</w:t>
      </w:r>
      <w:r>
        <w:t>80</w:t>
      </w:r>
      <w:r>
        <w:tab/>
        <w:t>Accelerated depreciation for business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4,200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7,700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-6,500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-2,500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-1,400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-1,300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 April 2019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40-82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>Subdivision 40-BA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(Transitional Provisions) Act 1997</w:t>
            </w:r>
          </w:p>
          <w:p>
            <w:pPr>
              <w:pStyle w:val="MeasureTableTextLeftAligned"/>
            </w:pPr>
            <w:r>
              <w:t xml:space="preserve">Subdivision 40-BB of the </w:t>
            </w:r>
            <w:r>
              <w:rPr>
                <w:i/>
                <w:iCs/>
              </w:rPr>
              <w:t>Income Tax (Transitional Provisions) Act 1997</w:t>
            </w:r>
          </w:p>
        </w:tc>
      </w:tr>
    </w:tbl>
    <w:p>
      <w:pPr>
        <w:pStyle w:val="MeasureTableHeading"/>
      </w:pPr>
    </w:p>
    <w:p>
      <w:r>
        <w:t xml:space="preserve">Under the benchmark, depreciating assets are generally writt</w:t>
      </w:r>
    </w:p>
    <w:p>
      <w:r>
        <w:lastRenderedPageBreak/>
        <w:t xml:space="preserve">A tax expenditure arose because business entities with an ag</w:t>
      </w:r>
    </w:p>
    <w:p>
      <w:r>
        <w:t>From 12 March 2020 to 31 December 2020, businesses with an a</w:t>
      </w:r>
      <w:r>
        <w:noBreakHyphen/>
      </w:r>
      <w:r>
        <w:t xml:space="preserve"/>
      </w:r>
    </w:p>
    <w:p>
      <w:r>
        <w:t>For assets purchased from 12 March 2020 and first used or in</w:t>
      </w:r>
      <w:r>
        <w:t/>
      </w:r>
      <w:r>
        <w:t/>
      </w:r>
      <w:r>
        <w:t/>
      </w:r>
      <w:r>
        <w:t/>
      </w:r>
    </w:p>
    <w:p>
      <w:r>
        <w:t>Eligible businesses, including those with an aggregated annu</w:t>
      </w:r>
      <w:r>
        <w:t/>
      </w:r>
      <w:r>
        <w:t/>
      </w:r>
      <w:r>
        <w:noBreakHyphen/>
      </w:r>
      <w:r>
        <w:t/>
      </w:r>
    </w:p>
    <w:p>
      <w:r>
        <w:t>Small business entities with an aggregated annual turnover o</w:t>
      </w:r>
      <w:r>
        <w:t/>
      </w:r>
      <w:r>
        <w:t/>
      </w:r>
    </w:p>
    <w:p>
      <w:pPr>
        <w:pStyle w:val="Heading5"/>
      </w:pPr>
      <w:r>
        <w:t>B</w:t>
      </w:r>
      <w:r>
        <w:t>81</w:t>
      </w:r>
      <w:r>
        <w:tab/>
        <w:t>Capital works expenditure deduction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1,380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1,560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21 August 1979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Division 43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autoSpaceDE w:val="0"/>
        <w:autoSpaceDN w:val="0"/>
        <w:adjustRightInd w:val="0"/>
        <w:rPr>
          <w:rFonts w:cs="Book Antiqua"/>
        </w:rPr>
      </w:pPr>
      <w:r>
        <w:rPr>
          <w:rFonts w:cs="Book Antiqua"/>
        </w:rPr>
        <w:t>Under the tax benchmark assets are depreciated over their ef</w:t>
      </w:r>
      <w:r>
        <w:rPr>
          <w:rFonts w:cs="Book Antiqua"/>
        </w:rPr>
        <w:fldChar w:fldCharType="begin"/>
      </w:r>
      <w:r>
        <w:instrText xml:space="preserve"> XE </w:instrText>
      </w:r>
      <w:r>
        <w:instrText>“</w:instrText>
      </w:r>
      <w:r>
        <w:instrText>Accelerated depreciation:</w:instrText>
      </w:r>
      <w:r>
        <w:rPr>
          <w:rFonts w:cs="Book Antiqua"/>
        </w:rPr>
        <w:instrText>Capital works expenditure</w:instrText>
      </w:r>
      <w:r>
        <w:instrText>”</w:instrText>
      </w:r>
      <w:r>
        <w:instrText xml:space="preserve"> </w:instrText>
      </w:r>
      <w:r>
        <w:rPr>
          <w:rFonts w:cs="Book Antiqua"/>
        </w:rPr>
        <w:fldChar w:fldCharType="end"/>
      </w:r>
      <w:r>
        <w:rPr>
          <w:rFonts w:cs="Book Antiqua"/>
        </w:rPr>
        <w:t xml:space="preserve"/>
      </w:r>
      <w:r>
        <w:t xml:space="preserve"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</w:p>
    <w:p>
      <w:pPr>
        <w:pStyle w:val="Heading5"/>
      </w:pPr>
      <w:r>
        <w:lastRenderedPageBreak/>
        <w:t>B</w:t>
      </w:r>
      <w:r>
        <w:t>82</w:t>
      </w:r>
      <w:r>
        <w:tab/>
        <w:t>Depreciation balancing adjustment roll</w:t>
      </w:r>
      <w:r>
        <w:t>-</w:t>
      </w:r>
      <w:r>
        <w:t>over relief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1952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40-340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‘Balancing adjustments’ arise when the disposal value of a d</w:t>
      </w:r>
      <w:r>
        <w:t/>
      </w:r>
      <w:r>
        <w:t/>
      </w:r>
      <w:r>
        <w:t xml:space="preserve"/>
      </w:r>
    </w:p>
    <w:p>
      <w:pPr>
        <w:pStyle w:val="Heading5"/>
      </w:pPr>
      <w:r>
        <w:t>B</w:t>
      </w:r>
      <w:r>
        <w:t>83</w:t>
      </w:r>
      <w:r>
        <w:tab/>
        <w:t>Depreciation pooling for low value assets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40-E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tax benchmark assets are depreciated over their ef</w:t>
      </w:r>
      <w:r>
        <w:fldChar w:fldCharType="begin"/>
      </w:r>
      <w:r>
        <w:instrText xml:space="preserve"> XE </w:instrText>
      </w:r>
      <w:r>
        <w:instrText>“</w:instrText>
      </w:r>
      <w:r>
        <w:instrText>Accelerated depreciation:Low value asset pooling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Eligible small businesses can access the Simplified deprecia</w:t>
      </w:r>
      <w:r>
        <w:t/>
      </w:r>
      <w:r>
        <w:t/>
      </w:r>
    </w:p>
    <w:p>
      <w:pPr>
        <w:pStyle w:val="Heading5"/>
      </w:pPr>
      <w:r>
        <w:t>B</w:t>
      </w:r>
      <w:r>
        <w:t>84</w:t>
      </w:r>
      <w:r>
        <w:tab/>
        <w:t>Research and development</w:t>
      </w:r>
      <w:r>
        <w:t xml:space="preserve"> –</w:t>
      </w:r>
      <w:r>
        <w:t xml:space="preserve"> </w:t>
      </w:r>
      <w:r>
        <w:t>exemption of refundable tax offset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-560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-670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-760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-850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-910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-940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-970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355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government payments to taxpayers are ge</w:t>
      </w:r>
      <w:r>
        <w:lastRenderedPageBreak/>
        <w:t/>
      </w:r>
    </w:p>
    <w:p>
      <w:r>
        <w:t>For income years beginning on or after 1 July 2016 but befor</w:t>
      </w:r>
      <w:r>
        <w:rPr>
          <w:b/>
        </w:rPr>
        <w:t xml:space="preserve"/>
      </w:r>
      <w:r>
        <w:t/>
      </w:r>
      <w:r>
        <w:rPr>
          <w:b/>
        </w:rPr>
        <w:t xml:space="preserve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Research and development: Refundable tax offset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For income years beginning on or after 1 July 2021, the R&amp;D </w:t>
      </w:r>
      <w:r>
        <w:t/>
      </w:r>
      <w:r>
        <w:t/>
      </w:r>
    </w:p>
    <w:p>
      <w:pPr>
        <w:spacing w:after="200"/>
      </w:pPr>
      <w:r>
        <w:t>A refundable tax offset at the prevailing company tax rate a</w:t>
      </w:r>
      <w:r>
        <w:t/>
      </w:r>
      <w:r>
        <w:t/>
      </w:r>
    </w:p>
    <w:p>
      <w:pPr>
        <w:pStyle w:val="Heading5"/>
      </w:pPr>
      <w:r>
        <w:t>B</w:t>
      </w:r>
      <w:r>
        <w:t>85</w:t>
      </w:r>
      <w:r>
        <w:tab/>
        <w:t>Research and development</w:t>
      </w:r>
      <w:r>
        <w:t xml:space="preserve"> –</w:t>
      </w:r>
      <w:r>
        <w:t xml:space="preserve"> </w:t>
      </w:r>
      <w:r>
        <w:t>non</w:t>
      </w:r>
      <w:r>
        <w:noBreakHyphen/>
      </w:r>
      <w:r>
        <w:t>refundable tax offset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Offset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355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spacing w:after="200"/>
      </w:pPr>
      <w:r>
        <w:t>Under the benchmark, companies may be able to claim a tax de</w:t>
      </w:r>
      <w:r>
        <w:noBreakHyphen/>
      </w:r>
      <w:r>
        <w:t/>
      </w:r>
    </w:p>
    <w:p>
      <w:pPr>
        <w:spacing w:after="200"/>
      </w:pPr>
      <w:r>
        <w:t>For income years beginning on or after 1 July 2016 but befor</w:t>
      </w:r>
      <w:r>
        <w:rPr>
          <w:b/>
        </w:rPr>
        <w:t xml:space="preserve"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Research and development:Non</w:instrText>
      </w:r>
      <w:r>
        <w:noBreakHyphen/>
      </w:r>
      <w:r>
        <w:instrText>refundable tax offset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spacing w:after="200"/>
        <w:rPr>
          <w:rFonts w:cs="Book Antiqua"/>
          <w:color w:val="000000"/>
        </w:rPr>
      </w:pPr>
      <w:r>
        <w:t>For income years beginning on or after 1 July 2021, the nonr</w:t>
      </w:r>
      <w:r>
        <w:noBreakHyphen/>
      </w:r>
      <w:r>
        <w:t/>
      </w:r>
      <w:r>
        <w:noBreakHyphen/>
      </w:r>
      <w:r>
        <w:t xml:space="preserve"/>
      </w:r>
      <w:r>
        <w:rPr>
          <w:rFonts w:cs="Book Antiqua"/>
          <w:color w:val="000000"/>
        </w:rPr>
        <w:t xml:space="preserve"/>
      </w:r>
      <w:r>
        <w:t/>
      </w:r>
      <w:r>
        <w:t/>
      </w:r>
      <w:r>
        <w:t xml:space="preserve"/>
      </w:r>
      <w:r>
        <w:rPr>
          <w:rFonts w:cs="Book Antiqua"/>
          <w:color w:val="000000"/>
        </w:rPr>
        <w:t/>
      </w:r>
      <w:r>
        <w:rPr>
          <w:rFonts w:cs="Book Antiqua"/>
          <w:color w:val="000000"/>
        </w:rPr>
        <w:t/>
      </w:r>
      <w:r>
        <w:rPr>
          <w:rFonts w:cs="Book Antiqua"/>
          <w:color w:val="000000"/>
        </w:rPr>
        <w:t/>
      </w:r>
    </w:p>
    <w:p>
      <w:pPr>
        <w:pStyle w:val="Bullet"/>
        <w:spacing w:after="160"/>
      </w:pPr>
      <w:r>
        <w:t>8.5 percentage points for R&amp;D expenditure between 0 per cent</w:t>
      </w:r>
    </w:p>
    <w:p>
      <w:pPr>
        <w:pStyle w:val="Bullet"/>
      </w:pPr>
      <w:r>
        <w:t>16.5 percentage points for R&amp;D expenditure above 2 per cent </w:t>
      </w:r>
    </w:p>
    <w:p>
      <w:r>
        <w:lastRenderedPageBreak/>
        <w:t>The R&amp;D expenditure threshold also increased from $100 milli</w:t>
      </w:r>
    </w:p>
    <w:p>
      <w:r>
        <w:t>A nonrefundable tax offset at the prevailing company tax rat</w:t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</w:p>
    <w:p>
      <w:pPr>
        <w:pStyle w:val="Heading5"/>
      </w:pPr>
      <w:r>
        <w:t>B</w:t>
      </w:r>
      <w:r>
        <w:t>86</w:t>
      </w:r>
      <w:r>
        <w:tab/>
        <w:t>Simplified depreciation rules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-3,600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-5,200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-1,200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-1,100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Accelerated write-off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328-D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depreciating assets are generally writt</w:t>
      </w:r>
    </w:p>
    <w:p>
      <w:r>
        <w:t>A tax expenditure arises because small business entities wit</w:t>
      </w:r>
      <w: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Under the concessions, small business entities can deduct th</w:t>
      </w:r>
      <w:r>
        <w:rPr>
          <w:rFonts w:ascii="Times New Roman" w:hAnsi="Times New Roman"/>
        </w:rPr>
        <w:t/>
      </w:r>
      <w:r>
        <w:t/>
      </w:r>
      <w:r>
        <w:rPr>
          <w:rFonts w:ascii="Times New Roman" w:hAnsi="Times New Roman"/>
        </w:rPr>
        <w:t/>
      </w:r>
      <w:r>
        <w:t/>
      </w:r>
    </w:p>
    <w:p>
      <w:r>
        <w:t>The $20,000 threshold will continue to apply for eligible as</w:t>
      </w:r>
      <w:r>
        <w:t xml:space="preserve"/>
      </w:r>
    </w:p>
    <w:p>
      <w:r>
        <w:t xml:space="preserve">Small business entities can depreciate assets above the thre</w:t>
      </w:r>
      <w:r>
        <w:rPr>
          <w:rFonts w:cs="Book Antiqua"/>
        </w:rPr>
        <w:fldChar w:fldCharType="begin"/>
      </w:r>
      <w:r>
        <w:instrText xml:space="preserve"> XE </w:instrText>
      </w:r>
      <w:r>
        <w:instrText>“</w:instrText>
      </w:r>
      <w:r>
        <w:instrText>Accelerated depreciation:</w:instrText>
      </w:r>
      <w:r>
        <w:rPr>
          <w:rFonts w:cs="Book Antiqua"/>
        </w:rPr>
        <w:instrText>Small business pool</w:instrText>
      </w:r>
      <w:r>
        <w:instrText>”</w:instrText>
      </w:r>
      <w:r>
        <w:instrText xml:space="preserve"> </w:instrText>
      </w:r>
      <w:r>
        <w:rPr>
          <w:rFonts w:cs="Book Antiqua"/>
        </w:rPr>
        <w:fldChar w:fldCharType="end"/>
      </w:r>
    </w:p>
    <w:p>
      <w:pPr>
        <w:rPr>
          <w:i/>
        </w:rPr>
      </w:pPr>
      <w:r>
        <w:t>Small business entities can choose not to access the simplif</w:t>
      </w:r>
      <w:r>
        <w:rPr>
          <w:i/>
        </w:rPr>
        <w:t xml:space="preserve"/>
      </w:r>
    </w:p>
    <w:p>
      <w:pPr>
        <w:pStyle w:val="Heading5"/>
      </w:pPr>
      <w:r>
        <w:lastRenderedPageBreak/>
        <w:t>B</w:t>
      </w:r>
      <w:r>
        <w:t>87</w:t>
      </w:r>
      <w:r>
        <w:tab/>
        <w:t>Simplified trading stock rules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B89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328-E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changes in the value of trading stock a</w:t>
      </w:r>
    </w:p>
    <w:p>
      <w:r>
        <w:t>However, eligible entities with aggregated annual turnover o</w:t>
      </w:r>
      <w:r>
        <w:fldChar w:fldCharType="begin"/>
      </w:r>
      <w:r>
        <w:instrText xml:space="preserve"> XE </w:instrText>
      </w:r>
      <w:r>
        <w:instrText>“</w:instrText>
      </w:r>
      <w:r>
        <w:instrText>Simplified trading stock rules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Petroleum</w:t>
      </w:r>
    </w:p>
    <w:p>
      <w:pPr>
        <w:pStyle w:val="Heading5"/>
      </w:pPr>
      <w:r>
        <w:t>B</w:t>
      </w:r>
      <w:r>
        <w:t>88</w:t>
      </w:r>
      <w:r>
        <w:tab/>
        <w:t>Timor Sea Maritime Boundaries Treaty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2019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rPr>
                <w:i/>
                <w:iCs/>
              </w:rPr>
              <w:t>The Treasury Laws Amendment (Timor Sea Maritime Boundaries Treaty)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2019</w:t>
            </w:r>
          </w:p>
        </w:tc>
      </w:tr>
    </w:tbl>
    <w:p>
      <w:pPr>
        <w:pStyle w:val="MeasureTableHeading"/>
      </w:pPr>
    </w:p>
    <w:p>
      <w:r>
        <w:t xml:space="preserve">Under the benchmark, expenses connected to income earning ac</w:t>
      </w:r>
      <w:r>
        <w:rPr>
          <w:i/>
        </w:rPr>
        <w:t/>
      </w:r>
      <w:r>
        <w:rPr>
          <w:i/>
        </w:rPr>
        <w:noBreakHyphen/>
      </w:r>
      <w:r>
        <w:rPr>
          <w:i/>
        </w:rP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Petroleum tax treaty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B</w:t>
      </w:r>
      <w:r>
        <w:t>89</w:t>
      </w:r>
      <w:r>
        <w:tab/>
        <w:t>Family trust loss rules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B91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9 May 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Divisions 267 and 270 and subdivisions 272-D and 272-E of Schedule 2F to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treatment is that trust losses and debt deduct</w:t>
      </w:r>
    </w:p>
    <w:p>
      <w:r>
        <w:t xml:space="preserve">However, the family trust rules provide a concession to the </w:t>
      </w:r>
      <w:r>
        <w:fldChar w:fldCharType="begin"/>
      </w:r>
      <w:r>
        <w:instrText xml:space="preserve"> XE </w:instrText>
      </w:r>
      <w:r>
        <w:instrText>“</w:instrText>
      </w:r>
      <w:r>
        <w:instrText>Family trust rules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Miscellaneous tax expenditures</w:t>
      </w:r>
    </w:p>
    <w:p>
      <w:pPr>
        <w:pStyle w:val="Heading5"/>
      </w:pPr>
      <w:r>
        <w:t>B</w:t>
      </w:r>
      <w:r>
        <w:t>90</w:t>
      </w:r>
      <w:r>
        <w:tab/>
        <w:t>International tax – concessional rate of final withholding tax on certain distributions by Australian managed investment trusts to foreign residents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General services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B92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12-H of Schedule 1 to the </w:t>
            </w:r>
            <w:r>
              <w:rPr>
                <w:i/>
                <w:iCs/>
              </w:rPr>
              <w:t>Taxation Administration Act 1953</w:t>
            </w:r>
            <w:r>
              <w:rPr>
                <w:rFonts w:cs="Arial"/>
                <w:i/>
                <w:szCs w:val="16"/>
              </w:rPr>
              <w:br/>
            </w:r>
            <w:r>
              <w:t xml:space="preserve">Regulation 34 of the </w:t>
            </w:r>
            <w:r>
              <w:rPr>
                <w:i/>
                <w:iCs/>
              </w:rPr>
              <w:t>Taxation Administration Regulations 2017</w:t>
            </w:r>
          </w:p>
        </w:tc>
      </w:tr>
    </w:tbl>
    <w:p>
      <w:pPr>
        <w:pStyle w:val="ChartandTableFootnote"/>
      </w:pPr>
      <w:r>
        <w:t>Note: estimates include tax expenditures B92 and B16</w:t>
      </w:r>
    </w:p>
    <w:p>
      <w:pPr>
        <w:pStyle w:val="MeasureTableHeading"/>
      </w:pPr>
    </w:p>
    <w:p>
      <w:pPr>
        <w:rPr>
          <w:iCs/>
        </w:rPr>
      </w:pPr>
      <w:r>
        <w:t>Australia’s default withholding tax rate for distributions o</w:t>
      </w:r>
      <w:r>
        <w:t/>
      </w:r>
      <w:r>
        <w:t xml:space="preserve"/>
      </w:r>
      <w:r>
        <w:rPr>
          <w:i/>
        </w:rPr>
        <w:t/>
      </w:r>
      <w:r>
        <w:t/>
      </w:r>
      <w:r>
        <w:rPr>
          <w:i/>
          <w:iCs/>
        </w:rPr>
        <w:t xml:space="preserve"/>
      </w:r>
      <w:r>
        <w:rPr>
          <w:iCs/>
        </w:rPr>
        <w:t/>
      </w:r>
      <w:r>
        <w:rPr>
          <w:iCs/>
        </w:rPr>
        <w:t/>
      </w:r>
      <w:r>
        <w:rPr>
          <w:iCs/>
        </w:rPr>
        <w:t/>
      </w:r>
      <w:r>
        <w:rPr>
          <w:iCs/>
        </w:rPr>
        <w:noBreakHyphen/>
      </w:r>
      <w:r>
        <w:rPr>
          <w:iCs/>
        </w:rPr>
        <w:t/>
      </w:r>
      <w:r>
        <w:rPr>
          <w:iCs/>
        </w:rPr>
        <w:fldChar w:fldCharType="begin"/>
      </w:r>
      <w:r>
        <w:instrText xml:space="preserve"> XE </w:instrText>
      </w:r>
      <w:r>
        <w:instrText>“</w:instrText>
      </w:r>
      <w:r>
        <w:instrText>Managed investment trusts:Distributions to foreign residents</w:instrText>
      </w:r>
      <w:r>
        <w:instrText>”</w:instrText>
      </w:r>
      <w:r>
        <w:instrText xml:space="preserve"> </w:instrText>
      </w:r>
      <w:r>
        <w:rPr>
          <w:iCs/>
        </w:rPr>
        <w:fldChar w:fldCharType="end"/>
      </w:r>
    </w:p>
    <w:p>
      <w:pPr>
        <w:pStyle w:val="Heading5"/>
      </w:pPr>
      <w:r>
        <w:lastRenderedPageBreak/>
        <w:t>B</w:t>
      </w:r>
      <w:r>
        <w:t>91</w:t>
      </w:r>
      <w:r>
        <w:tab/>
        <w:t>Exception to equity interest test for certain related party at call loans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B93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974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debt/equity rules benchmark, ‘at call’ loans may b</w:t>
      </w:r>
      <w:r>
        <w:t/>
      </w:r>
      <w:r>
        <w:t/>
      </w:r>
      <w:r>
        <w:t/>
      </w:r>
      <w:r>
        <w:t xml:space="preserve"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Debt interests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3"/>
      </w:pPr>
      <w:r>
        <w:t>Retirement savings</w:t>
      </w:r>
    </w:p>
    <w:p>
      <w:pPr>
        <w:pStyle w:val="Heading4"/>
      </w:pPr>
      <w:r>
        <w:t>Tax expenditures for social security and welfare</w:t>
      </w:r>
    </w:p>
    <w:p>
      <w:pPr>
        <w:pStyle w:val="Heading5"/>
      </w:pPr>
      <w:r>
        <w:t>C1</w:t>
      </w:r>
      <w:r>
        <w:tab/>
        <w:t>Concessional taxation of capital gains for superannuation funds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2,450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1,050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2,450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2,550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2,650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2,800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21 September 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Paragraph 115-10(b) and subparagraph 115-100(b)(i)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the full nominal value of capital gains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Superannuation:Fund capital gains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r>
        <w:t xml:space="preserve">See tax benchmark variation C4 for the variation relating to</w:t>
      </w:r>
    </w:p>
    <w:p>
      <w:pPr>
        <w:pStyle w:val="Heading5"/>
      </w:pPr>
      <w:r>
        <w:lastRenderedPageBreak/>
        <w:t>C2</w:t>
      </w:r>
      <w:r>
        <w:tab/>
        <w:t>Concessional taxation of employer superannuation contributions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21,800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24,950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27,450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29,450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31,450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32,950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35,150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Divisions 290, 291, 293 and 295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autoSpaceDE w:val="0"/>
        <w:autoSpaceDN w:val="0"/>
        <w:adjustRightInd w:val="0"/>
      </w:pPr>
      <w:r>
        <w:t>Under the benchmark, contributions made to superannuation ar</w:t>
      </w:r>
      <w:r>
        <w:noBreakHyphen/>
      </w:r>
      <w:r>
        <w:t xml:space="preserve"/>
      </w:r>
    </w:p>
    <w:p>
      <w:pPr>
        <w:pStyle w:val="Heading5"/>
      </w:pPr>
      <w:r>
        <w:t>C3</w:t>
      </w:r>
      <w:r>
        <w:tab/>
        <w:t>Concessional taxation of personal superannuation contributions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2,750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3,200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3,300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Divisions 290, 291, 293 and 295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autoSpaceDE w:val="0"/>
        <w:autoSpaceDN w:val="0"/>
        <w:adjustRightInd w:val="0"/>
        <w:rPr>
          <w:rFonts w:cs="Book Antiqua"/>
        </w:rPr>
      </w:pPr>
      <w:r>
        <w:rPr>
          <w:rFonts w:cs="Book Antiqua"/>
        </w:rPr>
        <w:t>Under the benchmark, contributions made to superannuation ar</w:t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/>
      </w:r>
      <w:r>
        <w:rPr>
          <w:rFonts w:cs="Book Antiqua"/>
        </w:rPr>
        <w:t xml:space="preserve"/>
      </w:r>
    </w:p>
    <w:p>
      <w:pPr>
        <w:pStyle w:val="Heading5"/>
      </w:pPr>
      <w:r>
        <w:t>C4</w:t>
      </w:r>
      <w:r>
        <w:tab/>
        <w:t>Concessional taxation of superannuation earnings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21,850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24,250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24,250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25,950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27,700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29,500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29,800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Divisions 115, 294 and 295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Sections 26 and 29 of the </w:t>
            </w:r>
            <w:r>
              <w:rPr>
                <w:i/>
                <w:iCs/>
              </w:rPr>
              <w:t>Income Tax Rates Act 1986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t xml:space="preserve">Proposed Division 296 of the </w:t>
            </w:r>
            <w:r>
              <w:rPr>
                <w:i/>
                <w:iCs/>
              </w:rPr>
              <w:t>Income Tax Assessment Act 1997</w:t>
            </w:r>
            <w:r>
              <w:t xml:space="preserve"> </w:t>
            </w:r>
          </w:p>
        </w:tc>
      </w:tr>
    </w:tbl>
    <w:p>
      <w:pPr>
        <w:pStyle w:val="MeasureTableHeading"/>
      </w:pPr>
    </w:p>
    <w:p>
      <w:r>
        <w:t>Under the benchmark, superannuation earnings are taxed at ma</w:t>
      </w:r>
      <w:r>
        <w:noBreakHyphen/>
      </w:r>
      <w:r>
        <w:t xml:space="preserve"/>
      </w:r>
      <w:r>
        <w:lastRenderedPageBreak/>
        <w:t xml:space="preserve"/>
      </w:r>
    </w:p>
    <w:p>
      <w:r>
        <w:t xml:space="preserve">A complying superannuation entity is one that has elected to</w:t>
      </w:r>
      <w:r>
        <w:rPr>
          <w:i/>
          <w:iCs/>
        </w:rPr>
        <w:t/>
      </w:r>
      <w:r>
        <w:t/>
      </w:r>
    </w:p>
    <w:p>
      <w:r>
        <w:t>These concessional rates do not apply to the nonarm’s length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r>
        <w:t xml:space="preserve">Since 1 July 2017, the value of assets transferred to the re</w:t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 xml:space="preserve"/>
      </w:r>
      <w:r>
        <w:t xml:space="preserve"/>
      </w:r>
      <w:r>
        <w:t/>
      </w:r>
      <w:r>
        <w:t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Superannuation:Entity earnings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C5</w:t>
      </w:r>
      <w:r>
        <w:tab/>
        <w:t>Concessional taxation of unfunded superannuation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Offset,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Part 3-30 and subdivision 320-D of the </w:t>
            </w:r>
            <w:r>
              <w:rPr>
                <w:i/>
                <w:iCs/>
              </w:rPr>
              <w:t>Income Tax Assessment Act 1997</w:t>
            </w:r>
            <w:r>
              <w:br/>
              <w:t xml:space="preserve">Part 3-30 of the </w:t>
            </w:r>
            <w:r>
              <w:rPr>
                <w:i/>
                <w:iCs/>
              </w:rPr>
              <w:t>Income Tax (Transitional Provisions) Act 1997</w:t>
            </w:r>
          </w:p>
        </w:tc>
      </w:tr>
    </w:tbl>
    <w:p>
      <w:pPr>
        <w:pStyle w:val="MeasureTableHeading"/>
      </w:pPr>
    </w:p>
    <w:p>
      <w:r>
        <w:t>In the case of unfunded superannuation, no employer contribu</w:t>
      </w:r>
      <w:r>
        <w:t/>
      </w:r>
      <w:r>
        <w:t xml:space="preserve"/>
      </w:r>
    </w:p>
    <w:p>
      <w:r>
        <w:t xml:space="preserve">Unfunded superannuation lump sums are subject to the same co</w:t>
      </w:r>
    </w:p>
    <w:p>
      <w:r>
        <w:t>The taxable component of capped defined benefit superannuati</w:t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 xml:space="preserve"/>
      </w:r>
      <w:r>
        <w:lastRenderedPageBreak/>
        <w:t/>
      </w:r>
      <w:r>
        <w:t/>
      </w:r>
      <w:r>
        <w:t/>
      </w:r>
      <w:r>
        <w:t/>
      </w:r>
      <w:r>
        <w:t/>
      </w:r>
      <w:r>
        <w:t xml:space="preserve"/>
      </w:r>
    </w:p>
    <w:p>
      <w:r>
        <w:t>The tax treatment of a death benefit paid to a dependant as </w:t>
      </w:r>
      <w:r>
        <w:t/>
      </w:r>
      <w:r>
        <w:t xml:space="preserve"/>
      </w:r>
    </w:p>
    <w:p>
      <w:pPr>
        <w:pStyle w:val="Heading5"/>
      </w:pPr>
      <w:r>
        <w:t>C6</w:t>
      </w:r>
      <w:r>
        <w:tab/>
        <w:t>Deductibility of life and total and permanent disability insurance premiums provided inside of superannuation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2,080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2,340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2,320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2,450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2,590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2,770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2,960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15 March 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Subdivision 295-G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Life, total and permanent disability (TPD) and income protec</w:t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</w:p>
    <w:p>
      <w:r>
        <w:t>By contrast, life and TPD insurance policies that are purcha</w:t>
      </w:r>
      <w:r>
        <w:noBreakHyphen/>
      </w:r>
      <w:r>
        <w:t/>
      </w:r>
    </w:p>
    <w:p>
      <w:r>
        <w:t>This item estimates the difference between the effective tax</w:t>
      </w:r>
      <w:r>
        <w:noBreakHyphen/>
      </w:r>
      <w:r>
        <w:t xml:space="preserve"/>
      </w:r>
    </w:p>
    <w:p>
      <w:r>
        <w:t>As premiums on income protection policies purchased outside </w:t>
      </w:r>
    </w:p>
    <w:p>
      <w:pPr>
        <w:pStyle w:val="Heading5"/>
      </w:pPr>
      <w:r>
        <w:lastRenderedPageBreak/>
        <w:t>C7</w:t>
      </w:r>
      <w:r>
        <w:tab/>
        <w:t>Small business capital gains retirement exemption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152-D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Active small business assets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Retirement</w:instrText>
      </w:r>
      <w:r>
        <w:instrText>”</w:instrText>
      </w:r>
      <w:r>
        <w:fldChar w:fldCharType="end"/>
      </w:r>
      <w:r>
        <w:t xml:space="preserve"/>
      </w:r>
    </w:p>
    <w:p>
      <w:pPr>
        <w:pStyle w:val="Heading5"/>
      </w:pPr>
      <w:r>
        <w:t>C8</w:t>
      </w:r>
      <w:r>
        <w:tab/>
        <w:t>Superannuation measures for low</w:t>
      </w:r>
      <w:r>
        <w:t>-</w:t>
      </w:r>
      <w:r>
        <w:t>income earners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  <w:r>
              <w:t>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Spouse contribution tax offset (then rebate) introduced 1/7/1997</w:t>
            </w:r>
          </w:p>
          <w:p>
            <w:pPr>
              <w:pStyle w:val="MeasureTableTextLeftAligned"/>
            </w:pPr>
            <w:r>
              <w:t>Government co-contribution introduced 1/7/2003</w:t>
            </w:r>
          </w:p>
          <w:p>
            <w:pPr>
              <w:pStyle w:val="MeasureTableTextLeftAligned"/>
            </w:pPr>
            <w:r>
              <w:t>Low-income superannuation contribution introduced 1/7/2012</w:t>
            </w:r>
          </w:p>
          <w:p>
            <w:pPr>
              <w:pStyle w:val="MeasureTableTextLeftAligned"/>
            </w:pPr>
            <w:r>
              <w:t>Low-income superannuation tax offset introduced 1/7/2017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Low-income superannuation contribution ended 30/6/2017</w:t>
            </w:r>
          </w:p>
          <w:p>
            <w:pPr>
              <w:pStyle w:val="MeasureTableTextLeftAligned"/>
            </w:pPr>
            <w:r>
              <w:t>Low-income superannuation tax offset, Government co-contribution and Spouse contribution tax offset are ongoing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szCs w:val="16"/>
              </w:rPr>
            </w:pPr>
            <w:r>
              <w:rPr>
                <w:i/>
                <w:iCs/>
              </w:rPr>
              <w:t>Superannuation (Government Co-Contribution for Low Income Earners) Act 2003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Subdivision 290-D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Section 295-170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contributions made to superannuation ar</w:t>
      </w:r>
      <w:r>
        <w:noBreakHyphen/>
      </w:r>
      <w:r>
        <w:t/>
      </w:r>
      <w:r>
        <w:noBreakHyphen/>
      </w:r>
      <w:r>
        <w:t/>
      </w:r>
      <w:r>
        <w:t xml:space="preserve"/>
      </w:r>
      <w:r>
        <w:rPr>
          <w:vanish/>
        </w:rPr>
        <w:fldChar w:fldCharType="begin"/>
      </w:r>
      <w:r>
        <w:rPr>
          <w:vanish/>
        </w:rPr>
        <w:instrText xml:space="preserve"> XE </w:instrText>
      </w:r>
      <w:r>
        <w:rPr>
          <w:vanish/>
        </w:rPr>
        <w:instrText>“</w:instrText>
      </w:r>
      <w:r>
        <w:rPr>
          <w:vanish/>
        </w:rPr>
        <w:instrText>Superannuation:Co</w:instrText>
      </w:r>
      <w:r>
        <w:rPr>
          <w:vanish/>
        </w:rPr>
        <w:noBreakHyphen/>
      </w:r>
      <w:r>
        <w:rPr>
          <w:vanish/>
        </w:rPr>
        <w:instrText>contribution</w:instrText>
      </w:r>
      <w:r>
        <w:rPr>
          <w:vanish/>
        </w:rPr>
        <w:instrText>”</w:instrText>
      </w:r>
      <w:r>
        <w:rPr>
          <w:vanish/>
        </w:rPr>
        <w:instrText xml:space="preserve"> </w:instrText>
      </w:r>
      <w:r>
        <w:rPr>
          <w:vanish/>
        </w:rPr>
        <w:fldChar w:fldCharType="end"/>
      </w:r>
      <w:r>
        <w:rPr>
          <w:vanish/>
        </w:rPr>
        <w:t xml:space="preserve"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r>
        <w:t>The Lowincome Superannuation Tax Offset has been in effect s</w:t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  <w:r>
        <w:noBreakHyphen/>
      </w:r>
      <w:r>
        <w:t/>
      </w:r>
      <w:r>
        <w:t/>
      </w:r>
      <w:r>
        <w:t xml:space="preserve"/>
      </w:r>
      <w:r>
        <w:lastRenderedPageBreak/>
        <w:t/>
      </w:r>
      <w:r>
        <w:noBreakHyphen/>
      </w:r>
      <w:r>
        <w:t xml:space="preserve"/>
      </w:r>
    </w:p>
    <w:p>
      <w:r>
        <w:t>In addition, a tax offset is available for aftertax contribu</w:t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t xml:space="preserve"/>
      </w:r>
      <w:r>
        <w:rPr>
          <w:vanish/>
        </w:rPr>
        <w:fldChar w:fldCharType="begin"/>
      </w:r>
      <w:r>
        <w:rPr>
          <w:vanish/>
        </w:rPr>
        <w:instrText xml:space="preserve"> XE </w:instrText>
      </w:r>
      <w:r>
        <w:rPr>
          <w:vanish/>
        </w:rPr>
        <w:instrText>“</w:instrText>
      </w:r>
      <w:r>
        <w:rPr>
          <w:vanish/>
        </w:rPr>
        <w:instrText>Superannuation:Spouse contribution offset</w:instrText>
      </w:r>
      <w:r>
        <w:rPr>
          <w:vanish/>
        </w:rPr>
        <w:instrText>”</w:instrText>
      </w:r>
      <w:r>
        <w:rPr>
          <w:vanish/>
        </w:rPr>
        <w:instrText xml:space="preserve"> </w:instrText>
      </w:r>
      <w:r>
        <w:rPr>
          <w:vanish/>
        </w:rPr>
        <w:fldChar w:fldCharType="end"/>
      </w:r>
    </w:p>
    <w:p>
      <w:pPr>
        <w:pStyle w:val="Heading5"/>
      </w:pPr>
      <w:r>
        <w:t>C</w:t>
      </w:r>
      <w:r>
        <w:t>9</w:t>
      </w:r>
      <w:r>
        <w:tab/>
      </w:r>
      <w:r>
        <w:tab/>
      </w:r>
      <w:r>
        <w:t>Tax on excess non</w:t>
      </w:r>
      <w:r>
        <w:noBreakHyphen/>
      </w:r>
      <w:r>
        <w:t>concessional superannuation contributions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2006</w:t>
            </w:r>
          </w:p>
          <w:p>
            <w:pPr>
              <w:pStyle w:val="MeasureTableTextLeftAligned"/>
            </w:pPr>
            <w:r>
              <w:t>Excess contributions made after 1 July 2013 can be withdrawn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292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t xml:space="preserve">Division 292 of the </w:t>
            </w:r>
            <w:r>
              <w:rPr>
                <w:i/>
                <w:iCs/>
              </w:rPr>
              <w:t>Income Tax (Transitional Provisions) Act 1997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rPr>
                <w:i/>
                <w:iCs/>
              </w:rPr>
              <w:t>Superannuation (Excess Non-Concessional Contributions Tax) Act 2007</w:t>
            </w:r>
          </w:p>
        </w:tc>
      </w:tr>
    </w:tbl>
    <w:p>
      <w:pPr>
        <w:pStyle w:val="MeasureTableHeading"/>
      </w:pPr>
    </w:p>
    <w:p>
      <w:r>
        <w:t>Under the benchmark, all superannuation contributions are ma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r>
        <w:t>In addition, between 1 July 2017 and 30 June 2021, nonconces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</w:p>
    <w:p>
      <w:r>
        <w:t>On 1 July 2017, the annual nonconcessional contributions cap</w:t>
      </w:r>
      <w:r>
        <w:noBreakHyphen/>
      </w:r>
      <w:r>
        <w:t xml:space="preserve"/>
      </w:r>
    </w:p>
    <w:p>
      <w:r>
        <w:t>A 3 year bring forward of annual nonconcessional contributio</w:t>
      </w:r>
      <w:r>
        <w:noBreakHyphen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Superannuation:Non</w:instrText>
      </w:r>
      <w:r>
        <w:noBreakHyphen/>
      </w:r>
      <w:r>
        <w:instrText>concessional contributions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C10</w:t>
      </w:r>
      <w:r>
        <w:tab/>
        <w:t>Tax on funded superannuation income streams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Divisions 301, 302 and 307 of the </w:t>
            </w:r>
            <w:r>
              <w:rPr>
                <w:i/>
                <w:iCs/>
              </w:rPr>
              <w:t>Income Tax Assessment Act 1997</w:t>
            </w:r>
            <w:r>
              <w:rPr>
                <w:rFonts w:cs="Arial"/>
                <w:i/>
                <w:szCs w:val="16"/>
              </w:rPr>
              <w:br/>
            </w:r>
            <w:r>
              <w:t xml:space="preserve">Part 3-30 of the </w:t>
            </w:r>
            <w:r>
              <w:rPr>
                <w:i/>
                <w:iCs/>
              </w:rPr>
              <w:t>Income Tax (Transitional Provisions) Act 1997</w:t>
            </w:r>
          </w:p>
        </w:tc>
      </w:tr>
    </w:tbl>
    <w:p>
      <w:pPr>
        <w:pStyle w:val="MeasureTableHeading"/>
      </w:pPr>
    </w:p>
    <w:p>
      <w:r>
        <w:t>Under the benchmark, superannuation benefits are generally t</w:t>
      </w:r>
    </w:p>
    <w:p>
      <w:r>
        <w:t xml:space="preserve">Superannuation income stream payments from a taxed source ar</w:t>
      </w:r>
    </w:p>
    <w:p>
      <w:r>
        <w:t xml:space="preserve">A death benefit paid from a taxed source as a reversionary s</w:t>
      </w:r>
    </w:p>
    <w:p>
      <w:r>
        <w:t xml:space="preserve">Some offsets reduce the amount of tax paid – for instance, a</w:t>
      </w:r>
    </w:p>
    <w:p>
      <w:r>
        <w:t>The taxable component of superannuation income stream paymen</w:t>
      </w:r>
      <w:r>
        <w:t/>
      </w:r>
      <w:r>
        <w:t xml:space="preserve"/>
      </w:r>
    </w:p>
    <w:p>
      <w:pPr>
        <w:rPr>
          <w:szCs w:val="22"/>
        </w:rPr>
      </w:pPr>
      <w:r>
        <w:t>Where an individual’s capped defined benefit income stream f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rPr>
          <w:szCs w:val="22"/>
        </w:rPr>
        <w:t xml:space="preserve"/>
      </w:r>
    </w:p>
    <w:p>
      <w:pPr>
        <w:rPr>
          <w:rFonts w:eastAsia="Calibri"/>
          <w:lang w:eastAsia="en-US"/>
        </w:rPr>
      </w:pPr>
      <w:r>
        <w:rPr>
          <w:szCs w:val="22"/>
        </w:rPr>
        <w:t xml:space="preserve">Proceeds from life insurance claims that are taken as an inc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Superannuation:Funded income streams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lastRenderedPageBreak/>
        <w:t>C11</w:t>
      </w:r>
      <w:r>
        <w:tab/>
        <w:t>Tax on funded superannuation lump sums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-520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-610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-790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-940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-1,050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-1,050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-1,050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single" w:sz="4" w:space="0" w:color="293F5B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  <w:bottom w:val="single" w:sz="4" w:space="0" w:color="293F5B"/>
            </w:tcBorders>
          </w:tcPr>
          <w:p>
            <w:pPr>
              <w:pStyle w:val="MeasureTableTextLeftAligned"/>
            </w:pPr>
            <w:r>
              <w:t xml:space="preserve">Divisions 301, 302, 305 and 307 and Part 3-30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Part 3-30 of the </w:t>
            </w:r>
            <w:r>
              <w:rPr>
                <w:i/>
                <w:iCs/>
              </w:rPr>
              <w:t>Income Tax (Transitional Provisions) Act 1997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rPr>
                <w:i/>
                <w:iCs/>
              </w:rPr>
              <w:t>Superannuation (Departing Australia Superannuation Payments Tax) Act 2007</w:t>
            </w:r>
          </w:p>
        </w:tc>
      </w:tr>
    </w:tbl>
    <w:p>
      <w:pPr>
        <w:pStyle w:val="MeasureTableHeading"/>
      </w:pPr>
    </w:p>
    <w:p>
      <w:r>
        <w:t xml:space="preserve">Under the benchmark, superannuation benefits are generally t</w:t>
      </w:r>
    </w:p>
    <w:p>
      <w:r>
        <w:t>The taxable component of lump sums paid from a taxed fund is</w:t>
      </w:r>
      <w:r>
        <w:t/>
      </w:r>
      <w:r>
        <w:t/>
      </w:r>
      <w:r>
        <w:t/>
      </w:r>
      <w:r>
        <w:t xml:space="preserve"/>
      </w:r>
    </w:p>
    <w:p>
      <w:r>
        <w:t>The taxable component of lump sums paid from an untaxed fund</w:t>
      </w:r>
      <w:r>
        <w:t/>
      </w:r>
      <w:r>
        <w:t/>
      </w:r>
    </w:p>
    <w:p>
      <w:r>
        <w:t>Special arrangements apply to lump sums paid to certain temp</w:t>
      </w:r>
    </w:p>
    <w:p>
      <w:r>
        <w:t>While lump sum death benefits paid to dependents are tax fre</w:t>
      </w:r>
      <w:r>
        <w:noBreakHyphen/>
      </w:r>
      <w:r>
        <w:t xml:space="preserve"/>
      </w:r>
    </w:p>
    <w:p>
      <w:r>
        <w:t xml:space="preserve">Lump sums paid from life insurance proceeds are taxed as a d</w:t>
      </w:r>
      <w:r>
        <w:rPr>
          <w:color w:val="000000"/>
        </w:rPr>
        <w:t/>
      </w:r>
      <w:r>
        <w:t/>
      </w:r>
      <w:r>
        <w:noBreakHyphen/>
      </w:r>
      <w:r>
        <w:t/>
      </w:r>
    </w:p>
    <w:p>
      <w:r>
        <w:lastRenderedPageBreak/>
        <w:t>Lump sums released under the First Home Super Saver Scheme a</w:t>
      </w:r>
      <w:r>
        <w:t/>
      </w:r>
      <w:r>
        <w:t xml:space="preserve"/>
      </w:r>
    </w:p>
    <w:p>
      <w:pPr>
        <w:pStyle w:val="Heading4"/>
      </w:pPr>
      <w:r>
        <w:fldChar w:fldCharType="begin"/>
      </w:r>
      <w:r>
        <w:instrText xml:space="preserve"> XE </w:instrText>
      </w:r>
      <w:r>
        <w:instrText>“</w:instrText>
      </w:r>
      <w:r>
        <w:instrText>Superannuation:Funded lump sums</w:instrText>
      </w:r>
      <w:r>
        <w:instrText>”</w:instrText>
      </w:r>
      <w:r>
        <w:instrText xml:space="preserve"> </w:instrText>
      </w:r>
      <w:r>
        <w:fldChar w:fldCharType="end"/>
      </w:r>
      <w:r>
        <w:t>Tax expenditures for other economic affairs</w:t>
      </w:r>
    </w:p>
    <w:p>
      <w:pPr>
        <w:pStyle w:val="Heading5"/>
      </w:pPr>
      <w:r>
        <w:t>C12</w:t>
      </w:r>
      <w:r>
        <w:tab/>
        <w:t>Exemption for small business assets held for more than 15 years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1,280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1,290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152-B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Active small business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3"/>
      </w:pPr>
      <w:r>
        <w:t xml:space="preserve">Fringe </w:t>
      </w:r>
      <w:r>
        <w:t>Benefits</w:t>
      </w:r>
      <w:r>
        <w:t xml:space="preserve"> Tax</w:t>
      </w:r>
    </w:p>
    <w:p>
      <w:pPr>
        <w:pStyle w:val="Heading4"/>
      </w:pPr>
      <w:r>
        <w:t xml:space="preserve">Tax expenditures for </w:t>
      </w:r>
      <w:r>
        <w:t>public</w:t>
      </w:r>
      <w:r>
        <w:t xml:space="preserve"> order and safety</w:t>
      </w:r>
    </w:p>
    <w:p>
      <w:pPr>
        <w:pStyle w:val="Heading5"/>
      </w:pPr>
      <w:r>
        <w:t>D1</w:t>
      </w:r>
      <w:r>
        <w:tab/>
        <w:t>Exemption for compensation</w:t>
      </w:r>
      <w:r>
        <w:t>-</w:t>
      </w:r>
      <w:r>
        <w:t>related benefits, occupational health and counselling services and some training courses</w:t>
      </w:r>
    </w:p>
    <w:p>
      <w:pPr>
        <w:pStyle w:val="MeasureTableHeading"/>
      </w:pPr>
      <w:r>
        <w:t>Public order and safety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Sections 58J, 58K and 58M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Compensation</w:instrText>
      </w:r>
      <w:r>
        <w:rPr>
          <w:lang w:val="en-US"/>
        </w:rPr>
        <w:noBreakHyphen/>
      </w:r>
      <w:r>
        <w:rPr>
          <w:lang w:val="en-US"/>
        </w:rPr>
        <w:instrText>related benefits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Occupational health and counselling services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Training courses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D2</w:t>
      </w:r>
      <w:r>
        <w:tab/>
        <w:t>Exemption for safety award benefits</w:t>
      </w:r>
    </w:p>
    <w:p>
      <w:pPr>
        <w:pStyle w:val="MeasureTableHeading"/>
      </w:pPr>
      <w:r>
        <w:t>Public order and safety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58R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Occupational health or safety awards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D3</w:t>
      </w:r>
      <w:r>
        <w:tab/>
        <w:t>Reduction in taxable value for car expenses incurred for occupational health and counselling services and some training courses</w:t>
      </w:r>
    </w:p>
    <w:p>
      <w:pPr>
        <w:pStyle w:val="MeasureTableHeading"/>
      </w:pPr>
      <w:r>
        <w:t>Public order and safety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61F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Occupational health and counselling services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Training courses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Fringe benefits tax:Car benefits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expenditures for general public services</w:t>
      </w:r>
    </w:p>
    <w:p>
      <w:pPr>
        <w:pStyle w:val="Heading5"/>
      </w:pPr>
      <w:r>
        <w:t>D4</w:t>
      </w:r>
      <w:r>
        <w:tab/>
        <w:t>Exemption for benefits provided by certain international organisations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55 and 56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pPr>
        <w:spacing w:line="240" w:lineRule="auto"/>
      </w:pPr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International organisations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  <w:iCs/>
        </w:rPr>
        <w:t/>
      </w:r>
      <w:r>
        <w:t xml:space="preserve"/>
      </w:r>
      <w:r>
        <w:rPr>
          <w:i/>
          <w:iCs/>
        </w:rPr>
        <w:t/>
      </w:r>
      <w:r>
        <w:t xml:space="preserve"/>
      </w:r>
      <w:r>
        <w:rPr>
          <w:i/>
          <w:iCs/>
        </w:rPr>
        <w:t/>
      </w:r>
      <w:r>
        <w:t xml:space="preserve"/>
      </w:r>
    </w:p>
    <w:p>
      <w:pPr>
        <w:pStyle w:val="Heading4"/>
      </w:pPr>
      <w:r>
        <w:t>Tax expenditures for defence</w:t>
      </w:r>
    </w:p>
    <w:p>
      <w:pPr>
        <w:pStyle w:val="Heading5"/>
      </w:pPr>
      <w:r>
        <w:t>D5</w:t>
      </w:r>
      <w:r>
        <w:tab/>
        <w:t>Exemption for benefits received by Australian Government employees in receipt of military compensation, pension and income support payments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7737" w:type="dxa"/>
            <w:gridSpan w:val="10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jc w:val="center"/>
            </w:pPr>
            <w:r>
              <w:t>Included in D9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trHeight w:val="180"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6AA and 6AB of the </w:t>
            </w:r>
            <w:r>
              <w:rPr>
                <w:i/>
                <w:iCs/>
              </w:rPr>
              <w:t>Fringe Benefits Tax (Application to the Commonwealth)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Military compensation payments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D6</w:t>
      </w:r>
      <w:r>
        <w:tab/>
        <w:t>Exemption for war service loans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 of the </w:t>
            </w:r>
            <w:r>
              <w:rPr>
                <w:i/>
                <w:iCs/>
              </w:rPr>
              <w:t>Fringe Benefits Tax (Application to the Commonwealth)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rPr>
          <w:i/>
        </w:rPr>
        <w:t/>
      </w:r>
      <w:r>
        <w:rPr>
          <w:i/>
        </w:rPr>
        <w:fldChar w:fldCharType="begin"/>
      </w:r>
      <w:r>
        <w:instrText xml:space="preserve"> XE </w:instrText>
      </w:r>
      <w:r>
        <w:instrText>“</w:instrText>
      </w:r>
      <w:r>
        <w:instrText>Defence Service Homes</w:instrText>
      </w:r>
      <w:r>
        <w:instrText>”</w:instrText>
      </w:r>
      <w:r>
        <w:instrText xml:space="preserve"> </w:instrText>
      </w:r>
      <w:r>
        <w:rPr>
          <w:i/>
        </w:rPr>
        <w:fldChar w:fldCharType="end"/>
      </w:r>
      <w:r>
        <w:t xml:space="preserve"/>
      </w:r>
      <w:r>
        <w:t/>
      </w:r>
      <w:r>
        <w:t/>
      </w:r>
    </w:p>
    <w:p>
      <w:pPr>
        <w:pStyle w:val="Heading4"/>
      </w:pPr>
      <w:r>
        <w:lastRenderedPageBreak/>
        <w:t>Tax expenditures for education</w:t>
      </w:r>
    </w:p>
    <w:p>
      <w:pPr>
        <w:pStyle w:val="Heading5"/>
      </w:pPr>
      <w:r>
        <w:t>D7</w:t>
      </w:r>
      <w:r>
        <w:tab/>
        <w:t>Exemption for certain retraining and reskilling benefits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 October 2020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58ZE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Retraining and reskilling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D8</w:t>
      </w:r>
      <w:r>
        <w:tab/>
        <w:t>Reduction in taxable value for education costs of children of employees posted overseas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65A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Education:Expenses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t/>
      </w:r>
      <w:r>
        <w:t/>
      </w:r>
    </w:p>
    <w:p>
      <w:pPr>
        <w:pStyle w:val="Heading4"/>
      </w:pPr>
      <w:r>
        <w:lastRenderedPageBreak/>
        <w:t>Tax expenditures for health</w:t>
      </w:r>
    </w:p>
    <w:p>
      <w:pPr>
        <w:pStyle w:val="Heading5"/>
      </w:pPr>
      <w:r>
        <w:t>D9</w:t>
      </w:r>
      <w:r>
        <w:tab/>
        <w:t>Exemption for health care benefits provided to members of the Defence</w:t>
      </w:r>
      <w:r>
        <w:t> </w:t>
      </w:r>
      <w:r>
        <w:t>Force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1,000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6AC of the </w:t>
            </w:r>
            <w:r>
              <w:rPr>
                <w:i/>
                <w:iCs/>
              </w:rPr>
              <w:t>Fringe Benefits Tax (Application to the Commonwealth)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1986</w:t>
            </w:r>
          </w:p>
        </w:tc>
      </w:tr>
    </w:tbl>
    <w:p>
      <w:pPr>
        <w:pStyle w:val="ChartandTableFootnote"/>
      </w:pPr>
      <w:r>
        <w:t>Note: estimates include tax expenditures D9 and D5</w:t>
      </w:r>
    </w:p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Australian Defence Force personnel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D10</w:t>
      </w:r>
      <w:r>
        <w:tab/>
        <w:t>Exemption for charities promoting the prevention or control of disease in human beings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5B and Subsection 57A(5) of the </w:t>
            </w:r>
            <w:r>
              <w:rPr>
                <w:i/>
                <w:iCs/>
              </w:rPr>
              <w:t>Fringe Benefits Tax Assessment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</w:p>
    <w:p>
      <w:pPr>
        <w:pStyle w:val="Heading5"/>
      </w:pPr>
      <w:r>
        <w:lastRenderedPageBreak/>
        <w:t>D11</w:t>
      </w:r>
      <w:r>
        <w:tab/>
        <w:t>Exemption for public and not</w:t>
      </w:r>
      <w:r>
        <w:noBreakHyphen/>
      </w:r>
      <w:r>
        <w:t>for</w:t>
      </w:r>
      <w:r>
        <w:noBreakHyphen/>
      </w:r>
      <w:r>
        <w:t>profit hospitals and public ambulance services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1,750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5B and Sub</w:t>
            </w:r>
            <w:r>
              <w:t>s</w:t>
            </w:r>
            <w:r>
              <w:t xml:space="preserve">ections 57A(3) and 57A(4) of the </w:t>
            </w:r>
            <w:r>
              <w:rPr>
                <w:rFonts w:cs="Arial"/>
                <w:i/>
                <w:szCs w:val="16"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Hospitals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 xml:space="preserve"/>
      </w:r>
    </w:p>
    <w:p>
      <w:pPr>
        <w:pStyle w:val="Heading5"/>
      </w:pPr>
      <w:r>
        <w:t>D12</w:t>
      </w:r>
      <w:r>
        <w:tab/>
        <w:t>Exemption for travel costs of employees and their families associated with overseas medical treatment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58L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Overseas medical treatment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Tax expenditures for social security and welfare</w:t>
      </w:r>
    </w:p>
    <w:p>
      <w:pPr>
        <w:pStyle w:val="Heading5"/>
      </w:pPr>
      <w:r>
        <w:t>D13</w:t>
      </w:r>
      <w:r>
        <w:tab/>
        <w:t>Exemption for accommodation, fuel and meals for live</w:t>
      </w:r>
      <w:r>
        <w:t>-</w:t>
      </w:r>
      <w:r>
        <w:t>in employees caring for the elderly or disadvantaged</w:t>
      </w:r>
    </w:p>
    <w:p>
      <w:pPr>
        <w:pStyle w:val="MeasureTableHeading"/>
      </w:pPr>
      <w:r>
        <w:t xml:space="preserve">Social security and welfare </w:t>
      </w:r>
      <w:r>
        <w:t>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58 and 58U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Live</w:instrText>
      </w:r>
      <w:r>
        <w:noBreakHyphen/>
      </w:r>
      <w:r>
        <w:instrText>in employees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D14</w:t>
      </w:r>
      <w:r>
        <w:tab/>
        <w:t>Exemption for emergency assistance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58N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Emergency assistance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D15</w:t>
      </w:r>
      <w:r>
        <w:tab/>
        <w:t>Exemption for public benevolent institutions (excluding hospitals)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2,300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2,700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3,000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3,500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3,700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57A(1)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Public benevolent institutions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t>D16</w:t>
      </w:r>
      <w:r>
        <w:tab/>
        <w:t>Exemption from the fringe benefit cap for meal entertainment and entertainment facility leasing expenses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January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5B and Subsections 57A(1) and 57A(5)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Charitable institutions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Hospitals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Public benevolent institutions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tax:Allowances, accommodation and food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4"/>
      </w:pPr>
      <w:r>
        <w:lastRenderedPageBreak/>
        <w:t>Tax expenditures for housing and community amenities</w:t>
      </w:r>
    </w:p>
    <w:p>
      <w:pPr>
        <w:pStyle w:val="Heading5"/>
      </w:pPr>
      <w:r>
        <w:t>D17</w:t>
      </w:r>
      <w:r>
        <w:tab/>
        <w:t>Exemption for meals for primary production employees in remote areas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58ZD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tax:Allowances, accommodation and food benefits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D18</w:t>
      </w:r>
      <w:r>
        <w:tab/>
        <w:t>Exemption for remote area housing and reduction in taxable value for housing assistance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1986, 1988, 2000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58ZC, 59, 60, and 65CC of the </w:t>
            </w:r>
            <w:r>
              <w:rPr>
                <w:i/>
                <w:iCs/>
              </w:rPr>
              <w:t>Fringe Benefits Tax Assessment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1986</w:t>
            </w:r>
          </w:p>
        </w:tc>
      </w:tr>
    </w:tbl>
    <w:p>
      <w:pPr>
        <w:pStyle w:val="MeasureTableHeading"/>
      </w:pPr>
    </w:p>
    <w:p>
      <w:r>
        <w:t xml:space="preserve">Under the income tax benchmark, fringe benefits are classifi</w:t>
      </w:r>
      <w:r>
        <w:t/>
      </w:r>
      <w:r>
        <w:noBreakHyphen/>
      </w:r>
      <w:r>
        <w:t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Housing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Tax expenditures for recreation and culture</w:t>
      </w:r>
    </w:p>
    <w:p>
      <w:pPr>
        <w:pStyle w:val="Heading5"/>
      </w:pPr>
      <w:r>
        <w:t>D19</w:t>
      </w:r>
      <w:r>
        <w:tab/>
        <w:t>Exemption for certain fringe benefits provided to live</w:t>
      </w:r>
      <w:r>
        <w:t>-</w:t>
      </w:r>
      <w:r>
        <w:t>in employees providing domestic services to religious institutions and practitioners</w:t>
      </w:r>
    </w:p>
    <w:p>
      <w:pPr>
        <w:pStyle w:val="MeasureTableHeading"/>
      </w:pPr>
      <w:r>
        <w:t>Recreation and culture ($m)</w:t>
      </w:r>
    </w:p>
    <w:tbl>
      <w:tblPr>
        <w:tblW w:w="0" w:type="auto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278"/>
        <w:gridCol w:w="689"/>
        <w:gridCol w:w="811"/>
        <w:gridCol w:w="156"/>
        <w:gridCol w:w="968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58T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Religious institutions or practitioners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D20</w:t>
      </w:r>
      <w:r>
        <w:tab/>
        <w:t>Exemption for fringe benefits provided to certain employees of religious institutions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57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Religious institutions or practitioners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lastRenderedPageBreak/>
        <w:t>Tax expenditures for other economic affairs</w:t>
      </w:r>
    </w:p>
    <w:p>
      <w:pPr>
        <w:pStyle w:val="Heading5"/>
      </w:pPr>
      <w:r>
        <w:t>D21</w:t>
      </w:r>
      <w:r>
        <w:tab/>
        <w:t>Application of statutory formula to value car benefits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1,250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1,200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9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tax:Car benefits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D22</w:t>
      </w:r>
      <w:r>
        <w:tab/>
        <w:t>Approved worker entitlement fund payment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145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2003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58PA and 58PB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Worker entitlement funds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D23</w:t>
      </w:r>
      <w:r>
        <w:tab/>
        <w:t>Australian Traineeship System – exemptions for certain employees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58S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Australian Traineeship System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D24</w:t>
      </w:r>
      <w:r>
        <w:tab/>
        <w:t>Car parking benefits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1993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10A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tax:Car parking benefits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D25</w:t>
      </w:r>
      <w:r>
        <w:tab/>
        <w:t>Certain relocation and recruitment expenses exemption and reduction in taxable value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Sections 58A to 58D and 58F of the </w:t>
            </w:r>
            <w:r>
              <w:rPr>
                <w:i/>
                <w:iCs/>
              </w:rPr>
              <w:t>Fringe Benefits Tax Assessment Act 1986</w:t>
            </w:r>
          </w:p>
          <w:p>
            <w:pPr>
              <w:pStyle w:val="MeasureTableTextLeftAligned"/>
            </w:pPr>
            <w:r>
              <w:t xml:space="preserve">Sections 61B to 61E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Relocation and recruitment expenses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D26</w:t>
      </w:r>
      <w:r>
        <w:tab/>
        <w:t>Compassionate travel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58LA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rPr>
          <w:rFonts w:eastAsia="Calibri"/>
        </w:rPr>
        <w:fldChar w:fldCharType="begin"/>
      </w:r>
      <w:r>
        <w:instrText xml:space="preserve"> XE </w:instrText>
      </w:r>
      <w:r>
        <w:instrText>“</w:instrText>
      </w:r>
      <w:r>
        <w:instrText>Compassionate travel exemption</w:instrText>
      </w:r>
      <w:r>
        <w:instrText>”</w:instrText>
      </w:r>
      <w:r>
        <w:instrText xml:space="preserve"> </w:instrText>
      </w:r>
      <w:r>
        <w:rPr>
          <w:rFonts w:eastAsia="Calibri"/>
        </w:rPr>
        <w:fldChar w:fldCharType="end"/>
      </w:r>
      <w:r>
        <w:t xml:space="preserve"/>
      </w:r>
    </w:p>
    <w:p>
      <w:pPr>
        <w:pStyle w:val="Heading5"/>
      </w:pPr>
      <w:r>
        <w:t>D27</w:t>
      </w:r>
      <w:r>
        <w:tab/>
        <w:t>Discounted valuation for board meals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36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Board meals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t xml:space="preserve"/>
      </w:r>
      <w:r>
        <w:lastRenderedPageBreak/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 xml:space="preserve"/>
      </w:r>
    </w:p>
    <w:p>
      <w:pPr>
        <w:pStyle w:val="Heading5"/>
      </w:pPr>
      <w:r>
        <w:t>D28</w:t>
      </w:r>
      <w:r>
        <w:tab/>
        <w:t>Discounted valuation for holidays for employees and their families when posted overseas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61A and 143C of the </w:t>
            </w:r>
            <w:r>
              <w:rPr>
                <w:i/>
                <w:iCs/>
              </w:rPr>
              <w:t>Fringe Benefits Tax Assessment Act 1986</w:t>
            </w:r>
            <w:r>
              <w:rPr>
                <w:rFonts w:cs="Arial"/>
                <w:i/>
                <w:szCs w:val="16"/>
              </w:rPr>
              <w:t xml:space="preserve"> 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Overseas holiday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t>D29</w:t>
      </w:r>
      <w:r>
        <w:tab/>
        <w:t>Discounted valuation of arm</w:t>
      </w:r>
      <w:r>
        <w:t>’</w:t>
      </w:r>
      <w:r>
        <w:t>s length transaction price for in</w:t>
      </w:r>
      <w:r>
        <w:noBreakHyphen/>
      </w:r>
      <w:r>
        <w:t>house property and residual fringe benefits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D29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42, 48 and 49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tax:In</w:instrText>
      </w:r>
      <w:r>
        <w:noBreakHyphen/>
      </w:r>
      <w:r>
        <w:instrText>house property fringe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tax:In</w:instrText>
      </w:r>
      <w:r>
        <w:noBreakHyphen/>
      </w:r>
      <w:r>
        <w:instrText>house residual fringe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lastRenderedPageBreak/>
        <w:t>D30</w:t>
      </w:r>
      <w:r>
        <w:tab/>
        <w:t>Employees of public transport providers – free or discounted travel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47(1)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Commuter travel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tax:Commuter travel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D31</w:t>
      </w:r>
      <w:r>
        <w:tab/>
        <w:t>Employer contributions to secure childcare places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47(8)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Child care:Facilities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D32</w:t>
      </w:r>
      <w:r>
        <w:tab/>
        <w:t>Employer</w:t>
      </w:r>
      <w:r>
        <w:noBreakHyphen/>
      </w:r>
      <w:r>
        <w:t>provided motor vehicle parking exemptions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58G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Fringe Benefits Tax Assessment Act 1986</w:t>
            </w:r>
          </w:p>
          <w:p>
            <w:pPr>
              <w:pStyle w:val="MeasureTableTextLeftAligned"/>
            </w:pPr>
            <w:r>
              <w:t xml:space="preserve">Regulations 12 and 14 of the </w:t>
            </w:r>
            <w:r>
              <w:rPr>
                <w:i/>
                <w:iCs/>
              </w:rPr>
              <w:t>Fringe Benefits Tax Assessment Regulations 2018</w:t>
            </w:r>
          </w:p>
        </w:tc>
      </w:tr>
    </w:tbl>
    <w:p>
      <w:pPr>
        <w:pStyle w:val="MeasureTableHeading"/>
      </w:pPr>
    </w:p>
    <w:p>
      <w:r>
        <w:t xml:space="preserve"> Under the income tax benchmark, fringe benefits are classif</w:t>
      </w:r>
      <w:r>
        <w:noBreakHyphen/>
      </w:r>
      <w:r>
        <w:t/>
      </w:r>
      <w:r>
        <w:t/>
      </w:r>
      <w:r>
        <w:t xml:space="preserve"/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tax:Car parking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D33</w:t>
      </w:r>
      <w:r>
        <w:tab/>
        <w:t xml:space="preserve">Exemption for </w:t>
      </w:r>
      <w:r>
        <w:t>e</w:t>
      </w:r>
      <w:r>
        <w:t xml:space="preserve">lectric </w:t>
      </w:r>
      <w:r>
        <w:t>v</w:t>
      </w:r>
      <w:r>
        <w:t>ehicles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290 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710 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1,000 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1,350 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1,750 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2,200 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 xml:space="preserve"> 2,800 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8A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Heading5"/>
      </w:pPr>
      <w:r>
        <w:t>D34</w:t>
      </w:r>
      <w:r>
        <w:tab/>
        <w:t>Expenses for employees living away from home exemptions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Very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21, 31, 47(5), 58D, 58E and 63 of the </w:t>
            </w:r>
            <w:r>
              <w:rPr>
                <w:i/>
                <w:iCs/>
              </w:rPr>
              <w:t>Fringe Benefits Tax Assessment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Act 1986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Fringe benefits tax:Expenses for employees living away from home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lastRenderedPageBreak/>
        <w:t>D35</w:t>
      </w:r>
      <w:r>
        <w:tab/>
        <w:t>In house fringe benefits – reduction in the aggregate taxable value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62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rPr>
          <w:rFonts w:ascii="Calibri" w:hAnsi="Calibri"/>
          <w:color w:val="FF0000"/>
        </w:rPr>
        <w:t xml:space="preserve"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tax:In</w:instrText>
      </w:r>
      <w:r>
        <w:noBreakHyphen/>
      </w:r>
      <w:r>
        <w:instrText>house benefits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D36</w:t>
      </w:r>
      <w:r>
        <w:tab/>
        <w:t>Loan benefits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17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tax:Loan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t>D37</w:t>
      </w:r>
      <w:r>
        <w:tab/>
        <w:t>Long service awards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18 December 1987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58Q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Long service awards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pPr>
        <w:pStyle w:val="Heading5"/>
      </w:pPr>
      <w:r>
        <w:lastRenderedPageBreak/>
        <w:t>D38</w:t>
      </w:r>
      <w:r>
        <w:tab/>
        <w:t>Minor benefits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58P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tax:Minor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D39</w:t>
      </w:r>
      <w:r>
        <w:tab/>
        <w:t>Minor private use of company motor vehicle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D39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47(6)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Minor private use of company motor vehicle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D40</w:t>
      </w:r>
      <w:r>
        <w:tab/>
        <w:t>Philanthropy – exemption for donations to deductible gift recipients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148(2A)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Deductible gift recipients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D41</w:t>
      </w:r>
      <w:r>
        <w:tab/>
        <w:t>Police officers – free or discounted travel to and from duty on public transport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47(1A)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Public transport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pPr>
        <w:pStyle w:val="Heading5"/>
      </w:pPr>
      <w:r>
        <w:t>D42</w:t>
      </w:r>
      <w:r>
        <w:tab/>
        <w:t>Provision and private use of business property exemptions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41 and 47(3)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</w:p>
    <w:p>
      <w:r>
        <w:t>Additionally, the use of property (other than a motor vehicl</w:t>
      </w:r>
      <w:r>
        <w:fldChar w:fldCharType="begin"/>
      </w:r>
      <w:r>
        <w:instrText xml:space="preserve"> XE </w:instrText>
      </w:r>
      <w:r>
        <w:instrText>“</w:instrText>
      </w:r>
      <w:r>
        <w:instrText>Private use of business property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D43</w:t>
      </w:r>
      <w:r>
        <w:tab/>
        <w:t>Provision of food and drink in certain circumstances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54 and 58V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tax:Board fringe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  <w:r>
        <w:noBreakHyphen/>
      </w:r>
      <w:r>
        <w:t/>
      </w:r>
      <w:r>
        <w:t/>
      </w:r>
      <w:r>
        <w:t xml:space="preserve"/>
      </w:r>
    </w:p>
    <w:p>
      <w:pPr>
        <w:pStyle w:val="Heading5"/>
      </w:pPr>
      <w:r>
        <w:t>D44</w:t>
      </w:r>
      <w:r>
        <w:tab/>
        <w:t>Recreational or child care facilities on an employer</w:t>
      </w:r>
      <w:r>
        <w:t>’</w:t>
      </w:r>
      <w:r>
        <w:t>s business premises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47(2)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rPr>
          <w:rFonts w:eastAsia="MS Gothic"/>
          <w:lang w:eastAsia="ja-JP"/>
        </w:rPr>
        <w:t/>
      </w:r>
      <w:r>
        <w:rPr>
          <w:rFonts w:eastAsia="MS Gothic"/>
          <w:lang w:eastAsia="ja-JP"/>
        </w:rPr>
        <w:fldChar w:fldCharType="begin"/>
      </w:r>
      <w:r>
        <w:instrText xml:space="preserve"> XE </w:instrText>
      </w:r>
      <w:r>
        <w:instrText>“</w:instrText>
      </w:r>
      <w:r>
        <w:rPr>
          <w:rFonts w:eastAsia="MS Gothic"/>
          <w:lang w:eastAsia="ja-JP"/>
        </w:rPr>
        <w:instrText>Recreational or child care facilities</w:instrText>
      </w:r>
      <w:r>
        <w:instrText>”</w:instrText>
      </w:r>
      <w:r>
        <w:instrText xml:space="preserve"> </w:instrText>
      </w:r>
      <w:r>
        <w:rPr>
          <w:rFonts w:eastAsia="MS Gothic"/>
          <w:lang w:eastAsia="ja-JP"/>
        </w:rPr>
        <w:fldChar w:fldCharType="end"/>
      </w:r>
      <w:r>
        <w:rPr>
          <w:rFonts w:eastAsia="MS Gothic"/>
          <w:lang w:eastAsia="ja-JP"/>
        </w:rPr>
        <w:t xml:space="preserve"/>
      </w:r>
      <w:r>
        <w:rPr>
          <w:rFonts w:eastAsia="MS Gothic"/>
          <w:lang w:eastAsia="ja-JP"/>
        </w:rPr>
        <w:t/>
      </w:r>
      <w:r>
        <w:rPr>
          <w:rFonts w:eastAsia="MS Gothic"/>
          <w:lang w:eastAsia="ja-JP"/>
        </w:rP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tax:Child care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D45</w:t>
      </w:r>
      <w:r>
        <w:tab/>
        <w:t>Remote area holiday benefits discounted valuation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Discounted valuation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60A and 61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Holiday transport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lastRenderedPageBreak/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tax:Holidays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D46</w:t>
      </w:r>
      <w:r>
        <w:tab/>
        <w:t>Small business employee car parking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58GA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tax:Car parking benefits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/>
      </w:r>
    </w:p>
    <w:p>
      <w:pPr>
        <w:pStyle w:val="Heading5"/>
      </w:pPr>
      <w:r>
        <w:t>D47</w:t>
      </w:r>
      <w:r>
        <w:tab/>
        <w:t>Taxi travel to or from place of work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58Z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pPr>
        <w:rPr>
          <w:rFonts w:eastAsia="MS Gothic"/>
          <w:lang w:eastAsia="ja-JP"/>
        </w:rPr>
      </w:pPr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rPr>
          <w:rFonts w:eastAsia="MS Gothic"/>
          <w:lang w:eastAsia="ja-JP"/>
        </w:rPr>
        <w:t/>
      </w:r>
      <w:r>
        <w:rPr>
          <w:rFonts w:eastAsia="MS Gothic"/>
          <w:lang w:eastAsia="ja-JP"/>
        </w:rPr>
        <w:t/>
      </w:r>
      <w:r>
        <w:rPr>
          <w:rFonts w:eastAsia="MS Gothic"/>
          <w:lang w:eastAsia="ja-JP"/>
        </w:rPr>
        <w:t/>
      </w:r>
      <w:r>
        <w:rPr>
          <w:rFonts w:eastAsia="MS Gothic"/>
          <w:lang w:eastAsia="ja-JP"/>
        </w:rPr>
        <w:fldChar w:fldCharType="begin"/>
      </w:r>
      <w:r>
        <w:instrText xml:space="preserve"> XE </w:instrText>
      </w:r>
      <w:r>
        <w:instrText>“</w:instrText>
      </w:r>
      <w:r>
        <w:instrText>Fringe benefits tax:Taxi travel</w:instrText>
      </w:r>
      <w:r>
        <w:instrText>”</w:instrText>
      </w:r>
      <w:r>
        <w:instrText xml:space="preserve"> </w:instrText>
      </w:r>
      <w:r>
        <w:rPr>
          <w:rFonts w:eastAsia="MS Gothic"/>
          <w:lang w:eastAsia="ja-JP"/>
        </w:rPr>
        <w:fldChar w:fldCharType="end"/>
      </w:r>
      <w:r>
        <w:rPr>
          <w:rFonts w:eastAsia="MS Gothic"/>
          <w:lang w:eastAsia="ja-JP"/>
        </w:rPr>
        <w:t/>
      </w:r>
    </w:p>
    <w:p>
      <w:pPr>
        <w:pStyle w:val="Heading5"/>
      </w:pPr>
      <w:r>
        <w:lastRenderedPageBreak/>
        <w:t>D48</w:t>
      </w:r>
      <w:r>
        <w:tab/>
        <w:t>Transport for oil rig and remote area employees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 47(7)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Fringe benefits tax:Transport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D49</w:t>
      </w:r>
      <w:r>
        <w:tab/>
        <w:t>Work</w:t>
      </w:r>
      <w:r>
        <w:t>-</w:t>
      </w:r>
      <w:r>
        <w:t>related items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D49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Section 58X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Work</w:instrText>
      </w:r>
      <w:r>
        <w:noBreakHyphen/>
      </w:r>
      <w:r>
        <w:instrText>related items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t/>
      </w:r>
      <w:r>
        <w:t xml:space="preserve"/>
      </w:r>
    </w:p>
    <w:p>
      <w:pPr>
        <w:pStyle w:val="Heading5"/>
      </w:pPr>
      <w:r>
        <w:t>D50</w:t>
      </w:r>
      <w:r>
        <w:tab/>
        <w:t>Fringe benefits tax record keeping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Record keeping 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Part XIA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t/>
      </w:r>
      <w:r>
        <w:t xml:space="preserve"/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Record keeping exemption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D51</w:t>
      </w:r>
      <w:r>
        <w:tab/>
        <w:t>Meal entertainment fringe benefits – 50/50 valuation method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Record keeping 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D51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37BA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Fringe benefits tax:Allowances, accommodation and food benefits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D52</w:t>
      </w:r>
      <w:r>
        <w:tab/>
        <w:t>Philanthropy – rebate for certain not</w:t>
      </w:r>
      <w:r>
        <w:t>-</w:t>
      </w:r>
      <w:r>
        <w:t>for</w:t>
      </w:r>
      <w:r>
        <w:t>-</w:t>
      </w:r>
      <w:r>
        <w:t>profit, non</w:t>
      </w:r>
      <w:r>
        <w:noBreakHyphen/>
      </w:r>
      <w:r>
        <w:t>government bodies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Rebate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D52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65J of the </w:t>
            </w:r>
            <w:r>
              <w:rPr>
                <w:i/>
                <w:iCs/>
              </w:rPr>
              <w:t>Fringe Benefits Tax Assessment Act 1986</w:t>
            </w:r>
          </w:p>
        </w:tc>
      </w:tr>
    </w:tbl>
    <w:p>
      <w:pPr>
        <w:pStyle w:val="MeasureTableHeading"/>
      </w:pPr>
    </w:p>
    <w:p>
      <w:r>
        <w:t>Under the income tax benchmark, fringe benefits are classifi</w:t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3"/>
      </w:pPr>
      <w:r>
        <w:lastRenderedPageBreak/>
        <w:t>Capital Gains Tax</w:t>
      </w:r>
    </w:p>
    <w:p>
      <w:pPr>
        <w:pStyle w:val="Heading4"/>
      </w:pPr>
      <w:r>
        <w:t xml:space="preserve">Tax </w:t>
      </w:r>
      <w:r>
        <w:t>expenditures</w:t>
      </w:r>
      <w:r>
        <w:t xml:space="preserve"> for defence</w:t>
      </w:r>
    </w:p>
    <w:p>
      <w:pPr>
        <w:pStyle w:val="Heading5"/>
      </w:pPr>
      <w:r>
        <w:t>E1</w:t>
      </w:r>
      <w:r>
        <w:tab/>
        <w:t>Exemption for valour or brave conduct decorations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..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Paragraph 118-5(b)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Decorations awarded for valour or brave conduct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tax:Exemption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expenditures for health</w:t>
      </w:r>
    </w:p>
    <w:p>
      <w:pPr>
        <w:pStyle w:val="Heading5"/>
      </w:pPr>
      <w:r>
        <w:t>E2</w:t>
      </w:r>
      <w:r>
        <w:tab/>
        <w:t>Roll</w:t>
      </w:r>
      <w:r>
        <w:t>-</w:t>
      </w:r>
      <w:r>
        <w:t>over for membership interests in medical defence organisations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14 February 2007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>Subdivision 124-P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rPr>
          <w:rFonts w:cs="Book Antiqua"/>
        </w:rPr>
        <w:t xml:space="preserve"/>
      </w:r>
      <w:r>
        <w:rPr>
          <w:rFonts w:cs="Book Antiqua"/>
        </w:rPr>
        <w:fldChar w:fldCharType="begin"/>
      </w:r>
      <w:r>
        <w:instrText xml:space="preserve"> XE </w:instrText>
      </w:r>
      <w:r>
        <w:instrText>“</w:instrText>
      </w:r>
      <w:r>
        <w:rPr>
          <w:rFonts w:cs="Book Antiqua"/>
        </w:rPr>
        <w:instrText>Medical defence organisation</w:instrText>
      </w:r>
      <w:r>
        <w:instrText>”</w:instrText>
      </w:r>
      <w:r>
        <w:instrText xml:space="preserve"> </w:instrText>
      </w:r>
      <w:r>
        <w:rPr>
          <w:rFonts w:cs="Book Antiqua"/>
        </w:rPr>
        <w:fldChar w:fldCharType="end"/>
      </w:r>
      <w:r>
        <w:rPr>
          <w:rFonts w:cs="Book Antiqua"/>
        </w:rPr>
        <w:t xml:space="preserve"/>
      </w:r>
      <w:r>
        <w:t xml:space="preserve"/>
      </w:r>
      <w:r>
        <w:rPr>
          <w:rFonts w:cs="Book Antiqua"/>
        </w:rPr>
        <w:t/>
      </w:r>
      <w:r>
        <w:t/>
      </w:r>
    </w:p>
    <w:p>
      <w:pPr>
        <w:pStyle w:val="Heading4"/>
      </w:pPr>
      <w:r>
        <w:lastRenderedPageBreak/>
        <w:t>Tax expenditures for social security and welfare</w:t>
      </w:r>
    </w:p>
    <w:p>
      <w:pPr>
        <w:pStyle w:val="Heading5"/>
      </w:pPr>
      <w:r>
        <w:t>E3</w:t>
      </w:r>
      <w:r>
        <w:tab/>
        <w:t>Exemptions for special disability trusts</w:t>
      </w:r>
    </w:p>
    <w:p>
      <w:pPr>
        <w:pStyle w:val="MeasureTableHeading"/>
      </w:pPr>
      <w:r>
        <w:t>Social security and welfare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118-85 and 118-215 to 118-230 of the </w:t>
            </w:r>
            <w:r>
              <w:rPr>
                <w:i/>
                <w:iCs/>
              </w:rPr>
              <w:t>Income Tax Assessment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Special Disability Trust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tax:Exemption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Tax concessions for certain taxpayers</w:t>
      </w:r>
    </w:p>
    <w:p>
      <w:pPr>
        <w:pStyle w:val="Heading5"/>
      </w:pPr>
      <w:r>
        <w:t>E4</w:t>
      </w:r>
      <w:r>
        <w:tab/>
        <w:t>Exemption for granny flat arrangements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137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tax:Granny flat arrangements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Tax expenditures for housing and community amenities</w:t>
      </w:r>
    </w:p>
    <w:p>
      <w:pPr>
        <w:pStyle w:val="Heading5"/>
      </w:pPr>
      <w:r>
        <w:t>E5</w:t>
      </w:r>
      <w:r>
        <w:tab/>
        <w:t>Additional 10 per cent Capital Gains Tax discount for affordable housing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January 2018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115-125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</w:p>
    <w:p>
      <w:r>
        <w:t>The tax expenditure occurs beyond 2020–21 due to the qualify</w:t>
      </w:r>
      <w:r>
        <w:t/>
      </w:r>
      <w:r>
        <w:t/>
      </w:r>
    </w:p>
    <w:p>
      <w:r>
        <w:t xml:space="preserve">See tax expenditure E15 for detail on the 50 per cent discou</w:t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tax:Discount for affordable housing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E6</w:t>
      </w:r>
      <w:r>
        <w:tab/>
        <w:t>Concessions for conservation covenants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15 June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104-47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Conservation covenants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E7</w:t>
      </w:r>
      <w:r>
        <w:tab/>
        <w:t>Main residence exemption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8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31,000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4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,500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8</w:t>
            </w:r>
            <w:r>
              <w:rPr>
                <w:rFonts w:ascii="Aptos Narrow" w:hAnsi="Aptos Narrow"/>
                <w:color w:val="000000"/>
              </w:rPr>
              <w:t>,000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31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35,000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rPr>
                <w:rFonts w:ascii="Aptos Narrow" w:hAnsi="Aptos Narrow"/>
                <w:color w:val="000000"/>
              </w:rPr>
              <w:t>37,500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E7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118-B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b/>
        </w:rPr>
      </w:pPr>
      <w:r>
        <w:t>Under the benchmark, realised capital gains are generally as</w:t>
      </w:r>
      <w:r>
        <w:t/>
      </w:r>
      <w:r>
        <w:t/>
      </w:r>
    </w:p>
    <w:p>
      <w:pPr>
        <w:rPr>
          <w:b/>
        </w:rPr>
      </w:pPr>
      <w:r>
        <w:t>Foreign residents are unable to access the CGT main residenc</w:t>
      </w:r>
      <w:r>
        <w:t/>
      </w:r>
      <w:r>
        <w:t xml:space="preserve"/>
      </w:r>
    </w:p>
    <w:p>
      <w:pPr>
        <w:rPr>
          <w:b/>
        </w:rPr>
      </w:pPr>
      <w:r>
        <w:t>This tax expenditure covers the exemption of any capital gai</w:t>
      </w:r>
      <w:r>
        <w:t/>
      </w:r>
      <w:r>
        <w:t/>
      </w:r>
      <w:r>
        <w:t/>
      </w:r>
      <w:r>
        <w:t/>
      </w:r>
      <w:r>
        <w:t xml:space="preserve"/>
      </w:r>
    </w:p>
    <w:p>
      <w:pPr>
        <w:pStyle w:val="Heading5"/>
      </w:pPr>
      <w:r>
        <w:t>E8</w:t>
      </w:r>
      <w:r>
        <w:tab/>
        <w:t>Main residence exemption – discount component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20,500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33,000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6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27,</w:t>
            </w:r>
            <w:r>
              <w:rPr>
                <w:rFonts w:ascii="Aptos Narrow" w:hAnsi="Aptos Narrow"/>
                <w:color w:val="000000"/>
              </w:rPr>
              <w:t>5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2</w:t>
            </w:r>
            <w:r>
              <w:rPr>
                <w:rFonts w:ascii="Aptos Narrow" w:hAnsi="Aptos Narrow"/>
                <w:color w:val="000000"/>
              </w:rPr>
              <w:t>,000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4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500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  <w:rPr>
                <w:highlight w:val="yellow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  <w:r>
              <w:rPr>
                <w:rFonts w:ascii="Aptos Narrow" w:hAnsi="Aptos Narrow"/>
                <w:color w:val="000000"/>
              </w:rPr>
              <w:t>8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>500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rPr>
                <w:rFonts w:ascii="Aptos Narrow" w:hAnsi="Aptos Narrow"/>
                <w:color w:val="000000"/>
              </w:rPr>
              <w:t>41</w:t>
            </w:r>
            <w:r>
              <w:rPr>
                <w:rFonts w:ascii="Aptos Narrow" w:hAnsi="Aptos Narrow"/>
                <w:color w:val="000000"/>
              </w:rPr>
              <w:t>,0</w:t>
            </w:r>
            <w:r>
              <w:rPr>
                <w:rFonts w:ascii="Aptos Narrow" w:hAnsi="Aptos Narrow"/>
                <w:color w:val="000000"/>
              </w:rPr>
              <w:t>00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E8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1999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115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b/>
        </w:rPr>
      </w:pPr>
      <w:r>
        <w:t>Under the benchmark, realised capital gains are generally as</w:t>
      </w:r>
      <w:r>
        <w:t/>
      </w:r>
      <w:r>
        <w:t xml:space="preserve"/>
      </w:r>
    </w:p>
    <w:p>
      <w:pPr>
        <w:rPr>
          <w:b/>
        </w:rPr>
      </w:pPr>
      <w:r>
        <w:t>Disposals of other assets by individuals or trusts receive a</w:t>
      </w:r>
      <w:r>
        <w:rPr>
          <w:b/>
        </w:rPr>
        <w:t/>
      </w:r>
      <w:r>
        <w:t xml:space="preserve"/>
      </w:r>
    </w:p>
    <w:p>
      <w:pPr>
        <w:rPr>
          <w:b/>
        </w:rPr>
      </w:pPr>
      <w:r>
        <w:lastRenderedPageBreak/>
        <w:t>The CGT treatment of the main residence effectively provides</w:t>
      </w:r>
      <w:r>
        <w:noBreakHyphen/>
      </w:r>
      <w:r>
        <w:t xml:space="preserve"/>
      </w:r>
      <w:r>
        <w:t/>
      </w:r>
      <w:r>
        <w:t/>
      </w:r>
      <w:r>
        <w:t/>
      </w:r>
      <w:r>
        <w:t xml:space="preserve"/>
      </w:r>
    </w:p>
    <w:p>
      <w:pPr>
        <w:rPr>
          <w:b/>
        </w:rPr>
      </w:pPr>
      <w:r>
        <w:t xml:space="preserve">See expenditure variation E7 for the remainder of the value </w:t>
      </w:r>
    </w:p>
    <w:p>
      <w:pPr>
        <w:pStyle w:val="Heading5"/>
      </w:pPr>
      <w:r>
        <w:t>E9</w:t>
      </w:r>
      <w:r>
        <w:tab/>
        <w:t>Main residence exemption extensions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1985 and 1996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rPr>
                <w:spacing w:val="-1"/>
              </w:rPr>
              <w:t>Sections 118-145, 118-195 and 118-200 of the</w:t>
            </w:r>
            <w:r>
              <w:t xml:space="preserve">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t/>
      </w:r>
      <w:r>
        <w:t xml:space="preserve"/>
      </w:r>
    </w:p>
    <w:p>
      <w:r>
        <w:t>A taxpayer’s dwelling may continue to be treated as their ma</w:t>
      </w:r>
      <w:r>
        <w:t/>
      </w:r>
      <w:r>
        <w:t/>
      </w:r>
      <w:r>
        <w:t/>
      </w:r>
      <w:r>
        <w:t/>
      </w:r>
    </w:p>
    <w:p>
      <w:r>
        <w:t>In addition, a taxpayer who receives a dwelling as beneficia</w:t>
      </w:r>
      <w:r>
        <w:t xml:space="preserve"/>
      </w:r>
    </w:p>
    <w:p>
      <w:pPr>
        <w:pStyle w:val="Heading4"/>
      </w:pPr>
      <w:r>
        <w:lastRenderedPageBreak/>
        <w:t>Tax expenditures for recreation and culture</w:t>
      </w:r>
    </w:p>
    <w:p>
      <w:pPr>
        <w:pStyle w:val="Heading5"/>
      </w:pPr>
      <w:r>
        <w:t>E10</w:t>
      </w:r>
      <w:r>
        <w:tab/>
        <w:t>Exemption for the disposal of assets under the Cultural Gifts program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30-15 and subsection 118-60(2)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Cultural Bequests and Cultural Gifts programs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4"/>
      </w:pPr>
      <w:r>
        <w:t>Tax expenditures for other economic affairs</w:t>
      </w:r>
    </w:p>
    <w:p>
      <w:pPr>
        <w:pStyle w:val="Heading5"/>
      </w:pPr>
      <w:r>
        <w:t>E11</w:t>
      </w:r>
      <w:r>
        <w:tab/>
        <w:t>Roll</w:t>
      </w:r>
      <w:r>
        <w:t>-</w:t>
      </w:r>
      <w:r>
        <w:t>over for worker entitlement funds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Total labour and employment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126-C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Worker entitlement funds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E12</w:t>
      </w:r>
      <w:r>
        <w:tab/>
        <w:t>Concession for non</w:t>
      </w:r>
      <w:r>
        <w:t>-</w:t>
      </w:r>
      <w:r>
        <w:t>portfolio interests in foreign companies with active businesses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2004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768-505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Australian companies are generally subj</w:t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Controlled foreign companies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E13</w:t>
      </w:r>
      <w:r>
        <w:tab/>
        <w:t>Deferral of liability when taxpayer dies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128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 xml:space="preserve">Under the benchmark, realised capital gains are generally as</w:t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Deferral of liability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E14</w:t>
      </w:r>
      <w:r>
        <w:tab/>
        <w:t>Demerger concessions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125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Subsection 44(4)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>The benchmark treatment is that capital gains are taxed upon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Restructuring of a corporate or trust group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Bullet"/>
      </w:pPr>
      <w:r>
        <w:t>CGT rollover at the shareholder or trust membership interest</w:t>
      </w:r>
      <w:r>
        <w:noBreakHyphen/>
      </w:r>
      <w:r>
        <w:t/>
      </w:r>
    </w:p>
    <w:p>
      <w:pPr>
        <w:pStyle w:val="Bullet"/>
      </w:pPr>
      <w:r>
        <w:t>a CGT exemption for certain capital gains and losses at the </w:t>
      </w:r>
    </w:p>
    <w:p>
      <w:pPr>
        <w:pStyle w:val="Bullet"/>
      </w:pPr>
      <w:r>
        <w:t xml:space="preserve">an income tax exemption for certain ‘demerger dividends’.</w:t>
      </w:r>
      <w:r>
        <w:t/>
      </w:r>
      <w:r>
        <w:t/>
      </w:r>
      <w:r>
        <w:t/>
      </w:r>
      <w:r>
        <w:t/>
      </w:r>
    </w:p>
    <w:p>
      <w:pPr>
        <w:pStyle w:val="Heading5"/>
      </w:pPr>
      <w:r>
        <w:lastRenderedPageBreak/>
        <w:t>E15</w:t>
      </w:r>
      <w:r>
        <w:tab/>
        <w:t>Discount for individuals and trusts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15,590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23,460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17,430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19,720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21,</w:t>
            </w:r>
            <w:r>
              <w:t>790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19,050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19,</w:t>
            </w:r>
            <w:r>
              <w:t>670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20,380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E15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1999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115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Capital gains tax:Discount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E16</w:t>
      </w:r>
      <w:r>
        <w:tab/>
        <w:t>Discount for investors in listed investment companies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115-D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 treatment, capital gains are taxed at th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Capital gains tax:Discount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E17</w:t>
      </w:r>
      <w:r>
        <w:tab/>
        <w:t>Early stage investors – capital gains tax exemption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2016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360 of the </w:t>
            </w:r>
            <w:r>
              <w:rPr>
                <w:i/>
                <w:iCs/>
              </w:rPr>
              <w:t>Income Tax Assessment Act 1997</w:t>
            </w:r>
            <w:r>
              <w:rPr>
                <w:rFonts w:cs="Arial"/>
                <w:i/>
                <w:szCs w:val="16"/>
              </w:rPr>
              <w:t xml:space="preserve"> </w:t>
            </w:r>
          </w:p>
        </w:tc>
      </w:tr>
    </w:tbl>
    <w:p>
      <w:pPr>
        <w:pStyle w:val="MeasureTableHeading"/>
      </w:pPr>
    </w:p>
    <w:p>
      <w:r>
        <w:t>The benchmark tax treatment is that gains and income from in</w:t>
      </w:r>
    </w:p>
    <w:p>
      <w:pPr>
        <w:rPr>
          <w:rFonts w:eastAsia="Calibri"/>
          <w:lang w:eastAsia="en-US"/>
        </w:rPr>
      </w:pPr>
      <w:r>
        <w:t xml:space="preserve">A tax expenditure arises because eligible investors in quali</w:t>
      </w:r>
      <w:r>
        <w:rPr>
          <w:lang w:val="en"/>
        </w:rPr>
        <w:t/>
      </w:r>
      <w:r>
        <w:rPr>
          <w:lang w:val="en"/>
        </w:rPr>
        <w:noBreakHyphen/>
      </w:r>
      <w:r>
        <w:rPr>
          <w:lang w:val="en"/>
        </w:rPr>
        <w:t/>
      </w:r>
      <w:r>
        <w:rPr>
          <w:lang w:val="en"/>
        </w:rPr>
        <w:noBreakHyphen/>
      </w:r>
      <w:r>
        <w:rPr>
          <w:lang w:val="en"/>
        </w:rPr>
        <w:t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Early</w:instrText>
      </w:r>
      <w:r>
        <w:noBreakHyphen/>
      </w:r>
      <w:r>
        <w:instrText>stage investments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E18</w:t>
      </w:r>
      <w:r>
        <w:tab/>
        <w:t>Exemption for assets acquired before commencement of CGT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104 of the </w:t>
            </w:r>
            <w:r>
              <w:rPr>
                <w:i/>
                <w:iCs/>
              </w:rPr>
              <w:t>Income Tax Assessment Act 1997</w:t>
            </w:r>
          </w:p>
          <w:p>
            <w:pPr>
              <w:pStyle w:val="MeasureTableTextLeftAligned"/>
            </w:pPr>
            <w:r>
              <w:t xml:space="preserve">Section 102-25(2) of the </w:t>
            </w:r>
            <w:r>
              <w:rPr>
                <w:i/>
                <w:iCs/>
              </w:rPr>
              <w:t>Income Tax (Transitional Provisions)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 xml:space="preserve">Capital gains </w:instrText>
      </w:r>
      <w:r>
        <w:rPr>
          <w:lang w:val="en-US"/>
        </w:rPr>
        <w:instrText>tax: Exemption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E19</w:t>
      </w:r>
      <w:r>
        <w:tab/>
        <w:t>Exemption for demutualisation of mutual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1995 (mutual entities); 2007 (health insurers); 2008 (friendly societies)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9AA and Schedule 2H of the </w:t>
            </w:r>
            <w:r>
              <w:rPr>
                <w:i/>
                <w:iCs/>
              </w:rPr>
              <w:t>Income Tax Assessment Act 1936</w:t>
            </w:r>
          </w:p>
          <w:p>
            <w:pPr>
              <w:pStyle w:val="MeasureTableTextLeftAligned"/>
            </w:pPr>
            <w:r>
              <w:t xml:space="preserve">Division 315 and 316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tax benchmark capital gains are taxed when they ar</w:t>
      </w:r>
      <w:r>
        <w:fldChar w:fldCharType="begin"/>
      </w:r>
      <w:r>
        <w:instrText xml:space="preserve"> XE </w:instrText>
      </w:r>
      <w:r>
        <w:instrText>“</w:instrText>
      </w:r>
      <w:r>
        <w:instrText>Demutualisation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lastRenderedPageBreak/>
        <w:t xml:space="preserve"/>
      </w:r>
    </w:p>
    <w:p>
      <w:pPr>
        <w:pStyle w:val="Heading5"/>
      </w:pPr>
      <w:r>
        <w:t>E20</w:t>
      </w:r>
      <w:r>
        <w:tab/>
        <w:t>Exemption for testamentary gifts to deductible gift recipients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1999 (expanded 2005)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Subsections 118-60(1) and (1A)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fldChar w:fldCharType="begin"/>
      </w:r>
      <w:r>
        <w:instrText xml:space="preserve"> XE </w:instrText>
      </w:r>
      <w:r>
        <w:instrText>“</w:instrText>
      </w:r>
      <w:r>
        <w:instrText>Testamentary gifts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E21</w:t>
      </w:r>
      <w:r>
        <w:tab/>
        <w:t>Exemption from the market value substitution rule for certain interests in widely held entities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116-30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cs="Book Antiqua"/>
        </w:rPr>
      </w:pPr>
      <w:r>
        <w:rPr>
          <w:rFonts w:cs="Book Antiqua"/>
        </w:rPr>
        <w:t>The benchmark treatment of disposals of capital assets for l</w:t>
      </w:r>
      <w:r>
        <w:rPr>
          <w:rFonts w:cs="Book Antiqua"/>
        </w:rPr>
        <w:fldChar w:fldCharType="begin"/>
      </w:r>
      <w:r>
        <w:instrText xml:space="preserve"> XE </w:instrText>
      </w:r>
      <w:r>
        <w:instrText>“</w:instrText>
      </w:r>
      <w:r>
        <w:rPr>
          <w:rFonts w:cs="Book Antiqua"/>
        </w:rPr>
        <w:instrText xml:space="preserve">Capital gains </w:instrText>
      </w:r>
      <w:r>
        <w:rPr>
          <w:rFonts w:cs="Book Antiqua"/>
        </w:rPr>
        <w:instrText>tax: Market</w:instrText>
      </w:r>
      <w:r>
        <w:rPr>
          <w:rFonts w:cs="Book Antiqua"/>
        </w:rPr>
        <w:instrText xml:space="preserve"> value substitution rule</w:instrText>
      </w:r>
      <w:r>
        <w:instrText>”</w:instrText>
      </w:r>
      <w:r>
        <w:instrText xml:space="preserve"> </w:instrText>
      </w:r>
      <w:r>
        <w:rPr>
          <w:rFonts w:cs="Book Antiqua"/>
        </w:rPr>
        <w:fldChar w:fldCharType="end"/>
      </w:r>
      <w:r>
        <w:rPr>
          <w:rFonts w:cs="Book Antiqua"/>
        </w:rPr>
        <w:t/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t/>
      </w:r>
      <w:r>
        <w:rPr>
          <w:rFonts w:cs="Book Antiqua"/>
        </w:rPr>
        <w:t/>
      </w:r>
    </w:p>
    <w:p>
      <w:pPr>
        <w:pStyle w:val="Heading5"/>
      </w:pPr>
      <w:r>
        <w:t>E22</w:t>
      </w:r>
      <w:r>
        <w:tab/>
        <w:t>Legacy arrangements for the indexation of the cost base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Reduction in taxable value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110-36 and Division 114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 xml:space="preserve">Under the benchmark, realised capital gains are generally as</w:t>
      </w:r>
      <w:r>
        <w:lastRenderedPageBreak/>
        <w:t xml:space="preserve"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Indexed cost base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E23</w:t>
      </w:r>
      <w:r>
        <w:tab/>
        <w:t>Quarantining of capital losses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100-50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expenses are deductible if they are con</w:t>
      </w:r>
      <w:r>
        <w:fldChar w:fldCharType="begin"/>
      </w:r>
      <w:r>
        <w:instrText xml:space="preserve"> XE </w:instrText>
      </w:r>
      <w:r>
        <w:instrText>“</w:instrText>
      </w:r>
      <w:r>
        <w:instrText>Capital losses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E24</w:t>
      </w:r>
      <w:r>
        <w:tab/>
        <w:t>Removal of taxation of certain financial instruments at point of conversion or exchange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2002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26BB and 70B of the </w:t>
            </w:r>
            <w:r>
              <w:rPr>
                <w:i/>
                <w:iCs/>
              </w:rPr>
              <w:t>Income Tax Assessment Act 1936</w:t>
            </w:r>
          </w:p>
        </w:tc>
      </w:tr>
    </w:tbl>
    <w:p>
      <w:pPr>
        <w:pStyle w:val="MeasureTableHeading"/>
      </w:pPr>
    </w:p>
    <w:p>
      <w:r>
        <w:t xml:space="preserve">The benchmark treatment in the tax law is that generally the</w:t>
      </w:r>
    </w:p>
    <w:p>
      <w:r>
        <w:t xml:space="preserve">Taxation of gains or losses from conversion or exchange of c</w:t>
      </w:r>
    </w:p>
    <w:p>
      <w:r>
        <w:t xml:space="preserve">Traditional securities are, broadly, securities in the form </w:t>
      </w:r>
    </w:p>
    <w:p>
      <w:r>
        <w:t>Convertible interests are financial instruments that may con</w:t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Financial </w:instrText>
      </w:r>
      <w:r>
        <w:instrText>instruments: Convertible</w:instrText>
      </w:r>
      <w:r>
        <w:instrText xml:space="preserve"> interests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Financial </w:instrText>
      </w:r>
      <w:r>
        <w:instrText>instruments: Exchangeable</w:instrText>
      </w:r>
      <w:r>
        <w:instrText xml:space="preserve"> interests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lastRenderedPageBreak/>
        <w:t>This variation from the benchmark treatment avoids cash flow</w:t>
      </w:r>
    </w:p>
    <w:p>
      <w:pPr>
        <w:pStyle w:val="Heading5"/>
      </w:pPr>
      <w:r>
        <w:t>E25</w:t>
      </w:r>
      <w:r>
        <w:tab/>
        <w:t>Roll</w:t>
      </w:r>
      <w:r>
        <w:t>-</w:t>
      </w:r>
      <w:r>
        <w:t>over for assets compulsorily acquired, lost or destroyed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124-B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Compulsorily acquired assets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Lost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Destroyed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E26</w:t>
      </w:r>
      <w:r>
        <w:tab/>
        <w:t>Roll</w:t>
      </w:r>
      <w:r>
        <w:t>-</w:t>
      </w:r>
      <w:r>
        <w:t>over for complying superannuation funds in certain circumstances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1994 (ADFs); 2008 (merging funds);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126-C (trust deeds), and Division 310 (merging funds)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szCs w:val="24"/>
        </w:rPr>
      </w:pPr>
      <w:r>
        <w:rPr>
          <w:szCs w:val="24"/>
        </w:rPr>
        <w:t>Tax relief is provided for superannuation funds which merge,</w:t>
      </w:r>
    </w:p>
    <w:p>
      <w:pPr>
        <w:rPr>
          <w:szCs w:val="24"/>
        </w:rPr>
      </w:pPr>
      <w:r>
        <w:rPr>
          <w:szCs w:val="24"/>
        </w:rPr>
        <w:t xml:space="preserve">From 24 December 2008, complying superannuation funds that m</w:t>
      </w:r>
      <w:r>
        <w:rPr>
          <w:szCs w:val="24"/>
        </w:rPr>
        <w:t/>
      </w:r>
      <w:r>
        <w:rPr>
          <w:szCs w:val="24"/>
        </w:rPr>
        <w:t xml:space="preserve"/>
      </w:r>
      <w:r>
        <w:rPr>
          <w:szCs w:val="24"/>
        </w:rP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Superannuation</w:instrText>
      </w:r>
      <w:r>
        <w:instrText xml:space="preserve"> funds</w:instrText>
      </w:r>
      <w:r>
        <w:instrText>”</w:instrText>
      </w:r>
      <w:r>
        <w:instrText xml:space="preserve"> </w:instrText>
      </w:r>
      <w:r>
        <w:rPr>
          <w:szCs w:val="24"/>
        </w:rPr>
        <w:fldChar w:fldCharType="end"/>
      </w:r>
    </w:p>
    <w:p>
      <w:pPr>
        <w:pStyle w:val="Heading5"/>
      </w:pPr>
      <w:r>
        <w:lastRenderedPageBreak/>
        <w:t>E27</w:t>
      </w:r>
      <w:r>
        <w:tab/>
        <w:t>Roll</w:t>
      </w:r>
      <w:r>
        <w:t>-</w:t>
      </w:r>
      <w:r>
        <w:t>over for replacement small business active assets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470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1997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152-E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Active small business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E28</w:t>
      </w:r>
      <w:r>
        <w:tab/>
        <w:t>Roll</w:t>
      </w:r>
      <w:r>
        <w:t>-</w:t>
      </w:r>
      <w:r>
        <w:t>over for statutory licences and water entitlements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1985, 2005 and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Subdivisions 124-C (statutory licences) and 124-R (water entitlements)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Statutory licence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Water entitlement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E29</w:t>
      </w:r>
      <w:r>
        <w:tab/>
        <w:t>Roll</w:t>
      </w:r>
      <w:r>
        <w:t>-</w:t>
      </w:r>
      <w:r>
        <w:t>over for transfer of assets on marriage or relationship breakdown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E29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20 September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126-A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noBreakHyphen/>
      </w:r>
      <w:r>
        <w:t xml:space="preserve"/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Marriage breakdown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</w:rPr>
        <w:t/>
      </w:r>
      <w:r>
        <w:t xml:space="preserve"/>
      </w:r>
    </w:p>
    <w:p>
      <w:pPr>
        <w:pStyle w:val="Heading5"/>
      </w:pPr>
      <w:r>
        <w:t>E30</w:t>
      </w:r>
      <w:r>
        <w:tab/>
        <w:t>Roll</w:t>
      </w:r>
      <w:r>
        <w:t>-</w:t>
      </w:r>
      <w:r>
        <w:t>overs not otherwise recognised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E30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Various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Subdivisions 106-B,122-A, 122-B, 124-J, 124-K, 124-L, 124-M, 124-N, 124-P, 124-Q, 124-R, 124-S, 125, 126-B, 126-E, 126-G, 128, 328-G, 615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szCs w:val="24"/>
        </w:rPr>
      </w:pPr>
      <w:r>
        <w:rPr>
          <w:szCs w:val="24"/>
        </w:rPr>
        <w:t>Capital gains or losses are generally included in assessable</w:t>
      </w:r>
    </w:p>
    <w:p>
      <w:pPr>
        <w:rPr>
          <w:szCs w:val="24"/>
        </w:rPr>
      </w:pPr>
      <w:r>
        <w:rPr>
          <w:szCs w:val="24"/>
        </w:rPr>
        <w:t>This tax benchmark variation encompasses other CGT rollovers</w:t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rPr>
          <w:szCs w:val="24"/>
        </w:rPr>
        <w:fldChar w:fldCharType="end"/>
      </w:r>
      <w:r>
        <w:rPr>
          <w:szCs w:val="24"/>
        </w:rPr>
        <w:t xml:space="preserve"/>
      </w:r>
      <w:r>
        <w:rPr>
          <w:szCs w:val="24"/>
        </w:rPr>
        <w:noBreakHyphen/>
      </w:r>
      <w:r>
        <w:rPr>
          <w:szCs w:val="24"/>
        </w:rPr>
        <w:t/>
      </w:r>
    </w:p>
    <w:p>
      <w:pPr>
        <w:rPr>
          <w:szCs w:val="24"/>
        </w:rPr>
      </w:pPr>
      <w:r>
        <w:rPr>
          <w:szCs w:val="24"/>
        </w:rPr>
        <w:t>For example, the crown lease rollover in Subdivision 124J, t</w:t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noBreakHyphen/>
      </w:r>
      <w:r>
        <w:rPr>
          <w:szCs w:val="24"/>
        </w:rPr>
        <w:t/>
      </w:r>
      <w:r>
        <w:rPr>
          <w:szCs w:val="24"/>
        </w:rPr>
        <w:t/>
      </w:r>
      <w:r>
        <w:rPr>
          <w:szCs w:val="24"/>
        </w:rPr>
        <w:t xml:space="preserve"/>
      </w:r>
      <w:r>
        <w:rPr>
          <w:i/>
          <w:iCs/>
          <w:szCs w:val="24"/>
        </w:rPr>
        <w:t/>
      </w:r>
      <w:r>
        <w:rPr>
          <w:szCs w:val="24"/>
        </w:rPr>
        <w:t/>
      </w:r>
    </w:p>
    <w:p>
      <w:pPr>
        <w:pStyle w:val="Heading5"/>
      </w:pPr>
      <w:r>
        <w:t>E31</w:t>
      </w:r>
      <w:r>
        <w:tab/>
        <w:t>Scrip</w:t>
      </w:r>
      <w:r>
        <w:t>-</w:t>
      </w:r>
      <w:r>
        <w:t>for</w:t>
      </w:r>
      <w:r>
        <w:t>-</w:t>
      </w:r>
      <w:r>
        <w:t>scrip roll</w:t>
      </w:r>
      <w:r>
        <w:t>-</w:t>
      </w:r>
      <w:r>
        <w:t>over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E31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10 December 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124-M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Generally, a capital gain or loss is included in assessable </w:t>
      </w:r>
      <w:r>
        <w:t xml:space="preserve"/>
      </w:r>
    </w:p>
    <w:p>
      <w:r>
        <w:t>A CGT rollover is available for capital gains arising from a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 xml:space="preserve">Capital gains </w:instrText>
      </w:r>
      <w:r>
        <w:instrText>tax: Roll</w:instrText>
      </w:r>
      <w:r>
        <w:noBreakHyphen/>
      </w:r>
      <w:r>
        <w:instrText>over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Takeover or merger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lastRenderedPageBreak/>
        <w:t>The rollover provides a deferral of CGT only. The financial </w:t>
      </w:r>
      <w:r>
        <w:noBreakHyphen/>
      </w:r>
      <w:r>
        <w:t xml:space="preserve"/>
      </w:r>
    </w:p>
    <w:p>
      <w:pPr>
        <w:pStyle w:val="Heading5"/>
      </w:pPr>
      <w:r>
        <w:t>E32</w:t>
      </w:r>
      <w:r>
        <w:tab/>
        <w:t>Small business 50 per cent reduction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1,180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E32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152-C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r>
        <w:t>Under the benchmark, realised capital gains are generally as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Active small business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E33</w:t>
      </w:r>
      <w:r>
        <w:tab/>
        <w:t>Small business restructure roll</w:t>
      </w:r>
      <w:r>
        <w:t>-</w:t>
      </w:r>
      <w:r>
        <w:t>over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E33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Very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328-G of the </w:t>
            </w:r>
            <w:r>
              <w:rPr>
                <w:i/>
                <w:iCs/>
              </w:rPr>
              <w:t>Income Tax Assessment Act 1997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t>Under the benchmark, realised capital gains are generally as</w:t>
      </w:r>
      <w:r>
        <w:noBreakHyphen/>
      </w:r>
      <w:r>
        <w:t xml:space="preserve"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>Small business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3"/>
      </w:pPr>
      <w:r>
        <w:lastRenderedPageBreak/>
        <w:t>Commodity</w:t>
      </w:r>
      <w:r>
        <w:t xml:space="preserve"> and other indirect taxes</w:t>
      </w:r>
    </w:p>
    <w:p>
      <w:pPr>
        <w:pStyle w:val="Heading4"/>
      </w:pPr>
      <w:r>
        <w:t>International</w:t>
      </w:r>
      <w:r>
        <w:t xml:space="preserve"> tax expenditures</w:t>
      </w:r>
    </w:p>
    <w:p>
      <w:pPr>
        <w:pStyle w:val="Heading5"/>
      </w:pPr>
      <w:r>
        <w:t>F1</w:t>
      </w:r>
      <w:r>
        <w:tab/>
        <w:t>Tourism – inwards duty free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Tourism and area promotion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1974</w:t>
            </w:r>
          </w:p>
          <w:p>
            <w:pPr>
              <w:pStyle w:val="MeasureTableTextLeftAligned"/>
            </w:pPr>
            <w:r>
              <w:t>1 July 2000 (WET)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15 of Schedule 4 to the </w:t>
            </w:r>
            <w:r>
              <w:rPr>
                <w:i/>
                <w:iCs/>
              </w:rPr>
              <w:t>Customs Tariff Act 1995</w:t>
            </w:r>
          </w:p>
          <w:p>
            <w:pPr>
              <w:pStyle w:val="MeasureTableTextLeftAligned"/>
            </w:pPr>
            <w:r>
              <w:t xml:space="preserve">Section 7-15 of </w:t>
            </w:r>
            <w:r>
              <w:rPr>
                <w:i/>
                <w:iCs/>
              </w:rPr>
              <w:t>the A New Tax System (Wine Equalisation Tax) Act 1999</w:t>
            </w:r>
          </w:p>
          <w:p>
            <w:pPr>
              <w:pStyle w:val="MeasureTableTextLeftAligned"/>
            </w:pPr>
            <w:r>
              <w:rPr>
                <w:i/>
                <w:iCs/>
              </w:rPr>
              <w:t>Customs By-Law No. 1700571</w:t>
            </w:r>
          </w:p>
        </w:tc>
      </w:tr>
    </w:tbl>
    <w:p>
      <w:pPr>
        <w:pStyle w:val="MeasureTableHeading"/>
      </w:pPr>
    </w:p>
    <w:p>
      <w:r>
        <w:t>The benchmark tax treatment is that goods imported into Aust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Duty free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>
      <w:pPr>
        <w:pStyle w:val="Heading4"/>
      </w:pPr>
      <w:r>
        <w:t xml:space="preserve">Tax </w:t>
      </w:r>
      <w:r>
        <w:t>expenditures</w:t>
      </w:r>
      <w:r>
        <w:t xml:space="preserve"> for agriculture, forestry and fishing</w:t>
      </w:r>
    </w:p>
    <w:p>
      <w:pPr>
        <w:pStyle w:val="Heading5"/>
      </w:pPr>
      <w:r>
        <w:t>F2</w:t>
      </w:r>
      <w:r>
        <w:tab/>
        <w:t>Primary industry levy exemptions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  <w:rPr>
                <w:rFonts w:cs="Arial"/>
                <w:i w:val="0"/>
                <w:szCs w:val="16"/>
              </w:rPr>
            </w:pPr>
            <w:r>
              <w:t>Primary Industries (Customs) Charges Act 1999</w:t>
            </w:r>
          </w:p>
          <w:p>
            <w:pPr>
              <w:pStyle w:val="MeasureTableTextItalic"/>
            </w:pPr>
            <w:r>
              <w:t>Primary Industries (Excise) Levies Act 1999</w:t>
            </w:r>
          </w:p>
        </w:tc>
      </w:tr>
    </w:tbl>
    <w:p>
      <w:pPr>
        <w:pStyle w:val="MeasureTableHeading"/>
      </w:pPr>
    </w:p>
    <w:p>
      <w:r>
        <w:t>Under the benchmark, primary industry levies would generally</w:t>
      </w:r>
      <w:r>
        <w:fldChar w:fldCharType="begin"/>
      </w:r>
      <w:r>
        <w:instrText xml:space="preserve"> XE </w:instrText>
      </w:r>
      <w:r>
        <w:instrText>“</w:instrText>
      </w:r>
      <w:r>
        <w:instrText>Primary industry levies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4"/>
      </w:pPr>
      <w:r>
        <w:lastRenderedPageBreak/>
        <w:t>Tax expenditures for transport and communications</w:t>
      </w:r>
    </w:p>
    <w:p>
      <w:pPr>
        <w:pStyle w:val="Heading5"/>
      </w:pPr>
      <w:r>
        <w:t>F3</w:t>
      </w:r>
      <w:r>
        <w:tab/>
        <w:t>Exemptions from radiocommunications taxes for not</w:t>
      </w:r>
      <w:r>
        <w:t>-</w:t>
      </w:r>
      <w:r>
        <w:t>for</w:t>
      </w:r>
      <w:r>
        <w:t>-</w:t>
      </w:r>
      <w:r>
        <w:t>profit community or government entities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General services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Deferral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1992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107 of the </w:t>
            </w:r>
            <w:r>
              <w:rPr>
                <w:i/>
                <w:iCs/>
              </w:rPr>
              <w:t>Radiocommunications Act 1992</w:t>
            </w:r>
          </w:p>
          <w:p>
            <w:pPr>
              <w:pStyle w:val="MeasureTableTextLeftAligned"/>
            </w:pPr>
            <w:r>
              <w:t xml:space="preserve">and Regulation 7 of the </w:t>
            </w:r>
            <w:r>
              <w:rPr>
                <w:i/>
                <w:iCs/>
              </w:rPr>
              <w:t>Radiocommunications Taxes Collection Regulations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2023</w:t>
            </w:r>
          </w:p>
        </w:tc>
      </w:tr>
    </w:tbl>
    <w:p>
      <w:pPr>
        <w:pStyle w:val="MeasureTableHeading"/>
      </w:pPr>
    </w:p>
    <w:p>
      <w:r>
        <w:t>Under the benchmark, radiocommunications licenses are subjec</w:t>
      </w:r>
      <w:r>
        <w:noBreakHyphen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Broadcasting apparatus licence fee</w:instrText>
      </w:r>
      <w:r>
        <w:instrText>”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XE </w:instrText>
      </w:r>
      <w:r>
        <w:instrText>“</w:instrText>
      </w:r>
      <w:r>
        <w:instrText>Not</w:instrText>
      </w:r>
      <w:r>
        <w:noBreakHyphen/>
      </w:r>
      <w:r>
        <w:instrText>for</w:instrText>
      </w:r>
      <w:r>
        <w:noBreakHyphen/>
      </w:r>
      <w:r>
        <w:instrText>profit entities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F4</w:t>
      </w:r>
      <w:r>
        <w:tab/>
        <w:t>Passenger Movement Charge exemptions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 of the </w:t>
            </w:r>
            <w:r>
              <w:rPr>
                <w:i/>
                <w:iCs/>
              </w:rPr>
              <w:t>Passenger Movement Charge Collection Act 1978</w:t>
            </w:r>
          </w:p>
        </w:tc>
      </w:tr>
    </w:tbl>
    <w:p>
      <w:pPr>
        <w:pStyle w:val="MeasureTableHeading"/>
      </w:pPr>
    </w:p>
    <w:p>
      <w:r>
        <w:t>The benchmark treatment is that a flat Passenger Movement Ch</w:t>
      </w:r>
      <w:r>
        <w:fldChar w:fldCharType="begin"/>
      </w:r>
      <w:r>
        <w:instrText xml:space="preserve"> XE </w:instrText>
      </w:r>
      <w:r>
        <w:instrText>“</w:instrText>
      </w:r>
      <w:r>
        <w:instrText>Passenger Movement Charge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F5</w:t>
      </w:r>
      <w:r>
        <w:tab/>
        <w:t>Luxury car tax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-963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-1,187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-1,230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-1,088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-1,</w:t>
            </w:r>
            <w:r>
              <w:t>130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-1,</w:t>
            </w:r>
            <w:r>
              <w:t>180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-1,</w:t>
            </w:r>
            <w:r>
              <w:t>240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-1,</w:t>
            </w:r>
            <w:r>
              <w:t>310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F5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Italic"/>
              <w:rPr>
                <w:rFonts w:cs="Arial"/>
                <w:i w:val="0"/>
                <w:szCs w:val="16"/>
              </w:rPr>
            </w:pPr>
            <w:r>
              <w:t>A New Tax System (Luxury Car Tax) Act 1999</w:t>
            </w:r>
          </w:p>
          <w:p>
            <w:pPr>
              <w:pStyle w:val="MeasureTableTextItalic"/>
              <w:rPr>
                <w:rFonts w:cs="Arial"/>
                <w:i w:val="0"/>
                <w:szCs w:val="16"/>
              </w:rPr>
            </w:pPr>
            <w:r>
              <w:t>A New Tax System (Luxury Car Tax Imposition-General) Act 1999</w:t>
            </w:r>
          </w:p>
          <w:p>
            <w:pPr>
              <w:pStyle w:val="MeasureTableTextItalic"/>
              <w:rPr>
                <w:rFonts w:cs="Arial"/>
                <w:i w:val="0"/>
                <w:szCs w:val="16"/>
              </w:rPr>
            </w:pPr>
            <w:r>
              <w:t>A New Tax System (Luxury Car Tax Imposition-Customs) Act 1999</w:t>
            </w:r>
          </w:p>
          <w:p>
            <w:pPr>
              <w:pStyle w:val="MeasureTableTextItalic"/>
            </w:pPr>
            <w:r>
              <w:t>A New Tax System (Luxury Car Tax Imposition-Excise) Act 1999</w:t>
            </w:r>
          </w:p>
        </w:tc>
      </w:tr>
    </w:tbl>
    <w:p>
      <w:pPr>
        <w:pStyle w:val="MeasureTableHeading"/>
      </w:pPr>
    </w:p>
    <w:p>
      <w:r>
        <w:t>The benchmark tax treatment is that purchases of new motor v</w:t>
      </w:r>
      <w:r>
        <w:noBreakHyphen/>
      </w:r>
      <w:r>
        <w:t/>
      </w:r>
      <w:r>
        <w:noBreakHyphen/>
      </w:r>
      <w:r>
        <w:t/>
      </w:r>
      <w:r>
        <w:t xml:space="preserve"/>
      </w:r>
      <w:r>
        <w:t/>
      </w:r>
      <w:r>
        <w:t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Luxury Cars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 xml:space="preserve">The purchase of certain vehicles is not subject to luxury ca</w:t>
      </w:r>
    </w:p>
    <w:p>
      <w:pPr>
        <w:pStyle w:val="Heading4"/>
      </w:pPr>
      <w:r>
        <w:t>Fuel</w:t>
      </w:r>
    </w:p>
    <w:p>
      <w:pPr>
        <w:pStyle w:val="Heading5"/>
      </w:pPr>
      <w:r>
        <w:t>F6</w:t>
      </w:r>
      <w:r>
        <w:tab/>
        <w:t>Concessional rate of excise levied on aviation gasoline and aviation turbine</w:t>
      </w:r>
      <w:r>
        <w:t> </w:t>
      </w:r>
      <w:r>
        <w:t>fuel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1,720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2,060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2,210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Introduced before 1985</w:t>
            </w:r>
          </w:p>
          <w:p>
            <w:pPr>
              <w:pStyle w:val="MeasureTableTextLeftAligned"/>
            </w:pPr>
            <w:r>
              <w:t>1 July 2010 (most recent rate change)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t xml:space="preserve">Item 10 of the Schedule to the </w:t>
            </w:r>
            <w:r>
              <w:rPr>
                <w:i/>
                <w:iCs/>
              </w:rPr>
              <w:t>Excise Tariff Act 1921</w:t>
            </w:r>
          </w:p>
          <w:p>
            <w:pPr>
              <w:pStyle w:val="MeasureTableTextLeftAligned"/>
            </w:pPr>
            <w:r>
              <w:t xml:space="preserve">Section 160A of the </w:t>
            </w:r>
            <w:r>
              <w:rPr>
                <w:i/>
                <w:iCs/>
              </w:rPr>
              <w:t>Excise Act 1901</w:t>
            </w:r>
          </w:p>
        </w:tc>
      </w:tr>
    </w:tbl>
    <w:p>
      <w:pPr>
        <w:pStyle w:val="MeasureTableHeading"/>
      </w:pPr>
    </w:p>
    <w:p>
      <w:r>
        <w:t>The benchmark rates for fuel consumed in an internal combust</w:t>
      </w:r>
      <w:r>
        <w:rPr>
          <w:rFonts w:ascii="Calibri" w:hAnsi="Calibri" w:cs="Calibri"/>
        </w:rPr>
        <w:t xml:space="preserve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Fuels: Aviation</w:instrText>
      </w:r>
      <w:r>
        <w:instrText xml:space="preserve"> gasoline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Fuels:Aviation turbine fuel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lastRenderedPageBreak/>
        <w:t/>
      </w:r>
    </w:p>
    <w:p>
      <w:pPr>
        <w:pStyle w:val="Heading5"/>
      </w:pPr>
      <w:r>
        <w:t>F7</w:t>
      </w:r>
      <w:r>
        <w:tab/>
        <w:t xml:space="preserve">Excise concessions for </w:t>
      </w:r>
      <w:r>
        <w:t>‘</w:t>
      </w:r>
      <w:r>
        <w:t>alternative fuels</w:t>
      </w:r>
      <w:r>
        <w:t>’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rate, 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December 2011</w:t>
            </w:r>
          </w:p>
          <w:p>
            <w:pPr>
              <w:pStyle w:val="MeasureTableTextLeftAligned"/>
            </w:pPr>
            <w:r>
              <w:t>1 July 2015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6FAA of the </w:t>
            </w:r>
            <w:r>
              <w:rPr>
                <w:i/>
                <w:iCs/>
              </w:rPr>
              <w:t>Excise Tariff Act 1921</w:t>
            </w:r>
          </w:p>
          <w:p>
            <w:pPr>
              <w:pStyle w:val="MeasureTableTextLeftAligned"/>
            </w:pPr>
            <w:r>
              <w:t xml:space="preserve">Section 6J of the </w:t>
            </w:r>
            <w:r>
              <w:rPr>
                <w:i/>
                <w:iCs/>
              </w:rPr>
              <w:t>Excise Tariff Act 1921</w:t>
            </w:r>
          </w:p>
          <w:p>
            <w:pPr>
              <w:pStyle w:val="MeasureTableTextLeftAligned"/>
            </w:pPr>
            <w:r>
              <w:t xml:space="preserve">The Schedule to the </w:t>
            </w:r>
            <w:r>
              <w:rPr>
                <w:i/>
                <w:iCs/>
              </w:rPr>
              <w:t>Excise Tariff Act 1921</w:t>
            </w:r>
          </w:p>
          <w:p>
            <w:pPr>
              <w:pStyle w:val="MeasureTableTextLeftAligned"/>
            </w:pPr>
            <w:r>
              <w:t xml:space="preserve">Section 77HA of the </w:t>
            </w:r>
            <w:r>
              <w:rPr>
                <w:i/>
                <w:iCs/>
              </w:rPr>
              <w:t>Excise Act 1901</w:t>
            </w:r>
          </w:p>
        </w:tc>
      </w:tr>
    </w:tbl>
    <w:p>
      <w:pPr>
        <w:pStyle w:val="MeasureTableHeading"/>
      </w:pPr>
    </w:p>
    <w:p>
      <w:r>
        <w:t>The benchmark rates for fuel consumed in an internal combust</w:t>
      </w:r>
    </w:p>
    <w:p>
      <w:r>
        <w:t>Alternative fuels including liquefied petroleum gas (LPG), l</w:t>
      </w:r>
    </w:p>
    <w:p>
      <w:r>
        <w:t xml:space="preserve">In June 2015, the Government passed legislation to gradually</w:t>
      </w:r>
    </w:p>
    <w:p>
      <w:r>
        <w:t>Before 1 July 2015, domestically produced biodiesel and fuel</w:t>
      </w:r>
      <w:r>
        <w:fldChar w:fldCharType="begin"/>
      </w:r>
      <w:r>
        <w:instrText xml:space="preserve"> XE </w:instrText>
      </w:r>
      <w:r>
        <w:instrText>“</w:instrText>
      </w:r>
      <w:r>
        <w:instrText>Fuels: Alternative</w:instrText>
      </w:r>
      <w:r>
        <w:instrText xml:space="preserve"> transport fuels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 xml:space="preserve">The final rates for biodiesel (a high energy content fuel) a</w:t>
      </w:r>
    </w:p>
    <w:p>
      <w:r>
        <w:t>Since 1 July 2015, the excise rates for LPG, LNG and CNG hav</w:t>
      </w:r>
    </w:p>
    <w:p>
      <w:r>
        <w:t>Users of small, noncommercial scale, domesticallybased compr</w:t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lastRenderedPageBreak/>
        <w:t>F8</w:t>
      </w:r>
      <w:r>
        <w:tab/>
        <w:t>Excise levied on fuel oil, heating oil and kerosene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10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for fuels consumed for a purpose o</w:t>
      </w:r>
      <w:r>
        <w:fldChar w:fldCharType="begin"/>
      </w:r>
      <w:r>
        <w:instrText xml:space="preserve"> XE </w:instrText>
      </w:r>
      <w:r>
        <w:instrText>“</w:instrText>
      </w:r>
      <w:r>
        <w:instrText>Fuels: Fuel</w:instrText>
      </w:r>
      <w:r>
        <w:instrText xml:space="preserve"> oil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Fuels:Heating oil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Fuels:Kerosene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t>F9</w:t>
      </w:r>
      <w:r>
        <w:tab/>
        <w:t>Excise levied on fuel products used for purposes other than as fuel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2006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10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for fuels consumed for a purpose o</w:t>
      </w:r>
      <w:r>
        <w:fldChar w:fldCharType="begin"/>
      </w:r>
      <w:r>
        <w:instrText xml:space="preserve"> XE </w:instrText>
      </w:r>
      <w:r>
        <w:instrText>“</w:instrText>
      </w:r>
      <w:r>
        <w:instrText>Fuels: Other</w:instrText>
      </w:r>
      <w:r>
        <w:instrText xml:space="preserve"> purposes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Tobacco</w:t>
      </w:r>
    </w:p>
    <w:p>
      <w:pPr>
        <w:pStyle w:val="Heading5"/>
      </w:pPr>
      <w:r>
        <w:t>F10</w:t>
      </w:r>
      <w:r>
        <w:tab/>
        <w:t>Excise levied on cigarettes not exceeding 0.8 grams of tobacco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-985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-1,000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-630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-355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-</w:t>
            </w:r>
            <w:r>
              <w:rPr>
                <w:color w:val="000000"/>
              </w:rPr>
              <w:t>30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20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70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rPr>
                <w:color w:val="000000"/>
              </w:rPr>
              <w:t>15</w:t>
            </w:r>
            <w:r>
              <w:rPr>
                <w:color w:val="000000"/>
              </w:rPr>
              <w:t>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November 1999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5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is the rate per kilogram applying </w:t>
      </w:r>
      <w:r>
        <w:t/>
      </w:r>
      <w:r>
        <w:t/>
      </w:r>
      <w:r>
        <w:t/>
      </w:r>
      <w:r>
        <w:t xml:space="preserve"/>
      </w:r>
      <w:r>
        <w:lastRenderedPageBreak/>
        <w:t xml:space="preserve"/>
      </w:r>
    </w:p>
    <w:p>
      <w:r>
        <w:t>In May 2023, the Government announced staged increases to th</w:t>
      </w:r>
      <w:r>
        <w:t/>
      </w:r>
      <w:r>
        <w:t/>
      </w:r>
      <w:r>
        <w:t/>
      </w:r>
      <w:r>
        <w:t/>
      </w:r>
      <w:r>
        <w:t/>
      </w:r>
      <w:r>
        <w:t/>
      </w:r>
    </w:p>
    <w:p>
      <w:r>
        <w:t>As a result, cigarette and cigar sticks containing less toba</w:t>
      </w:r>
    </w:p>
    <w:p>
      <w:r>
        <w:t>Previously, the equalisation weight was reduced to 0.775 gra</w:t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Cigarettes and cigars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Alcohol</w:t>
      </w:r>
    </w:p>
    <w:p>
      <w:pPr>
        <w:pStyle w:val="Heading5"/>
      </w:pPr>
      <w:r>
        <w:t>F11</w:t>
      </w:r>
      <w:r>
        <w:tab/>
        <w:t>Concessional rate of excise levied on brandy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9 November 1979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3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 xml:space="preserve">Under the benchmark tax treatment, spirits are taxed at a si</w:t>
      </w:r>
      <w:r>
        <w:fldChar w:fldCharType="begin"/>
      </w:r>
      <w:r>
        <w:instrText xml:space="preserve"> XE </w:instrText>
      </w:r>
      <w:r>
        <w:instrText>“</w:instrText>
      </w:r>
      <w:r>
        <w:instrText>Alcohol:Brandy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bookmarkStart w:id="78" w:name="top"/>
      <w:bookmarkEnd w:id="78"/>
    </w:p>
    <w:p>
      <w:pPr>
        <w:pStyle w:val="Heading5"/>
      </w:pPr>
      <w:r>
        <w:lastRenderedPageBreak/>
        <w:t>F12</w:t>
      </w:r>
      <w:r>
        <w:tab/>
        <w:t>Concessional rate of excise levied on brewed</w:t>
      </w:r>
      <w:r>
        <w:t>-</w:t>
      </w:r>
      <w:r>
        <w:t>on</w:t>
      </w:r>
      <w:r>
        <w:t>-</w:t>
      </w:r>
      <w:r>
        <w:t>premises beer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April 1994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for beer is that which applies to 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Alcohol:Brew</w:instrText>
      </w:r>
      <w:r>
        <w:noBreakHyphen/>
      </w:r>
      <w:r>
        <w:instrText>on</w:instrText>
      </w:r>
      <w:r>
        <w:noBreakHyphen/>
      </w:r>
      <w:r>
        <w:instrText>premise beer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t>F13</w:t>
      </w:r>
      <w:r>
        <w:tab/>
        <w:t>Concessional rate of excise levied on draught beer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255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285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 April 2001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 of the Schedule to the </w:t>
            </w:r>
            <w:r>
              <w:rPr>
                <w:rFonts w:cs="Arial"/>
                <w:i/>
                <w:szCs w:val="16"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for beer is that which applies to </w:t>
      </w:r>
      <w:r>
        <w:fldChar w:fldCharType="begin"/>
      </w:r>
      <w:r>
        <w:instrText xml:space="preserve"> XE </w:instrText>
      </w:r>
      <w:r>
        <w:instrText>“</w:instrText>
      </w:r>
      <w:r>
        <w:instrText>Alcohol:Draught beer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From 1 August 2025, the biannual indexation of draught beer </w:t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F14</w:t>
      </w:r>
      <w:r>
        <w:tab/>
        <w:t>Concessional rate of excise levied on low strength packaged beer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1 of the 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>The benchmark excise rate for beer is that which applies to </w:t>
      </w:r>
      <w:r>
        <w:fldChar w:fldCharType="begin"/>
      </w:r>
      <w:r>
        <w:instrText xml:space="preserve"> XE </w:instrText>
      </w:r>
      <w:r>
        <w:instrText>“</w:instrText>
      </w:r>
      <w:r>
        <w:instrText>Alcohol:Low</w:instrText>
      </w:r>
      <w:r>
        <w:noBreakHyphen/>
      </w:r>
      <w:r>
        <w:instrText>strength beer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F15</w:t>
      </w:r>
      <w:r>
        <w:tab/>
        <w:t>Excise concession for alcohol producers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175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185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190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190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Rebate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2021 (brewers)</w:t>
            </w:r>
          </w:p>
          <w:p>
            <w:pPr>
              <w:pStyle w:val="MeasureTableTextLeftAligned"/>
            </w:pPr>
            <w:r>
              <w:t>1 July 2021 (distillers)</w:t>
            </w:r>
          </w:p>
          <w:p>
            <w:pPr>
              <w:pStyle w:val="MeasureTableTextLeftAligned"/>
            </w:pP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t xml:space="preserve">Item 10 of table in subclause 2(1) of Schedule 1 to the </w:t>
            </w:r>
            <w:r>
              <w:rPr>
                <w:i/>
                <w:iCs/>
              </w:rPr>
              <w:t>Excise Regulation 2015</w:t>
            </w:r>
          </w:p>
          <w:p>
            <w:pPr>
              <w:pStyle w:val="MeasureTableTextLeftAligned"/>
            </w:pPr>
            <w:r>
              <w:t xml:space="preserve">Item 7 of table in Regulation 12(2) of the </w:t>
            </w:r>
            <w:r>
              <w:rPr>
                <w:i/>
                <w:iCs/>
              </w:rPr>
              <w:t>Excise Regulation 2015</w:t>
            </w:r>
          </w:p>
        </w:tc>
      </w:tr>
    </w:tbl>
    <w:p>
      <w:pPr>
        <w:pStyle w:val="MeasureTableHeading"/>
      </w:pPr>
    </w:p>
    <w:p>
      <w:r>
        <w:t>The benchmark tax treatment is that breweries and distilleri</w:t>
      </w:r>
      <w:r>
        <w:noBreakHyphen/>
      </w:r>
      <w:r>
        <w:t/>
      </w:r>
      <w:r>
        <w:noBreakHyphen/>
      </w:r>
      <w:r>
        <w:t xml:space="preserve"/>
      </w:r>
    </w:p>
    <w:p>
      <w:r>
        <w:t>Since 1 July 2021, eligible brewers and distillers can claim</w:t>
      </w:r>
    </w:p>
    <w:p>
      <w:r>
        <w:t>The Government announced in the 2025–26 Budget that the exci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Alcohol:Producers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F16</w:t>
      </w:r>
      <w:r>
        <w:tab/>
        <w:t>Excise exemption for privately produced beer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278"/>
        <w:gridCol w:w="689"/>
        <w:gridCol w:w="811"/>
        <w:gridCol w:w="156"/>
        <w:gridCol w:w="968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18 April 1973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Schedule to the </w:t>
            </w:r>
            <w:r>
              <w:rPr>
                <w:i/>
                <w:iCs/>
              </w:rPr>
              <w:t>Excise Tariff Act 1921</w:t>
            </w:r>
          </w:p>
        </w:tc>
      </w:tr>
    </w:tbl>
    <w:p>
      <w:pPr>
        <w:pStyle w:val="MeasureTableHeading"/>
      </w:pPr>
    </w:p>
    <w:p>
      <w:r>
        <w:t xml:space="preserve">The benchmark excise rate for beer is that which applies to </w:t>
      </w:r>
      <w:r>
        <w:fldChar w:fldCharType="begin"/>
      </w:r>
      <w:r>
        <w:instrText xml:space="preserve"> XE </w:instrText>
      </w:r>
      <w:r>
        <w:instrText>“</w:instrText>
      </w:r>
      <w:r>
        <w:instrText>Alcohol:Privately produced beer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lastRenderedPageBreak/>
        <w:t>F17</w:t>
      </w:r>
      <w:r>
        <w:tab/>
        <w:t>Wine equalisation tax exemption for privately produced wine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19 August 1970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5-5 of </w:t>
            </w:r>
            <w:r>
              <w:rPr>
                <w:rFonts w:cs="Arial"/>
                <w:i/>
                <w:szCs w:val="16"/>
              </w:rPr>
              <w:t xml:space="preserve">A </w:t>
            </w:r>
            <w:r>
              <w:rPr>
                <w:i/>
                <w:iCs/>
              </w:rPr>
              <w:t>New Tax System (Wine Equalisation Tax) Act 1999</w:t>
            </w:r>
          </w:p>
        </w:tc>
      </w:tr>
    </w:tbl>
    <w:p>
      <w:pPr>
        <w:pStyle w:val="MeasureTableHeading"/>
      </w:pPr>
    </w:p>
    <w:p>
      <w:r>
        <w:t>Under the benchmark tax treatment, wine is taxed under the W</w:t>
      </w:r>
      <w:r>
        <w:fldChar w:fldCharType="begin"/>
      </w:r>
      <w:r>
        <w:instrText xml:space="preserve"> XE </w:instrText>
      </w:r>
      <w:r>
        <w:instrText>“</w:instrText>
      </w:r>
      <w:r>
        <w:instrText>Wine: Privately produced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Alcohol:Wine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F18</w:t>
      </w:r>
      <w:r>
        <w:tab/>
        <w:t>Wine equalisation tax producer rebate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330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Rebate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October 2004</w:t>
            </w:r>
          </w:p>
          <w:p>
            <w:pPr>
              <w:pStyle w:val="MeasureTableTextLeftAligned"/>
            </w:pPr>
            <w:r>
              <w:t>1 July 2018 (tightened eligibility criteria and reduced rebate cap)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19 of </w:t>
            </w:r>
            <w:r>
              <w:rPr>
                <w:i/>
                <w:iCs/>
              </w:rPr>
              <w:t>A New Tax System (Wine Equalisation Tax) Act 1999</w:t>
            </w:r>
          </w:p>
        </w:tc>
      </w:tr>
    </w:tbl>
    <w:p>
      <w:pPr>
        <w:pStyle w:val="MeasureTableHeading"/>
      </w:pPr>
    </w:p>
    <w:p>
      <w:r>
        <w:t>Under the benchmark tax treatment, wine is taxed under the W</w:t>
      </w:r>
      <w:r>
        <w:fldChar w:fldCharType="begin"/>
      </w:r>
      <w:r>
        <w:instrText xml:space="preserve"> XE </w:instrText>
      </w:r>
      <w:r>
        <w:instrText>“</w:instrText>
      </w:r>
      <w:r>
        <w:instrText>Wine:Wine equalisation tax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The Government announced in the 2025–26 Budget that the WET </w:t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Alcohol:Producers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From 1 July 2018, eligibility for the rebate was tightened, </w:t>
      </w:r>
    </w:p>
    <w:p>
      <w:r>
        <w:t>The tightened eligibility criteria has applied to all wine f</w:t>
      </w:r>
      <w:r>
        <w:fldChar w:fldCharType="begin"/>
      </w:r>
      <w:r>
        <w:instrText xml:space="preserve"> XE </w:instrText>
      </w:r>
      <w:r>
        <w:instrText>“</w:instrText>
      </w:r>
      <w:r>
        <w:instrText>Alcohol:Wine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General consumption tax expenditures</w:t>
      </w:r>
    </w:p>
    <w:p>
      <w:pPr>
        <w:pStyle w:val="Heading5"/>
      </w:pPr>
      <w:r>
        <w:t>F19</w:t>
      </w:r>
      <w:r>
        <w:tab/>
        <w:t>Certain exemptions for diplomats, diplomatic missions and approved international organisations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21 August 1940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Regulation 8 and Schedule 1 of the </w:t>
            </w:r>
            <w:r>
              <w:rPr>
                <w:i/>
                <w:iCs/>
              </w:rPr>
              <w:t>Excise Regulation 2015</w:t>
            </w:r>
          </w:p>
          <w:p>
            <w:pPr>
              <w:pStyle w:val="MeasureTableTextLeftAligned"/>
            </w:pPr>
            <w:r>
              <w:t xml:space="preserve">Section 9 of the </w:t>
            </w:r>
            <w:r>
              <w:rPr>
                <w:i/>
                <w:iCs/>
              </w:rPr>
              <w:t>Diplomatic Privileges and Immunities Act 1967</w:t>
            </w:r>
          </w:p>
          <w:p>
            <w:pPr>
              <w:pStyle w:val="MeasureTableTextLeftAligned"/>
            </w:pPr>
            <w:r>
              <w:t xml:space="preserve">Section 7 of the </w:t>
            </w:r>
            <w:r>
              <w:rPr>
                <w:i/>
                <w:iCs/>
              </w:rPr>
              <w:t>Consular Privileges and Immunities Act 1972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t xml:space="preserve">Section 11B of the </w:t>
            </w:r>
            <w:r>
              <w:rPr>
                <w:i/>
                <w:iCs/>
              </w:rPr>
              <w:t>International Organisations (Privileges and Immunities)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1963</w:t>
            </w:r>
          </w:p>
          <w:p>
            <w:pPr>
              <w:pStyle w:val="MeasureTableTextLeftAligned"/>
            </w:pPr>
            <w:r>
              <w:t xml:space="preserve">Section 12 of the </w:t>
            </w:r>
            <w:r>
              <w:rPr>
                <w:i/>
                <w:iCs/>
              </w:rPr>
              <w:t>Overseas Missions (Privileges and Immunities) Act 1995</w:t>
            </w:r>
          </w:p>
        </w:tc>
      </w:tr>
    </w:tbl>
    <w:p>
      <w:pPr>
        <w:pStyle w:val="MeasureTableHeading"/>
      </w:pPr>
    </w:p>
    <w:p>
      <w:pPr>
        <w:rPr>
          <w:rFonts w:cs="Book Antiqua"/>
        </w:rPr>
      </w:pPr>
      <w:r>
        <w:rPr>
          <w:rFonts w:cs="Book Antiqua"/>
        </w:rPr>
        <w:t>Under the benchmark tax treatment, fuel, tobacco and alcohol</w:t>
      </w:r>
      <w:r>
        <w:rPr>
          <w:rFonts w:cs="Book Antiqua"/>
        </w:rPr>
        <w:noBreakHyphen/>
      </w:r>
      <w:r>
        <w:rPr>
          <w:rFonts w:cs="Book Antiqua"/>
        </w:rPr>
        <w:t/>
      </w:r>
      <w:r>
        <w:rPr>
          <w:rFonts w:cs="Book Antiqua"/>
        </w:rPr>
        <w:fldChar w:fldCharType="begin"/>
      </w:r>
      <w:r>
        <w:instrText xml:space="preserve"> XE </w:instrText>
      </w:r>
      <w:r>
        <w:instrText>“</w:instrText>
      </w:r>
      <w:r>
        <w:rPr>
          <w:rFonts w:cs="Book Antiqua"/>
        </w:rPr>
        <w:instrText>Diplomatic missions</w:instrText>
      </w:r>
      <w:r>
        <w:instrText>”</w:instrText>
      </w:r>
      <w:r>
        <w:instrText xml:space="preserve"> </w:instrText>
      </w:r>
      <w:r>
        <w:rPr>
          <w:rFonts w:cs="Book Antiqua"/>
        </w:rPr>
        <w:fldChar w:fldCharType="end"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  <w:i/>
        </w:rPr>
        <w:t/>
      </w:r>
      <w:r>
        <w:rPr>
          <w:rFonts w:cs="Book Antiqua"/>
          <w:i/>
        </w:rPr>
        <w:t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</w:rPr>
        <w:t/>
      </w:r>
    </w:p>
    <w:p>
      <w:pPr>
        <w:pStyle w:val="Heading5"/>
      </w:pPr>
      <w:r>
        <w:t>F20</w:t>
      </w:r>
      <w:r>
        <w:tab/>
        <w:t>Certain exemptions for Australian military seagoing vessels</w:t>
      </w:r>
    </w:p>
    <w:p>
      <w:pPr>
        <w:pStyle w:val="MeasureTableHeading"/>
      </w:pPr>
      <w:r>
        <w:t>Defence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29 November 1935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6 of Table 2 of Schedule 1 to the </w:t>
            </w:r>
            <w:r>
              <w:rPr>
                <w:i/>
                <w:iCs/>
              </w:rPr>
              <w:t>Excise Regulation 2015</w:t>
            </w:r>
          </w:p>
        </w:tc>
      </w:tr>
    </w:tbl>
    <w:p>
      <w:pPr>
        <w:pStyle w:val="MeasureTableHeading"/>
      </w:pPr>
    </w:p>
    <w:p>
      <w:r>
        <w:t>Under the benchmark tax treatment, tobacco and alcohol (othe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Australian military seagoing vessels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F21</w:t>
      </w:r>
      <w:r>
        <w:tab/>
        <w:t>Customs duty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-1,960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-2,190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-2,070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-2,</w:t>
            </w:r>
            <w:r>
              <w:t>010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-2,</w:t>
            </w:r>
            <w:r>
              <w:t>030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-2,</w:t>
            </w:r>
            <w:r>
              <w:t>090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</w:t>
            </w:r>
            <w:r>
              <w:t>640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-1,</w:t>
            </w:r>
            <w:r>
              <w:t>140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F21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 - 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4 October 1901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  <w:rPr>
                <w:rFonts w:cs="Arial"/>
                <w:i w:val="0"/>
                <w:szCs w:val="16"/>
              </w:rPr>
            </w:pPr>
            <w:r>
              <w:t>Customs Act 1901</w:t>
            </w:r>
          </w:p>
          <w:p>
            <w:pPr>
              <w:pStyle w:val="MeasureTableTextItalic"/>
            </w:pPr>
            <w:r>
              <w:t>Customs Tariff Act 1995</w:t>
            </w:r>
          </w:p>
        </w:tc>
      </w:tr>
    </w:tbl>
    <w:p>
      <w:pPr>
        <w:pStyle w:val="MeasureTableHeading"/>
      </w:pPr>
    </w:p>
    <w:p>
      <w:pPr>
        <w:rPr>
          <w:lang w:val="en-US"/>
        </w:rPr>
      </w:pPr>
      <w:r>
        <w:rPr>
          <w:lang w:val="en-US"/>
        </w:rPr>
        <w:t>The benchmark tax treatment is that imported goods are subje</w:t>
      </w:r>
      <w:r>
        <w:rPr>
          <w:lang w:val="en-US"/>
        </w:rPr>
        <w:noBreakHyphen/>
      </w:r>
      <w:r>
        <w:rPr>
          <w:lang w:val="en-US"/>
        </w:rPr>
        <w:t/>
      </w:r>
      <w:r>
        <w:rPr>
          <w:lang w:val="en-US"/>
        </w:rPr>
        <w:fldChar w:fldCharType="begin"/>
      </w:r>
      <w:r>
        <w:instrText xml:space="preserve"> XE </w:instrText>
      </w:r>
      <w:r>
        <w:instrText>“</w:instrText>
      </w:r>
      <w:r>
        <w:rPr>
          <w:lang w:val="en-US"/>
        </w:rPr>
        <w:instrText>Customs duty</w:instrText>
      </w:r>
      <w:r>
        <w:instrText>”</w:instrText>
      </w:r>
      <w:r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t xml:space="preserve"/>
      </w:r>
      <w:r>
        <w:rPr>
          <w:lang w:val="en-US"/>
        </w:rPr>
        <w:noBreakHyphen/>
      </w:r>
      <w:r>
        <w:rPr>
          <w:lang w:val="en-US"/>
        </w:rPr>
        <w:t/>
      </w:r>
    </w:p>
    <w:p>
      <w:pPr>
        <w:pStyle w:val="Heading3"/>
      </w:pPr>
      <w:r>
        <w:t xml:space="preserve">Natural </w:t>
      </w:r>
      <w:r>
        <w:t>resources</w:t>
      </w:r>
      <w:r>
        <w:t xml:space="preserve"> taxes</w:t>
      </w:r>
    </w:p>
    <w:p>
      <w:pPr>
        <w:pStyle w:val="Heading4"/>
      </w:pPr>
      <w:r>
        <w:t xml:space="preserve">Tax </w:t>
      </w:r>
      <w:r>
        <w:t>expenditures</w:t>
      </w:r>
      <w:r>
        <w:t xml:space="preserve"> for manufacturing and mining</w:t>
      </w:r>
    </w:p>
    <w:p>
      <w:pPr>
        <w:pStyle w:val="Heading5"/>
      </w:pPr>
      <w:r>
        <w:t>G1</w:t>
      </w:r>
      <w:r>
        <w:tab/>
        <w:t>Junior Minerals Exploration Incentive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17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30 June 2025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418 of the </w:t>
            </w:r>
            <w:r>
              <w:rPr>
                <w:rFonts w:cs="Arial"/>
                <w:i/>
                <w:szCs w:val="16"/>
              </w:rPr>
              <w:t xml:space="preserve">Income </w:t>
            </w:r>
            <w:r>
              <w:rPr>
                <w:i/>
                <w:iCs/>
              </w:rPr>
              <w:t>Tax Assessment Act 1997</w:t>
            </w:r>
          </w:p>
        </w:tc>
      </w:tr>
    </w:tbl>
    <w:p>
      <w:pPr>
        <w:pStyle w:val="MeasureTableHeading"/>
      </w:pPr>
    </w:p>
    <w:p>
      <w:r>
        <w:t>Under the benchmark, government payments to taxpayers are ge</w:t>
      </w:r>
      <w:r>
        <w:t/>
      </w:r>
      <w:r>
        <w:t/>
      </w:r>
    </w:p>
    <w:p>
      <w:r>
        <w:t xml:space="preserve">The Junior Minerals Exploration Incentive provided a tax ben</w:t>
      </w:r>
    </w:p>
    <w:p>
      <w:r>
        <w:t xml:space="preserve">The Junior Minerals Exploration Incentive applied from 2017–</w:t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/>
      </w:r>
      <w:r>
        <w:t/>
      </w:r>
    </w:p>
    <w:p>
      <w:pPr>
        <w:pStyle w:val="Heading4"/>
      </w:pPr>
      <w:r>
        <w:t>Petroleum</w:t>
      </w:r>
    </w:p>
    <w:p>
      <w:pPr>
        <w:pStyle w:val="Heading5"/>
      </w:pPr>
      <w:r>
        <w:t>G2</w:t>
      </w:r>
      <w:r>
        <w:tab/>
        <w:t>Crude Oil Excise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Petroleum Resource Rent Tax Assessment Act 1987</w:t>
            </w:r>
          </w:p>
        </w:tc>
      </w:tr>
    </w:tbl>
    <w:p>
      <w:pPr>
        <w:pStyle w:val="MeasureTableHeading"/>
      </w:pPr>
    </w:p>
    <w:p>
      <w:pPr>
        <w:rPr>
          <w:lang w:val="en-US"/>
        </w:rPr>
      </w:pPr>
      <w:r>
        <w:rPr>
          <w:lang w:val="en-US"/>
        </w:rPr>
        <w:t xml:space="preserve">Under the natural resource benchmark, crude oil excise is tr</w:t>
      </w:r>
      <w:bookmarkStart w:id="79" w:name="_Hlk92793987"/>
      <w:r>
        <w:rPr>
          <w:lang w:val="en-US"/>
        </w:rPr>
        <w:t xml:space="preserve"/>
      </w:r>
      <w:bookmarkEnd w:id="79"/>
      <w:r>
        <w:rPr>
          <w:lang w:val="en-US"/>
        </w:rPr>
        <w:t/>
      </w:r>
      <w:r>
        <w:rPr>
          <w:lang w:val="en-US"/>
        </w:rPr>
        <w:fldChar w:fldCharType="begin"/>
      </w:r>
      <w:r>
        <w:instrText xml:space="preserve"> XE </w:instrText>
      </w:r>
      <w:r>
        <w:instrText>“</w:instrText>
      </w:r>
      <w:r>
        <w:instrText>Petroleum Resource Rent Tax:Crude Oil</w:instrText>
      </w:r>
      <w:r>
        <w:instrText>”</w:instrText>
      </w:r>
      <w:r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t xml:space="preserve"/>
      </w:r>
      <w:r>
        <w:rPr>
          <w:lang w:val="en-US"/>
        </w:rPr>
        <w:fldChar w:fldCharType="begin"/>
      </w:r>
      <w:r>
        <w:instrText xml:space="preserve"> XE </w:instrText>
      </w:r>
      <w:r>
        <w:instrText>“</w:instrText>
      </w:r>
      <w:r>
        <w:instrText>Crude Oil</w:instrText>
      </w:r>
      <w:r>
        <w:instrText>”</w:instrText>
      </w:r>
      <w:r>
        <w:instrText xml:space="preserve"> </w:instrText>
      </w:r>
      <w:r>
        <w:rPr>
          <w:lang w:val="en-US"/>
        </w:rPr>
        <w:fldChar w:fldCharType="end"/>
      </w:r>
    </w:p>
    <w:p>
      <w:pPr>
        <w:pStyle w:val="Heading5"/>
      </w:pPr>
      <w:r>
        <w:t>G3</w:t>
      </w:r>
      <w:r>
        <w:tab/>
      </w:r>
      <w:r>
        <w:t>Petroleum Resource Rent Tax</w:t>
      </w:r>
      <w:r>
        <w:t xml:space="preserve"> – </w:t>
      </w:r>
      <w:r>
        <w:t>Deductions cap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3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  <w:r>
              <w:t>500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-700</w:t>
            </w:r>
          </w:p>
        </w:tc>
        <w:tc>
          <w:tcPr>
            <w:tcW w:w="964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</w:t>
            </w:r>
            <w:r>
              <w:t>700</w:t>
            </w:r>
          </w:p>
        </w:tc>
        <w:tc>
          <w:tcPr>
            <w:tcW w:w="963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  <w:rPr>
                <w:highlight w:val="yellow"/>
              </w:rPr>
            </w:pPr>
            <w:r>
              <w:t>-</w:t>
            </w:r>
            <w:r>
              <w:t>700</w:t>
            </w:r>
          </w:p>
        </w:tc>
        <w:tc>
          <w:tcPr>
            <w:tcW w:w="965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</w:t>
            </w:r>
            <w:r>
              <w:t>400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6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deduction, Deferral of deduction</w:t>
            </w:r>
          </w:p>
        </w:tc>
        <w:tc>
          <w:tcPr>
            <w:tcW w:w="1495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G3</w:t>
            </w: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6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2023</w:t>
            </w:r>
          </w:p>
        </w:tc>
        <w:tc>
          <w:tcPr>
            <w:tcW w:w="1495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27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784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22 and 35F of the </w:t>
            </w:r>
            <w:r>
              <w:rPr>
                <w:i/>
                <w:iCs/>
              </w:rPr>
              <w:t>Petroleum Resource Rent Tax Assessment Act 1987</w:t>
            </w:r>
          </w:p>
        </w:tc>
      </w:tr>
    </w:tbl>
    <w:p>
      <w:pPr>
        <w:pStyle w:val="MeasureTableHeading"/>
      </w:pPr>
    </w:p>
    <w:p>
      <w:pPr>
        <w:rPr>
          <w:color w:val="000000"/>
          <w:bdr w:val="none" w:sz="0" w:space="0" w:color="auto" w:frame="1"/>
        </w:rPr>
      </w:pPr>
      <w:r>
        <w:t>Under the natural resources benchmark, all project expenses </w:t>
      </w:r>
      <w:r>
        <w:t/>
      </w:r>
      <w:r>
        <w:t xml:space="preserve"/>
      </w:r>
      <w:r>
        <w:rPr>
          <w:color w:val="000000"/>
          <w:bdr w:val="none" w:sz="0" w:space="0" w:color="auto" w:frame="1"/>
        </w:rPr>
        <w:t/>
      </w:r>
      <w:r>
        <w:rPr>
          <w:color w:val="000000"/>
          <w:bdr w:val="none" w:sz="0" w:space="0" w:color="auto" w:frame="1"/>
        </w:rPr>
        <w:t/>
      </w:r>
      <w:r>
        <w:rPr>
          <w:color w:val="000000"/>
          <w:bdr w:val="none" w:sz="0" w:space="0" w:color="auto" w:frame="1"/>
        </w:rPr>
        <w:t/>
      </w:r>
      <w:r>
        <w:rPr>
          <w:color w:val="000000"/>
          <w:bdr w:val="none" w:sz="0" w:space="0" w:color="auto" w:frame="1"/>
        </w:rPr>
        <w:noBreakHyphen/>
      </w:r>
      <w:r>
        <w:rPr>
          <w:color w:val="000000"/>
          <w:bdr w:val="none" w:sz="0" w:space="0" w:color="auto" w:frame="1"/>
        </w:rPr>
        <w:t/>
      </w:r>
      <w:r>
        <w:rPr>
          <w:color w:val="000000" w:themeColor="text1"/>
        </w:rPr>
        <w:t/>
      </w:r>
      <w:r>
        <w:rPr>
          <w:color w:val="000000"/>
          <w:bdr w:val="none" w:sz="0" w:space="0" w:color="auto" w:frame="1"/>
        </w:rPr>
        <w:t xml:space="preserve"/>
      </w:r>
      <w:r>
        <w:rPr>
          <w:color w:val="000000"/>
          <w:bdr w:val="none" w:sz="0" w:space="0" w:color="auto" w:frame="1"/>
        </w:rPr>
        <w:br/>
      </w:r>
      <w:r>
        <w:rPr>
          <w:color w:val="000000"/>
          <w:bdr w:val="none" w:sz="0" w:space="0" w:color="auto" w:frame="1"/>
        </w:rPr>
        <w:t xml:space="preserve"/>
      </w:r>
      <w:r>
        <w:rPr>
          <w:color w:val="000000" w:themeColor="text1"/>
        </w:rPr>
        <w:t/>
      </w:r>
      <w:r>
        <w:rPr>
          <w:color w:val="000000"/>
          <w:bdr w:val="none" w:sz="0" w:space="0" w:color="auto" w:frame="1"/>
        </w:rPr>
        <w:t xml:space="preserve"/>
      </w:r>
      <w:r>
        <w:rPr>
          <w:color w:val="000000"/>
          <w:bdr w:val="none" w:sz="0" w:space="0" w:color="auto" w:frame="1"/>
        </w:rPr>
        <w:t/>
      </w:r>
      <w:r>
        <w:rPr>
          <w:color w:val="000000"/>
          <w:bdr w:val="none" w:sz="0" w:space="0" w:color="auto" w:frame="1"/>
        </w:rPr>
        <w:t/>
      </w:r>
    </w:p>
    <w:p>
      <w:pPr>
        <w:pStyle w:val="Heading5"/>
      </w:pPr>
      <w:r>
        <w:lastRenderedPageBreak/>
        <w:t>G4</w:t>
      </w:r>
      <w:r>
        <w:tab/>
        <w:t>PRRT – denial of refund of tax credits for losses at project end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Denial of refund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1-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Petroleum Resource Rent Tax Act 1987</w:t>
            </w:r>
          </w:p>
        </w:tc>
      </w:tr>
    </w:tbl>
    <w:p>
      <w:pPr>
        <w:pStyle w:val="MeasureTableHeading"/>
      </w:pPr>
    </w:p>
    <w:p>
      <w:pPr>
        <w:rPr>
          <w:rFonts w:eastAsia="Calibri"/>
          <w:lang w:eastAsia="en-US"/>
        </w:rPr>
      </w:pPr>
      <w:r>
        <w:rPr>
          <w:lang w:val="en-US"/>
        </w:rPr>
        <w:t>Under the natural resources benchmark, any unutilised tax lo</w:t>
      </w:r>
      <w:r>
        <w:rPr>
          <w:lang w:val="en-US"/>
        </w:rPr>
        <w:fldChar w:fldCharType="begin"/>
      </w:r>
      <w:r>
        <w:instrText xml:space="preserve"> XE </w:instrText>
      </w:r>
      <w:r>
        <w:instrText>“</w:instrText>
      </w:r>
      <w:r>
        <w:instrText>Petroleum Resource Rent Tax:Losses at project end</w:instrText>
      </w:r>
      <w:r>
        <w:instrText>”</w:instrText>
      </w:r>
      <w:r>
        <w:instrText xml:space="preserve"> </w:instrText>
      </w:r>
      <w:r>
        <w:rPr>
          <w:lang w:val="en-US"/>
        </w:rPr>
        <w:fldChar w:fldCharType="end"/>
      </w:r>
      <w:r>
        <w:rPr>
          <w:lang w:val="en-US"/>
        </w:rPr>
        <w:t xml:space="preserve"/>
      </w:r>
      <w:r>
        <w:rPr>
          <w:lang w:val="en-US"/>
        </w:rPr>
        <w:noBreakHyphen/>
      </w:r>
      <w:r>
        <w:rPr>
          <w:lang w:val="en-US"/>
        </w:rPr>
        <w:t/>
      </w:r>
    </w:p>
    <w:p>
      <w:pPr>
        <w:pStyle w:val="Heading5"/>
      </w:pPr>
      <w:r>
        <w:t>G5</w:t>
      </w:r>
      <w:r>
        <w:tab/>
        <w:t>PRRT – expenditure uplift rate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1990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Petroleum Resource Rent Tax Act 1987</w:t>
            </w:r>
          </w:p>
        </w:tc>
      </w:tr>
    </w:tbl>
    <w:p>
      <w:pPr>
        <w:pStyle w:val="MeasureTableHeading"/>
      </w:pPr>
    </w:p>
    <w:p>
      <w:pPr>
        <w:rPr>
          <w:lang w:val="en-US"/>
        </w:rPr>
      </w:pPr>
      <w:r>
        <w:rPr>
          <w:lang w:val="en-US"/>
        </w:rPr>
        <w:t>The natural resources benchmark includes immediate expensing</w:t>
      </w:r>
      <w:r>
        <w:rPr>
          <w:lang w:val="en-US"/>
        </w:rPr>
        <w:noBreakHyphen/>
      </w:r>
      <w:r>
        <w:rPr>
          <w:lang w:val="en-US"/>
        </w:rPr>
        <w:t/>
      </w:r>
      <w:r>
        <w:rPr>
          <w:lang w:val="en-US"/>
        </w:rPr>
        <w:noBreakHyphen/>
      </w:r>
      <w:r>
        <w:rPr>
          <w:lang w:val="en-US"/>
        </w:rPr>
        <w:t xml:space="preserve"/>
      </w:r>
    </w:p>
    <w:p>
      <w:pPr>
        <w:rPr>
          <w:rFonts w:ascii="Calibri" w:hAnsi="Calibri"/>
          <w:lang w:val="en-US"/>
        </w:rPr>
      </w:pPr>
      <w:r>
        <w:rPr>
          <w:lang w:val="en-US"/>
        </w:rPr>
        <w:t>Under the PRRT, expenditure that generates project losses is</w:t>
      </w:r>
      <w:r>
        <w:rPr>
          <w:lang w:val="en-US"/>
        </w:rPr>
        <w:noBreakHyphen/>
      </w:r>
      <w:r>
        <w:rPr>
          <w:lang w:val="en-US"/>
        </w:rPr>
        <w:t/>
      </w:r>
    </w:p>
    <w:p>
      <w:pPr>
        <w:pStyle w:val="Heading5"/>
      </w:pPr>
      <w:r>
        <w:lastRenderedPageBreak/>
        <w:t>G6</w:t>
      </w:r>
      <w:r>
        <w:tab/>
        <w:t>PRRT – gas transfer price regulations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7 August 2024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Petroleum Resource Rent Tax Assessment Regulations 2024</w:t>
            </w:r>
          </w:p>
        </w:tc>
      </w:tr>
    </w:tbl>
    <w:p>
      <w:pPr>
        <w:pStyle w:val="MeasureTableHeading"/>
      </w:pPr>
    </w:p>
    <w:p>
      <w:r>
        <w:t xml:space="preserve">The natural resources benchmark is a 40 per cent tax rate on</w:t>
      </w:r>
    </w:p>
    <w:p>
      <w:r>
        <w:t>The PRRT gas transfer price regulation stipulates rules for </w:t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Gas transfer price regulations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 xml:space="preserve">The regulations include provisions in the calculation of the</w:t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Petroleum Resource Rent Tax:Gas price transfer regulations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G7</w:t>
      </w:r>
      <w:r>
        <w:tab/>
        <w:t>PRRT – starting base and uplift rate for capital assets</w:t>
      </w:r>
    </w:p>
    <w:p>
      <w:pPr>
        <w:pStyle w:val="MeasureTableHeading"/>
      </w:pPr>
      <w:r>
        <w:t>Fuel and energy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Deduction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2012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Petroleum Resource Rent Tax Assessment Act 1987</w:t>
            </w:r>
          </w:p>
        </w:tc>
      </w:tr>
    </w:tbl>
    <w:p>
      <w:pPr>
        <w:pStyle w:val="MeasureTableHeading"/>
      </w:pPr>
    </w:p>
    <w:p>
      <w:r>
        <w:t>The natural resources benchmark includes immediate expensing</w:t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Petroleum Resource Rent Tax:Capital assets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r>
        <w:t>Existing investments of projects brought under the PRRT on 1</w:t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lastRenderedPageBreak/>
        <w:t>G8</w:t>
      </w:r>
      <w:r>
        <w:tab/>
        <w:t>Decommissioning levy for Laminaria</w:t>
      </w:r>
      <w:r>
        <w:t>-</w:t>
      </w:r>
      <w:r>
        <w:t>Corallina oil fields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-407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-360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-381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-360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nfp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nfp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nfp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nfp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Increased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G8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2021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Italic"/>
            </w:pPr>
            <w:r>
              <w:t>Offshore Petroleum (Laminaria and Corallina Decommissioning Cost Recovery Levy) Act 2022</w:t>
            </w:r>
          </w:p>
        </w:tc>
      </w:tr>
    </w:tbl>
    <w:p>
      <w:pPr>
        <w:pStyle w:val="MeasureTableHeading"/>
      </w:pPr>
    </w:p>
    <w:p>
      <w:r>
        <w:t xml:space="preserve">From 1 July 2021, registered holders of petroleum production</w:t>
      </w:r>
      <w:r>
        <w:rPr>
          <w:i/>
          <w:iCs/>
        </w:rPr>
        <w:t/>
      </w:r>
      <w:r>
        <w:t xml:space="preserve"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Petroleum Resource Rent Tax:Laminaria</w:instrText>
      </w:r>
      <w:r>
        <w:noBreakHyphen/>
      </w:r>
      <w:r>
        <w:instrText>Corallina oil fields</w:instrText>
      </w:r>
      <w:r>
        <w:instrText>”</w:instrText>
      </w:r>
      <w:r>
        <w:instrText xml:space="preserve"> The levy rate may be lower than 48 cents per barrel of oil equivalent if the Resources Minister makes a determination about the Commonwealth</w:instrText>
      </w:r>
      <w:r>
        <w:instrText>’</w:instrText>
      </w:r>
      <w:r>
        <w:instrText xml:space="preserve">s unrecovered decommissioning costs for that levy year. </w:instrText>
      </w:r>
      <w:r>
        <w:fldChar w:fldCharType="end"/>
      </w:r>
    </w:p>
    <w:p>
      <w:pPr>
        <w:pStyle w:val="Heading3"/>
      </w:pPr>
      <w:r>
        <w:t xml:space="preserve">Goods and </w:t>
      </w:r>
      <w:r>
        <w:t>Services</w:t>
      </w:r>
      <w:r>
        <w:t xml:space="preserve"> Tax</w:t>
      </w:r>
    </w:p>
    <w:p>
      <w:pPr>
        <w:pStyle w:val="Heading4"/>
      </w:pPr>
      <w:r>
        <w:t xml:space="preserve">Tax </w:t>
      </w:r>
      <w:r>
        <w:t>expenditures</w:t>
      </w:r>
      <w:r>
        <w:t xml:space="preserve"> for general public services</w:t>
      </w:r>
    </w:p>
    <w:p>
      <w:pPr>
        <w:pStyle w:val="Heading5"/>
      </w:pPr>
      <w:r>
        <w:t>H1</w:t>
      </w:r>
      <w:r>
        <w:tab/>
        <w:t>Financial supplies – financial acquisitions threshold – input tax credits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Financial and fiscal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11-15(4) and 189-5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 xml:space="preserve"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 Financial supplies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An entity does not exceed the financial acquisitions thresho</w:t>
      </w:r>
      <w:r>
        <w:fldChar w:fldCharType="begin"/>
      </w:r>
      <w:r>
        <w:instrText xml:space="preserve"> XE </w:instrText>
      </w:r>
      <w:r>
        <w:instrText>“</w:instrText>
      </w:r>
      <w:r>
        <w:instrText>Financial acquisitions threshold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5"/>
      </w:pPr>
      <w:r>
        <w:lastRenderedPageBreak/>
        <w:t>H2</w:t>
      </w:r>
      <w:r>
        <w:tab/>
        <w:t>Financial supplies – input taxed treatment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Financial and fiscal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2,950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3,350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3,650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3,800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3,950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4,150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4,350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40-A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 xml:space="preserve"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 Financial supplies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A negative tax expenditure arises where the financial supply</w:t>
      </w:r>
    </w:p>
    <w:p>
      <w:r>
        <w:t xml:space="preserve">Financial supplies are input taxed due to the difficulty in </w:t>
      </w:r>
    </w:p>
    <w:p>
      <w:pPr>
        <w:pStyle w:val="Heading5"/>
      </w:pPr>
      <w:r>
        <w:t>H3</w:t>
      </w:r>
      <w:r>
        <w:tab/>
        <w:t>Financial supplies – reduced input tax credits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Financial and fiscal affairs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750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1,000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1,050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1,100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70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t/>
      </w:r>
      <w:r>
        <w:t/>
      </w:r>
      <w:r>
        <w:t/>
      </w:r>
      <w:r>
        <w:t xml:space="preserve"/>
      </w:r>
    </w:p>
    <w:p>
      <w:r>
        <w:lastRenderedPageBreak/>
        <w:t xml:space="preserve">Reduced input tax credits are designed to reduce the bias be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 Financial supplies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H4</w:t>
      </w:r>
      <w:r>
        <w:tab/>
        <w:t>Charities and non</w:t>
      </w:r>
      <w:r>
        <w:t>-</w:t>
      </w:r>
      <w:r>
        <w:t>profit bodies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General services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23-15 and Subdivision 38-G of the </w:t>
            </w:r>
            <w:r>
              <w:rPr>
                <w:i/>
                <w:iCs/>
              </w:rPr>
              <w:t xml:space="preserve">A New Tax System (Goods and Services Tax) Act 1999 </w:t>
            </w:r>
            <w:r>
              <w:t xml:space="preserve">and Regulation 23-15.02 of the A New Tax System (Goods and Services Tax) Regulations </w:t>
            </w:r>
          </w:p>
        </w:tc>
      </w:tr>
    </w:tbl>
    <w:p>
      <w:pPr>
        <w:pStyle w:val="MeasureTableHeading"/>
      </w:pPr>
    </w:p>
    <w:p>
      <w:r>
        <w:t xml:space="preserve">Broadly, the benchmark tax treatment is that GST applies at </w:t>
      </w:r>
      <w:r>
        <w:fldChar w:fldCharType="begin"/>
      </w:r>
      <w:r>
        <w:instrText xml:space="preserve"> XE </w:instrText>
      </w:r>
      <w:r>
        <w:instrText>“</w:instrText>
      </w:r>
      <w:r>
        <w:instrText>Charitable institutions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Deductible gift recipients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Tax:Registration threshold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H5</w:t>
      </w:r>
      <w:r>
        <w:t xml:space="preserve"> </w:t>
      </w:r>
      <w:r>
        <w:t>Child care services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1,820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1,950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2,230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2,440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2,570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2,660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2,810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2,920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 xml:space="preserve">Medium </w:t>
            </w:r>
            <w:r>
              <w:t>–</w:t>
            </w:r>
            <w:r>
              <w:t xml:space="preserve"> 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38-D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Child care:GST</w:instrText>
      </w:r>
      <w:r>
        <w:noBreakHyphen/>
      </w:r>
      <w:r>
        <w:instrText>free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 Child care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H6</w:t>
      </w:r>
      <w:r>
        <w:tab/>
        <w:t>Water, sewerage and drainage</w:t>
      </w:r>
    </w:p>
    <w:p>
      <w:pPr>
        <w:pStyle w:val="MeasureTableHeading"/>
      </w:pPr>
      <w:r>
        <w:t>Housing and community amenities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1,110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1,160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1,330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1,380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1,480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1,540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38-I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Tax:Water, sewerage and drainage supplies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t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4"/>
      </w:pPr>
      <w:r>
        <w:t>International tax expenditures</w:t>
      </w:r>
    </w:p>
    <w:p>
      <w:pPr>
        <w:pStyle w:val="Heading5"/>
      </w:pPr>
      <w:r>
        <w:t>H7</w:t>
      </w:r>
      <w:r>
        <w:tab/>
      </w:r>
      <w:r>
        <w:t>Diplomats, diplomatic missions and approved international organisations</w:t>
      </w:r>
    </w:p>
    <w:p>
      <w:pPr>
        <w:pStyle w:val="MeasureTableHeading"/>
      </w:pPr>
      <w:r>
        <w:t>General public services</w:t>
      </w:r>
      <w:r>
        <w:t xml:space="preserve"> – </w:t>
      </w:r>
      <w:r>
        <w:t>Foreign affairs and economic aid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High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>Section 10B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Diplomatic Privileges and Immunities Act 1967</w:t>
            </w:r>
          </w:p>
          <w:p>
            <w:pPr>
              <w:pStyle w:val="MeasureTableTextLeftAligned"/>
              <w:rPr>
                <w:i/>
                <w:iCs/>
              </w:rPr>
            </w:pPr>
            <w:r>
              <w:t xml:space="preserve">Section 10A of the </w:t>
            </w:r>
            <w:r>
              <w:rPr>
                <w:i/>
                <w:iCs/>
              </w:rPr>
              <w:t>Consular Privileges and Immunities Act 1972</w:t>
            </w:r>
          </w:p>
          <w:p>
            <w:pPr>
              <w:pStyle w:val="MeasureTableTextLeftAligned"/>
            </w:pPr>
            <w:r>
              <w:t xml:space="preserve">Section 11C of the </w:t>
            </w:r>
            <w:r>
              <w:rPr>
                <w:i/>
                <w:iCs/>
              </w:rPr>
              <w:t>International Organisations (Privileges and Immunities)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1963</w:t>
            </w:r>
          </w:p>
        </w:tc>
      </w:tr>
    </w:tbl>
    <w:p>
      <w:pPr>
        <w:pStyle w:val="MeasureTableHeading"/>
      </w:pPr>
    </w:p>
    <w:p>
      <w:pPr>
        <w:rPr>
          <w:rFonts w:cs="Book Antiqua"/>
        </w:rPr>
      </w:pPr>
      <w:r>
        <w:t>The benchmark tax treatment is that GST applies at the rate </w:t>
      </w:r>
      <w:r>
        <w:rPr>
          <w:rFonts w:cs="Book Antiqua"/>
        </w:rP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Tax:Diplomatic missions</w:instrText>
      </w:r>
      <w:r>
        <w:instrText>”</w:instrText>
      </w:r>
      <w:r>
        <w:instrText xml:space="preserve"> </w:instrText>
      </w:r>
      <w:r>
        <w:fldChar w:fldCharType="end"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</w:rPr>
        <w:t xml:space="preserve"/>
      </w:r>
      <w:r>
        <w:rPr>
          <w:rFonts w:cs="Book Antiqua"/>
          <w:i/>
        </w:rPr>
        <w:t/>
      </w:r>
      <w:r>
        <w:rPr>
          <w:rFonts w:cs="Book Antiqua"/>
          <w:i/>
        </w:rPr>
        <w:t/>
      </w:r>
      <w:r>
        <w:rPr>
          <w:rFonts w:cs="Book Antiqua"/>
          <w:i/>
        </w:rPr>
        <w:t/>
      </w:r>
      <w:r>
        <w:rPr>
          <w:rFonts w:cs="Book Antiqua"/>
        </w:rPr>
        <w:t/>
      </w:r>
    </w:p>
    <w:p>
      <w:pPr>
        <w:pStyle w:val="Heading5"/>
      </w:pPr>
      <w:r>
        <w:lastRenderedPageBreak/>
        <w:t>H8</w:t>
      </w:r>
      <w:r>
        <w:tab/>
        <w:t>Global roaming by visitors to Australia</w:t>
      </w:r>
    </w:p>
    <w:p>
      <w:pPr>
        <w:pStyle w:val="MeasureTableHeading"/>
      </w:pPr>
      <w:r>
        <w:t>Transport and communication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38-570 of the </w:t>
            </w:r>
            <w:r>
              <w:rPr>
                <w:rFonts w:cs="Arial"/>
                <w:i/>
                <w:szCs w:val="16"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pPr>
        <w:rPr>
          <w:rFonts w:cs="Calibri"/>
        </w:rPr>
      </w:pPr>
      <w:r>
        <w:t xml:space="preserve">The benchmark tax treatment is that GST applies at the rate </w:t>
      </w:r>
      <w:r>
        <w:rPr>
          <w:rFonts w:cs="Calibri"/>
        </w:rP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 Telecommunications global roaming</w:instrText>
      </w:r>
      <w:r>
        <w:instrText>”</w:instrText>
      </w:r>
      <w:r>
        <w:instrText xml:space="preserve"> </w:instrText>
      </w:r>
      <w:r>
        <w:fldChar w:fldCharType="end"/>
      </w:r>
      <w:r>
        <w:rPr>
          <w:rFonts w:cs="Calibri"/>
        </w:rPr>
        <w:t xml:space="preserve"/>
      </w:r>
      <w:r>
        <w:rPr>
          <w:rFonts w:cs="Calibri"/>
        </w:rPr>
        <w:noBreakHyphen/>
      </w:r>
      <w:r>
        <w:rPr>
          <w:rFonts w:cs="Calibri"/>
        </w:rPr>
        <w:t/>
      </w:r>
      <w:r>
        <w:rPr>
          <w:rFonts w:cs="Calibri"/>
        </w:rPr>
        <w:t/>
      </w:r>
      <w:r>
        <w:rPr>
          <w:rFonts w:cs="Calibri"/>
        </w:rPr>
        <w:t/>
      </w:r>
    </w:p>
    <w:p>
      <w:pPr>
        <w:pStyle w:val="Heading5"/>
      </w:pPr>
      <w:r>
        <w:t>H9</w:t>
      </w:r>
      <w:r>
        <w:tab/>
        <w:t>Tourist refund scheme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Tourism and area promotion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180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325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335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Division 168 of the </w:t>
            </w:r>
            <w:r>
              <w:rPr>
                <w:i/>
                <w:iCs/>
              </w:rPr>
              <w:t>A New Tax System (Goods and Services Tax) Act 1999</w:t>
            </w:r>
          </w:p>
          <w:p>
            <w:pPr>
              <w:pStyle w:val="MeasureTableTextLeftAligned"/>
            </w:pPr>
            <w:r>
              <w:t xml:space="preserve">Division 25 of the </w:t>
            </w:r>
            <w:r>
              <w:rPr>
                <w:i/>
                <w:iCs/>
              </w:rPr>
              <w:t>A New Tax System (Wine Equalisation Tax) Act 1999</w:t>
            </w:r>
          </w:p>
        </w:tc>
      </w:tr>
    </w:tbl>
    <w:p>
      <w:pPr>
        <w:pStyle w:val="MeasureTableHeading"/>
      </w:pPr>
    </w:p>
    <w:p>
      <w:r>
        <w:t xml:space="preserve">The benchmark tax treatment is that GST applies at the rate </w:t>
      </w:r>
      <w:r>
        <w:rPr>
          <w:rFonts w:cs="Segoe UI"/>
          <w:shd w:val="clear" w:color="auto" w:fill="FFFFFF"/>
        </w:rPr>
        <w:t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Tourism businesses</w:instrText>
      </w:r>
      <w:r>
        <w:instrText>”</w:instrText>
      </w:r>
      <w:r>
        <w:instrText xml:space="preserve"> </w:instrText>
      </w:r>
      <w:r>
        <w:fldChar w:fldCharType="end"/>
      </w:r>
    </w:p>
    <w:p>
      <w:r>
        <w:t>In addition, residents of Australia’s external territories, </w:t>
      </w:r>
      <w:r>
        <w:t/>
      </w:r>
      <w:r>
        <w:t/>
      </w:r>
    </w:p>
    <w:p>
      <w:pPr>
        <w:pStyle w:val="Heading5"/>
      </w:pPr>
      <w:r>
        <w:lastRenderedPageBreak/>
        <w:t>H10</w:t>
      </w:r>
      <w:r>
        <w:tab/>
        <w:t>Boats for export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2011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Item 4A of section 38-185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Tax:Boats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</w:p>
    <w:p>
      <w:pPr>
        <w:pStyle w:val="Heading5"/>
      </w:pPr>
      <w:r>
        <w:t>H11</w:t>
      </w:r>
      <w:r>
        <w:tab/>
        <w:t>Tourism – domestic travel as part of an international arrangement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2+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38-355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  <w:rPr>
          <w:rFonts w:eastAsia="Calibri"/>
        </w:rPr>
      </w:pPr>
    </w:p>
    <w:p>
      <w:pPr>
        <w:rPr>
          <w:rFonts w:eastAsia="Calibri"/>
          <w:lang w:eastAsia="en-US"/>
        </w:rPr>
      </w:pPr>
      <w:r>
        <w:t>The benchmark tax treatment is that GST applies at the rate 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Tax:Tourism</w:instrText>
      </w:r>
      <w:r>
        <w:instrText>”</w:instrText>
      </w:r>
      <w:r>
        <w:instrText xml:space="preserve"> </w:instrText>
      </w:r>
      <w:r>
        <w:fldChar w:fldCharType="end"/>
      </w:r>
      <w:r>
        <w:rPr>
          <w:rFonts w:eastAsia="Calibri"/>
          <w:lang w:eastAsia="en-US"/>
        </w:rPr>
        <w:fldChar w:fldCharType="begin"/>
      </w:r>
      <w:r>
        <w:instrText xml:space="preserve"> XE </w:instrText>
      </w:r>
      <w:r>
        <w:instrText>“</w:instrText>
      </w:r>
      <w:r>
        <w:instrText xml:space="preserve"> Goods and Services Tax:Tourism</w:instrText>
      </w:r>
      <w:r>
        <w:instrText>”</w:instrText>
      </w:r>
      <w:r>
        <w:instrText xml:space="preserve"> </w:instrText>
      </w:r>
      <w:r>
        <w:rPr>
          <w:rFonts w:eastAsia="Calibri"/>
          <w:lang w:eastAsia="en-US"/>
        </w:rPr>
        <w:fldChar w:fldCharType="end"/>
      </w:r>
    </w:p>
    <w:p>
      <w:pPr>
        <w:pStyle w:val="Heading5"/>
      </w:pPr>
      <w:r>
        <w:t>H12</w:t>
      </w:r>
      <w:r>
        <w:tab/>
        <w:t>Tourism – inwards duty free</w:t>
      </w:r>
      <w:r>
        <w:t xml:space="preserve"> for goods subject to GST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Exemption, 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38-415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 xml:space="preserve">The benchmark tax treatment is that GST applies at the rate </w:t>
      </w:r>
      <w:r>
        <w:lastRenderedPageBreak/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Duty free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Tax:Tourism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H13</w:t>
      </w:r>
      <w:r>
        <w:tab/>
        <w:t>Tourism – travel agents arranging overseas travel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515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455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470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485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38-360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noBreakHyphen/>
      </w:r>
      <w: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Tax:Travel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</w:p>
    <w:p>
      <w:pPr>
        <w:pStyle w:val="Heading4"/>
      </w:pPr>
      <w:r>
        <w:t>Tax expenditures for education</w:t>
      </w:r>
    </w:p>
    <w:p>
      <w:pPr>
        <w:pStyle w:val="Heading5"/>
      </w:pPr>
      <w:r>
        <w:t>H14</w:t>
      </w:r>
      <w:r>
        <w:tab/>
        <w:t>Education</w:t>
      </w:r>
    </w:p>
    <w:p>
      <w:pPr>
        <w:pStyle w:val="MeasureTableHeading"/>
      </w:pPr>
      <w:r>
        <w:t>Education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3,250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3,550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4,150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4,450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4,750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5,100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5,450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38-C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Education:Supplies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Tax:Education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lastRenderedPageBreak/>
        <w:t>Tax expenditures for health</w:t>
      </w:r>
    </w:p>
    <w:p>
      <w:pPr>
        <w:pStyle w:val="Heading5"/>
      </w:pPr>
      <w:r>
        <w:t>H15</w:t>
      </w:r>
      <w:r>
        <w:tab/>
        <w:t>Health – drugs and medicinal preparations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670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460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540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570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650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38-50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Medicines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 xml:space="preserve"/>
      </w:r>
    </w:p>
    <w:p>
      <w:pPr>
        <w:pStyle w:val="Heading5"/>
      </w:pPr>
      <w:r>
        <w:t>H16</w:t>
      </w:r>
      <w:r>
        <w:tab/>
        <w:t>Health – medical aids and appliances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255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275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295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315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340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360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385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i/>
                <w:iCs/>
              </w:rPr>
            </w:pPr>
            <w:r>
              <w:t xml:space="preserve">Sections 38-38, 38-45, 38-47 and Subdivision 38-P of the </w:t>
            </w:r>
            <w:r>
              <w:rPr>
                <w:i/>
                <w:iCs/>
              </w:rPr>
              <w:t>A New Tax System (Goods and Services Tax) Act 1999</w:t>
            </w:r>
          </w:p>
          <w:p>
            <w:pPr>
              <w:pStyle w:val="MeasureTableTextLeftAligned"/>
            </w:pPr>
            <w:r>
              <w:t xml:space="preserve">Subdivision 38-B of the </w:t>
            </w:r>
            <w:r>
              <w:rPr>
                <w:i/>
                <w:iCs/>
              </w:rPr>
              <w:t>A New Tax System (Goods and Services Tax) Regulation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2019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Medical aid or appliance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 xml:space="preserve"/>
      </w:r>
      <w:r>
        <w:rPr>
          <w:i/>
        </w:rPr>
        <w:t/>
      </w:r>
      <w:r>
        <w:t/>
      </w:r>
    </w:p>
    <w:p>
      <w:r>
        <w:t>The supply of cars for use by disabled persons, spare parts </w:t>
      </w:r>
      <w:r>
        <w:noBreakHyphen/>
      </w:r>
      <w:r>
        <w:t/>
      </w:r>
      <w:r>
        <w:noBreakHyphen/>
      </w:r>
      <w:r>
        <w:t xml:space="preserve"/>
      </w:r>
      <w:r>
        <w:rPr>
          <w:i/>
        </w:rPr>
        <w:t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Tax:Health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lastRenderedPageBreak/>
        <w:t>H17</w:t>
      </w:r>
      <w:r>
        <w:tab/>
        <w:t>Health – medical and health services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4,600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5,400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5,850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6,300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6,750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7,200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7,700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8,200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H17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Sections 38-7, 38-10, 38-15, 38-20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Medical services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 xml:space="preserve"/>
      </w:r>
    </w:p>
    <w:p>
      <w:r>
        <w:t xml:space="preserve">Further, the supply of a prescribed ‘other health service’ w</w:t>
      </w:r>
      <w:r>
        <w:t/>
      </w:r>
      <w:r>
        <w:t/>
      </w:r>
      <w:r>
        <w:t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r>
        <w:t xml:space="preserve">Further, the supply of a prescribed ‘other health service’ w</w:t>
      </w:r>
      <w:r>
        <w:t/>
      </w:r>
      <w:r>
        <w:t/>
      </w:r>
      <w:r>
        <w:t/>
      </w:r>
      <w:r>
        <w:t xml:space="preserve"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H18</w:t>
      </w:r>
      <w:r>
        <w:tab/>
      </w:r>
      <w:r>
        <w:t>Health – residential care, community care and other care services</w:t>
      </w:r>
      <w:r>
        <w:t>.</w:t>
      </w:r>
    </w:p>
    <w:p>
      <w:pPr>
        <w:pStyle w:val="MeasureTableHeading"/>
      </w:pPr>
      <w:r>
        <w:t>Health ($m)</w:t>
      </w:r>
    </w:p>
    <w:tbl>
      <w:tblPr>
        <w:tblW w:w="0" w:type="auto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7"/>
        <w:gridCol w:w="967"/>
        <w:gridCol w:w="967"/>
        <w:gridCol w:w="967"/>
        <w:gridCol w:w="967"/>
        <w:gridCol w:w="278"/>
        <w:gridCol w:w="689"/>
        <w:gridCol w:w="811"/>
        <w:gridCol w:w="156"/>
        <w:gridCol w:w="968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1,370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1,450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1,570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1,690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1,810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1,930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2,060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2,200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H18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Sections 38-25, 38-30, 38-35, 38-38 of the 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noBreakHyphen/>
      </w:r>
      <w:r>
        <w:t xml:space="preserve"/>
      </w:r>
      <w:r>
        <w:rPr>
          <w:i/>
          <w:iCs/>
        </w:rPr>
        <w:t/>
      </w:r>
      <w:r>
        <w:t xml:space="preserve"/>
      </w:r>
      <w:r>
        <w:rPr>
          <w:i/>
          <w:iCs/>
        </w:rPr>
        <w:t/>
      </w:r>
      <w:r>
        <w:t xml:space="preserve"/>
      </w:r>
      <w:r>
        <w:noBreakHyphen/>
      </w:r>
      <w:r>
        <w:t/>
      </w:r>
      <w:r>
        <w:t xml:space="preserve"/>
      </w:r>
    </w:p>
    <w:p>
      <w:pPr>
        <w:pStyle w:val="Heading5"/>
      </w:pPr>
      <w:r>
        <w:lastRenderedPageBreak/>
        <w:t>H1</w:t>
      </w:r>
      <w:r>
        <w:t>9</w:t>
      </w:r>
      <w:r>
        <w:tab/>
      </w:r>
      <w:r>
        <w:t>Private health insurance</w:t>
      </w:r>
    </w:p>
    <w:p>
      <w:pPr>
        <w:pStyle w:val="MeasureTableHeading"/>
      </w:pPr>
      <w:r>
        <w:t>Health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470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510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490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510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530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540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560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H19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38-55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Private health insurance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i/>
        </w:rPr>
        <w:t/>
      </w:r>
      <w:r>
        <w:t/>
      </w:r>
      <w:r>
        <w:noBreakHyphen/>
      </w:r>
      <w:r>
        <w:t xml:space="preserve"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Tax:Health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4"/>
      </w:pPr>
      <w:r>
        <w:t>Tax concessions for certain taxpayers</w:t>
      </w:r>
    </w:p>
    <w:p>
      <w:pPr>
        <w:pStyle w:val="Heading5"/>
      </w:pPr>
      <w:r>
        <w:t>H20</w:t>
      </w:r>
      <w:r>
        <w:tab/>
        <w:t>Religious services</w:t>
      </w:r>
    </w:p>
    <w:p>
      <w:pPr>
        <w:pStyle w:val="MeasureTableHeading"/>
      </w:pPr>
      <w:r>
        <w:t>Recreation and culture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Low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Section 38-220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Religious services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5"/>
      </w:pPr>
      <w:r>
        <w:t>H21</w:t>
      </w:r>
      <w:r>
        <w:tab/>
        <w:t>Supplies of farm land</w:t>
      </w:r>
    </w:p>
    <w:p>
      <w:pPr>
        <w:pStyle w:val="MeasureTableHeading"/>
      </w:pPr>
      <w:r>
        <w:t>Agriculture, forestry and fishing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H21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38-O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Supplies of farm land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Tax:Farm land</w:instrText>
      </w:r>
      <w:r>
        <w:instrText>”</w:instrText>
      </w:r>
      <w:r>
        <w:instrText xml:space="preserve"> </w:instrText>
      </w:r>
      <w:r>
        <w:fldChar w:fldCharType="end"/>
      </w:r>
      <w:r>
        <w:t/>
      </w:r>
    </w:p>
    <w:p>
      <w:pPr>
        <w:pStyle w:val="Heading5"/>
      </w:pPr>
      <w:r>
        <w:lastRenderedPageBreak/>
        <w:t>H22</w:t>
      </w:r>
      <w:r>
        <w:tab/>
        <w:t>Registration thresholds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H22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3+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  <w:rPr>
                <w:rFonts w:cs="Arial"/>
                <w:i/>
                <w:szCs w:val="16"/>
              </w:rPr>
            </w:pPr>
            <w:r>
              <w:t xml:space="preserve">Section 23-15 and Part 4-5 of the </w:t>
            </w:r>
            <w:r>
              <w:rPr>
                <w:i/>
                <w:iCs/>
              </w:rPr>
              <w:t>A New Tax System (Goods and Services Tax) Act</w:t>
            </w:r>
            <w:r>
              <w:rPr>
                <w:i/>
                <w:iCs/>
              </w:rPr>
              <w:t> </w:t>
            </w:r>
            <w:r>
              <w:rPr>
                <w:i/>
                <w:iCs/>
              </w:rPr>
              <w:t>1999</w:t>
            </w:r>
          </w:p>
          <w:p>
            <w:pPr>
              <w:pStyle w:val="MeasureTableTextLeftAligned"/>
            </w:pPr>
            <w:r>
              <w:t>Regulations 23-15.01 and 23-15.02 of the</w:t>
            </w:r>
            <w:r>
              <w:rPr>
                <w:rFonts w:cs="Arial"/>
                <w:i/>
                <w:szCs w:val="16"/>
              </w:rPr>
              <w:t xml:space="preserve"> </w:t>
            </w:r>
            <w:r>
              <w:rPr>
                <w:i/>
                <w:iCs/>
              </w:rPr>
              <w:t>A New Tax System (Goods and Services Tax) Regulation 2019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Tax:Registration threshold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5"/>
      </w:pPr>
      <w:r>
        <w:t>H23</w:t>
      </w:r>
      <w:r>
        <w:tab/>
        <w:t>Simplified accounting methods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16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Concessional rate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H23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Division 123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Tax:Simplified accounting methods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rPr>
          <w:rFonts w:ascii="Arial" w:hAnsi="Arial" w:cs="Arial"/>
          <w:b/>
          <w:bCs/>
        </w:rPr>
        <w:t xml:space="preserve"/>
      </w:r>
      <w:r>
        <w:t/>
      </w:r>
      <w:r>
        <w:noBreakHyphen/>
      </w:r>
      <w:r>
        <w:t/>
      </w:r>
    </w:p>
    <w:p>
      <w:r>
        <w:t xml:space="preserve">While SAMs are designed to reduce compliance costs rather th</w:t>
      </w:r>
    </w:p>
    <w:p>
      <w:pPr>
        <w:pStyle w:val="Heading4"/>
      </w:pPr>
      <w:r>
        <w:lastRenderedPageBreak/>
        <w:t>Tax expenditures for manufacturing and mining</w:t>
      </w:r>
    </w:p>
    <w:p>
      <w:pPr>
        <w:pStyle w:val="Heading5"/>
      </w:pPr>
      <w:r>
        <w:t>H24</w:t>
      </w:r>
      <w:r>
        <w:tab/>
        <w:t>Precious metal</w:t>
      </w:r>
    </w:p>
    <w:p>
      <w:pPr>
        <w:pStyle w:val="MeasureTableHeading"/>
      </w:pPr>
      <w:r>
        <w:t>Mining, manufacturing and construction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*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H24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Not Applicable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* Category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NA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38-L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Supply of a precious metal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Heading4"/>
      </w:pPr>
      <w:r>
        <w:t>Tax expenditures for other economic affairs</w:t>
      </w:r>
    </w:p>
    <w:p>
      <w:pPr>
        <w:pStyle w:val="Heading5"/>
      </w:pPr>
      <w:r>
        <w:t>H25</w:t>
      </w:r>
      <w:r>
        <w:tab/>
        <w:t>Food</w:t>
      </w:r>
    </w:p>
    <w:p>
      <w:pPr>
        <w:pStyle w:val="MeasureTableHeading"/>
      </w:pPr>
      <w:r>
        <w:t>Other economic affairs</w:t>
      </w:r>
      <w:r>
        <w:t xml:space="preserve"> – </w:t>
      </w:r>
      <w:r>
        <w:t>Other economic affairs, nec ($m)</w:t>
      </w:r>
    </w:p>
    <w:tbl>
      <w:tblPr>
        <w:tblW w:w="5000" w:type="pct"/>
        <w:jc w:val="center"/>
        <w:tblBorders>
          <w:top w:val="single" w:sz="2" w:space="0" w:color="auto"/>
          <w:bottom w:val="single" w:sz="2" w:space="0" w:color="auto"/>
          <w:insideH w:val="single" w:sz="2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963"/>
        <w:gridCol w:w="964"/>
        <w:gridCol w:w="964"/>
        <w:gridCol w:w="964"/>
        <w:gridCol w:w="964"/>
        <w:gridCol w:w="277"/>
        <w:gridCol w:w="687"/>
        <w:gridCol w:w="808"/>
        <w:gridCol w:w="155"/>
        <w:gridCol w:w="965"/>
      </w:tblGrid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2021-22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2022-23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2023-24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2024-25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2025-26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2026-27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2027-28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2028-29</w:t>
            </w:r>
          </w:p>
        </w:tc>
      </w:tr>
      <w:tr>
        <w:trPr>
          <w:cantSplit/>
          <w:jc w:val="center"/>
        </w:trPr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8,200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MeasureTableTextRightAligned"/>
            </w:pPr>
            <w:r>
              <w:t>8,700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9,100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9,500</w:t>
            </w:r>
          </w:p>
        </w:tc>
        <w:tc>
          <w:tcPr>
            <w:tcW w:w="967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9,900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10,300</w:t>
            </w:r>
          </w:p>
        </w:tc>
        <w:tc>
          <w:tcPr>
            <w:tcW w:w="9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10,700</w:t>
            </w:r>
          </w:p>
        </w:tc>
        <w:tc>
          <w:tcPr>
            <w:tcW w:w="968" w:type="dxa"/>
            <w:tcBorders>
              <w:top w:val="single" w:sz="2" w:space="0" w:color="auto"/>
              <w:bottom w:val="single" w:sz="2" w:space="0" w:color="auto"/>
            </w:tcBorders>
            <w:vAlign w:val="bottom"/>
          </w:tcPr>
          <w:p>
            <w:pPr>
              <w:pStyle w:val="MeasureTableTextRightAligned"/>
            </w:pPr>
            <w:r>
              <w:t>11,200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Tax expenditure type:</w:t>
            </w:r>
          </w:p>
        </w:tc>
        <w:tc>
          <w:tcPr>
            <w:tcW w:w="3179" w:type="dxa"/>
            <w:gridSpan w:val="4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Exemption</w:t>
            </w:r>
          </w:p>
        </w:tc>
        <w:tc>
          <w:tcPr>
            <w:tcW w:w="1500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Italic"/>
            </w:pPr>
            <w:r>
              <w:t>2024-25 code</w:t>
            </w:r>
            <w:r>
              <w:t>:</w:t>
            </w:r>
          </w:p>
        </w:tc>
        <w:tc>
          <w:tcPr>
            <w:tcW w:w="1124" w:type="dxa"/>
            <w:gridSpan w:val="2"/>
            <w:tcBorders>
              <w:top w:val="single" w:sz="2" w:space="0" w:color="auto"/>
              <w:bottom w:val="nil"/>
            </w:tcBorders>
          </w:tcPr>
          <w:p>
            <w:pPr>
              <w:pStyle w:val="MeasureTableTextLeftAligned"/>
            </w:pPr>
            <w:r>
              <w:t>H25</w:t>
            </w: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Estimate Reliability: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Medium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Commencement date:</w:t>
            </w:r>
          </w:p>
        </w:tc>
        <w:tc>
          <w:tcPr>
            <w:tcW w:w="3179" w:type="dxa"/>
            <w:gridSpan w:val="4"/>
            <w:tcBorders>
              <w:top w:val="nil"/>
              <w:bottom w:val="nil"/>
            </w:tcBorders>
          </w:tcPr>
          <w:p>
            <w:pPr>
              <w:pStyle w:val="MeasureTableTextLeftAligned"/>
            </w:pPr>
            <w:r>
              <w:t>1 July 2000</w:t>
            </w:r>
          </w:p>
        </w:tc>
        <w:tc>
          <w:tcPr>
            <w:tcW w:w="1500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Italic"/>
            </w:pPr>
            <w:r>
              <w:t>Expiry date:</w:t>
            </w:r>
          </w:p>
        </w:tc>
        <w:tc>
          <w:tcPr>
            <w:tcW w:w="1124" w:type="dxa"/>
            <w:gridSpan w:val="2"/>
            <w:tcBorders>
              <w:top w:val="nil"/>
              <w:bottom w:val="nil"/>
            </w:tcBorders>
          </w:tcPr>
          <w:p>
            <w:pPr>
              <w:pStyle w:val="MeasureTableTextLeftAligned"/>
            </w:pPr>
          </w:p>
        </w:tc>
      </w:tr>
      <w:tr>
        <w:trPr>
          <w:cantSplit/>
          <w:jc w:val="center"/>
        </w:trPr>
        <w:tc>
          <w:tcPr>
            <w:tcW w:w="1934" w:type="dxa"/>
            <w:gridSpan w:val="2"/>
            <w:tcBorders>
              <w:top w:val="nil"/>
            </w:tcBorders>
          </w:tcPr>
          <w:p>
            <w:pPr>
              <w:pStyle w:val="MeasureTableTextItalic"/>
            </w:pPr>
            <w:r>
              <w:t>Legislative reference:</w:t>
            </w:r>
          </w:p>
        </w:tc>
        <w:tc>
          <w:tcPr>
            <w:tcW w:w="5803" w:type="dxa"/>
            <w:gridSpan w:val="8"/>
            <w:tcBorders>
              <w:top w:val="nil"/>
            </w:tcBorders>
          </w:tcPr>
          <w:p>
            <w:pPr>
              <w:pStyle w:val="MeasureTableTextLeftAligned"/>
            </w:pPr>
            <w:r>
              <w:t xml:space="preserve">Subdivision 38-A of the </w:t>
            </w:r>
            <w:r>
              <w:rPr>
                <w:i/>
                <w:iCs/>
              </w:rPr>
              <w:t>A New Tax System (Goods and Services Tax) Act 1999</w:t>
            </w:r>
          </w:p>
        </w:tc>
      </w:tr>
    </w:tbl>
    <w:p>
      <w:pPr>
        <w:pStyle w:val="MeasureTableHeading"/>
      </w:pPr>
    </w:p>
    <w:p>
      <w:r>
        <w:t>The benchmark tax treatment is that GST applies at the rate </w:t>
      </w:r>
      <w:r>
        <w:fldChar w:fldCharType="begin"/>
      </w:r>
      <w:r>
        <w:instrText xml:space="preserve"> XE </w:instrText>
      </w:r>
      <w:r>
        <w:instrText>“</w:instrText>
      </w:r>
      <w:r>
        <w:instrText>Food</w:instrText>
      </w:r>
      <w:r>
        <w:instrText>”</w:instrText>
      </w:r>
      <w:r>
        <w:instrText xml:space="preserve"> </w:instrText>
      </w:r>
      <w:r>
        <w:fldChar w:fldCharType="end"/>
      </w:r>
      <w:r>
        <w:t xml:space="preserve"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fldChar w:fldCharType="begin"/>
      </w:r>
      <w:r>
        <w:instrText xml:space="preserve"> XE </w:instrText>
      </w:r>
      <w:r>
        <w:instrText>“</w:instrText>
      </w:r>
      <w:r>
        <w:instrText>Goods and Services Tax:Food</w:instrText>
      </w:r>
      <w:r>
        <w:instrText>”</w:instrText>
      </w:r>
      <w:r>
        <w:instrText xml:space="preserve"> </w:instrText>
      </w:r>
      <w:r>
        <w:fldChar w:fldCharType="end"/>
      </w:r>
    </w:p>
    <w:p>
      <w:pPr>
        <w:pStyle w:val="Heading2-notnumbered"/>
      </w:pPr>
      <w:bookmarkStart w:id="80" w:name="_Toc184287666"/>
      <w:bookmarkStart w:id="81" w:name="_Toc215139605"/>
      <w:r>
        <w:lastRenderedPageBreak/>
        <w:t>A.2Benchmarks</w:t>
      </w:r>
      <w:r>
        <w:tab/>
        <w:t/>
      </w:r>
      <w:bookmarkEnd w:id="80"/>
      <w:bookmarkEnd w:id="81"/>
    </w:p>
    <w:p>
      <w:pPr>
        <w:spacing w:after="190"/>
      </w:pPr>
      <w:r>
        <w:t>Benchmarks represent a standard taxation treatment that appl</w:t>
      </w:r>
    </w:p>
    <w:p>
      <w:pPr>
        <w:spacing w:after="190"/>
      </w:pPr>
      <w:r>
        <w:t xml:space="preserve">Determining benchmarks involves judgment. Consequently, the </w:t>
      </w:r>
    </w:p>
    <w:p>
      <w:pPr>
        <w:spacing w:after="190"/>
      </w:pPr>
      <w:r>
        <w:t>Broadly, benchmarks comprise the following elements:</w:t>
      </w:r>
    </w:p>
    <w:p>
      <w:pPr>
        <w:pStyle w:val="Bullet"/>
        <w:spacing w:after="190"/>
      </w:pPr>
      <w:r>
        <w:t>the tax base – the activities or transactions subject to the</w:t>
      </w:r>
    </w:p>
    <w:p>
      <w:pPr>
        <w:pStyle w:val="Bullet"/>
        <w:spacing w:after="190"/>
      </w:pPr>
      <w:r>
        <w:t>the tax rate – the rate of tax that applies to the base</w:t>
      </w:r>
    </w:p>
    <w:p>
      <w:pPr>
        <w:pStyle w:val="Bullet"/>
        <w:spacing w:after="190"/>
      </w:pPr>
      <w:r>
        <w:t>the tax unit – the entity liable to pay the tax</w:t>
      </w:r>
    </w:p>
    <w:p>
      <w:pPr>
        <w:pStyle w:val="Bullet"/>
        <w:spacing w:after="190"/>
      </w:pPr>
      <w:r>
        <w:t>the tax period – the period in which the activities or trans</w:t>
      </w:r>
    </w:p>
    <w:p>
      <w:pPr>
        <w:pStyle w:val="Heading3"/>
        <w:spacing w:after="190"/>
      </w:pPr>
      <w:bookmarkStart w:id="82" w:name="_Toc126935245"/>
      <w:bookmarkStart w:id="83" w:name="_Toc126937426"/>
      <w:bookmarkStart w:id="84" w:name="_Toc127197673"/>
      <w:bookmarkStart w:id="85" w:name="_Toc127454005"/>
      <w:bookmarkStart w:id="86" w:name="_Toc127819487"/>
      <w:bookmarkStart w:id="87" w:name="_Toc127902487"/>
      <w:bookmarkStart w:id="88" w:name="_Toc155788980"/>
      <w:bookmarkStart w:id="89" w:name="_Toc155803445"/>
      <w:bookmarkStart w:id="90" w:name="_Toc156384995"/>
      <w:bookmarkStart w:id="91" w:name="_Toc156386280"/>
      <w:bookmarkStart w:id="92" w:name="_Toc183078461"/>
      <w:bookmarkStart w:id="93" w:name="_Toc183710300"/>
      <w:bookmarkStart w:id="94" w:name="_Toc679124107"/>
      <w:bookmarkStart w:id="95" w:name="_Toc1333360488"/>
      <w:bookmarkStart w:id="96" w:name="_Toc1609039751"/>
      <w:r>
        <w:t>Income tax benchmark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r>
        <w:t xml:space="preserve"> </w:t>
      </w:r>
      <w:bookmarkEnd w:id="94"/>
      <w:bookmarkEnd w:id="95"/>
      <w:bookmarkEnd w:id="96"/>
    </w:p>
    <w:p>
      <w:pPr>
        <w:spacing w:after="190"/>
      </w:pPr>
      <w:r>
        <w:t>The starting point for defining the income tax benchmark is </w:t>
      </w:r>
      <w:r>
        <w:noBreakHyphen/>
      </w:r>
      <w:r>
        <w:t/>
      </w:r>
      <w:r>
        <w:noBreakHyphen/>
      </w:r>
      <w:r>
        <w:t/>
      </w:r>
      <w:r>
        <w:t/>
      </w:r>
      <w:r>
        <w:t/>
      </w:r>
      <w:r>
        <w:t/>
      </w:r>
      <w:r>
        <w:t/>
      </w:r>
    </w:p>
    <w:p>
      <w:pPr>
        <w:spacing w:after="190"/>
      </w:pPr>
      <w:r>
        <w:t xml:space="preserve">However, the income tax benchmark departs from the SHS defin</w:t>
      </w:r>
      <w:r>
        <w:t/>
      </w:r>
      <w:r>
        <w:t xml:space="preserve"/>
      </w:r>
    </w:p>
    <w:p>
      <w:pPr>
        <w:pStyle w:val="Heading4"/>
        <w:spacing w:after="190"/>
      </w:pPr>
      <w:r>
        <w:t>Tax base</w:t>
      </w:r>
    </w:p>
    <w:p>
      <w:pPr>
        <w:spacing w:before="120" w:after="190" w:line="240" w:lineRule="auto"/>
      </w:pPr>
      <w:r>
        <w:t>Under the income tax benchmark, income includes:</w:t>
      </w:r>
    </w:p>
    <w:p>
      <w:pPr>
        <w:pStyle w:val="Bullet"/>
        <w:spacing w:after="190"/>
      </w:pPr>
      <w:r>
        <w:t>wages and salaries</w:t>
      </w:r>
    </w:p>
    <w:p>
      <w:pPr>
        <w:pStyle w:val="Bullet"/>
        <w:spacing w:after="190"/>
      </w:pPr>
      <w:r>
        <w:t>allowances</w:t>
      </w:r>
    </w:p>
    <w:p>
      <w:pPr>
        <w:pStyle w:val="Bullet"/>
        <w:spacing w:after="190"/>
      </w:pPr>
      <w:r>
        <w:t>business receipts</w:t>
      </w:r>
    </w:p>
    <w:p>
      <w:pPr>
        <w:pStyle w:val="Bullet"/>
        <w:spacing w:after="190"/>
      </w:pPr>
      <w:r>
        <w:t>realised capital gains (except where they form part of the n</w:t>
      </w:r>
    </w:p>
    <w:p>
      <w:pPr>
        <w:pStyle w:val="Bullet"/>
        <w:spacing w:after="190"/>
      </w:pPr>
      <w:r>
        <w:lastRenderedPageBreak/>
        <w:t>interest, royalties and dividends</w:t>
      </w:r>
    </w:p>
    <w:p>
      <w:pPr>
        <w:pStyle w:val="Bullet"/>
        <w:spacing w:after="190"/>
      </w:pPr>
      <w:r>
        <w:t>partnership income</w:t>
      </w:r>
    </w:p>
    <w:p>
      <w:pPr>
        <w:pStyle w:val="Bullet"/>
        <w:spacing w:after="190"/>
      </w:pPr>
      <w:r>
        <w:t>government cash transfers</w:t>
      </w:r>
    </w:p>
    <w:p>
      <w:pPr>
        <w:pStyle w:val="Bullet"/>
        <w:spacing w:after="190"/>
      </w:pPr>
      <w:r>
        <w:t>distributions from trusts.</w:t>
      </w:r>
    </w:p>
    <w:p>
      <w:pPr>
        <w:spacing w:after="190"/>
      </w:pPr>
      <w:r>
        <w:t>Expenses incurred in earning assessable income are deductibl</w:t>
      </w:r>
    </w:p>
    <w:p>
      <w:pPr>
        <w:spacing w:before="120" w:after="190" w:line="240" w:lineRule="auto"/>
      </w:pPr>
      <w:r>
        <w:t>The income tax benchmark incorporates a range of features of</w:t>
      </w:r>
    </w:p>
    <w:p>
      <w:pPr>
        <w:pStyle w:val="Bullet"/>
        <w:spacing w:after="190"/>
      </w:pPr>
      <w:r>
        <w:t>Assessment applies to nominal rather than real income. Expen</w:t>
      </w:r>
    </w:p>
    <w:p>
      <w:pPr>
        <w:pStyle w:val="Bullet"/>
        <w:spacing w:after="190"/>
      </w:pPr>
      <w:r>
        <w:t>The taxable income of some taxpayers (typically individuals)</w:t>
      </w:r>
    </w:p>
    <w:p>
      <w:pPr>
        <w:pStyle w:val="Bullet"/>
        <w:spacing w:after="190"/>
      </w:pPr>
      <w:r>
        <w:t>Imputed rent from owneroccupied housing is not included in i</w:t>
      </w:r>
      <w:r>
        <w:noBreakHyphen/>
      </w:r>
      <w:r>
        <w:t/>
      </w:r>
    </w:p>
    <w:p>
      <w:pPr>
        <w:pStyle w:val="Bullet"/>
        <w:spacing w:after="190"/>
      </w:pPr>
      <w:r>
        <w:t>Certain gains, such as gains received by way of compensation</w:t>
      </w:r>
    </w:p>
    <w:p>
      <w:pPr>
        <w:pStyle w:val="Bullet"/>
        <w:spacing w:after="190"/>
      </w:pPr>
      <w:r>
        <w:t>Losses are deductible against assessable income for a later </w:t>
      </w:r>
    </w:p>
    <w:p>
      <w:pPr>
        <w:pStyle w:val="Dash"/>
        <w:spacing w:after="190"/>
      </w:pPr>
      <w:r>
        <w:t>Noncommercial loss rules prevent individuals carrying on unp</w:t>
      </w:r>
      <w:r>
        <w:noBreakHyphen/>
      </w:r>
      <w:r>
        <w:t/>
      </w:r>
      <w:r>
        <w:noBreakHyphen/>
      </w:r>
      <w:r>
        <w:t/>
      </w:r>
    </w:p>
    <w:p>
      <w:pPr>
        <w:pStyle w:val="Bullet"/>
        <w:spacing w:after="190"/>
      </w:pPr>
      <w:r>
        <w:t>Depreciation deductions are made over the effective life of </w:t>
      </w:r>
      <w:r>
        <w:t/>
      </w:r>
      <w:r>
        <w:t/>
      </w:r>
    </w:p>
    <w:p>
      <w:pPr>
        <w:pStyle w:val="Bullet"/>
        <w:spacing w:after="190"/>
      </w:pPr>
      <w:r>
        <w:lastRenderedPageBreak/>
        <w:t xml:space="preserve">Business capital expenditures not elsewhere recognised withi</w:t>
      </w:r>
      <w:r>
        <w:t/>
      </w:r>
      <w:r>
        <w:t xml:space="preserve"/>
      </w:r>
    </w:p>
    <w:p>
      <w:pPr>
        <w:pStyle w:val="Bullet"/>
        <w:spacing w:after="190"/>
      </w:pPr>
      <w:r>
        <w:t>The mutuality principle excludes income from dealings with o</w:t>
      </w:r>
    </w:p>
    <w:p>
      <w:pPr>
        <w:pStyle w:val="Bullet"/>
        <w:spacing w:after="190"/>
      </w:pPr>
      <w:r>
        <w:t>The benchmark incorporates arrangements to reduce or elimina</w:t>
      </w:r>
    </w:p>
    <w:p>
      <w:pPr>
        <w:pStyle w:val="Bullet"/>
        <w:spacing w:after="190"/>
      </w:pPr>
      <w:r>
        <w:t>The superannuation guarantee charge is not taxdeductible und</w:t>
      </w:r>
      <w:r>
        <w:noBreakHyphen/>
      </w:r>
      <w:r>
        <w:t/>
      </w:r>
    </w:p>
    <w:p>
      <w:pPr>
        <w:spacing w:after="190"/>
      </w:pPr>
      <w:r>
        <w:t>Under the income tax benchmark, Australian residents are tax</w:t>
      </w:r>
    </w:p>
    <w:p>
      <w:pPr>
        <w:pStyle w:val="Bullet"/>
        <w:spacing w:after="190"/>
      </w:pPr>
      <w:r>
        <w:t>Resident taxpayers are allowed to claim foreign income tax o</w:t>
      </w:r>
    </w:p>
    <w:p>
      <w:pPr>
        <w:pStyle w:val="Bullet"/>
        <w:spacing w:after="190"/>
      </w:pPr>
      <w:r>
        <w:t>The controlled foreign company and trust rules ensure Austra</w:t>
      </w:r>
    </w:p>
    <w:p>
      <w:pPr>
        <w:pStyle w:val="Bullet"/>
        <w:spacing w:after="190"/>
      </w:pPr>
      <w:r>
        <w:t>Transfer pricing and thin capitalisation rules, targeted ant</w:t>
      </w:r>
      <w:r>
        <w:noBreakHyphen/>
      </w:r>
      <w:r>
        <w:t/>
      </w:r>
      <w:r>
        <w:noBreakHyphen/>
      </w:r>
      <w:r>
        <w:t/>
      </w:r>
    </w:p>
    <w:p>
      <w:pPr>
        <w:pStyle w:val="Bullet"/>
        <w:spacing w:after="190"/>
      </w:pPr>
      <w:r>
        <w:t>Foreign residents are taxed on their Australian source incom</w:t>
      </w:r>
    </w:p>
    <w:p>
      <w:pPr>
        <w:pStyle w:val="Bullet"/>
        <w:spacing w:after="190"/>
      </w:pPr>
      <w:r>
        <w:t>The benchmark for Australian residents includes their worldw</w:t>
      </w:r>
      <w:r>
        <w:t/>
      </w:r>
      <w:r>
        <w:t/>
      </w:r>
    </w:p>
    <w:p>
      <w:pPr>
        <w:pStyle w:val="Bullet"/>
        <w:spacing w:after="200"/>
      </w:pPr>
      <w:r>
        <w:t>Taxation treaties primarily operate to allocate taxing right</w:t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</w:p>
    <w:p>
      <w:pPr>
        <w:pStyle w:val="Heading4"/>
      </w:pPr>
      <w:r>
        <w:lastRenderedPageBreak/>
        <w:t>Tax rates</w:t>
      </w:r>
    </w:p>
    <w:p>
      <w:r>
        <w:t>The income tax benchmark includes:</w:t>
      </w:r>
    </w:p>
    <w:p>
      <w:pPr>
        <w:pStyle w:val="Bullet"/>
      </w:pPr>
      <w:r>
        <w:t>for resident individuals: the taxfree threshold, the progres</w:t>
      </w:r>
      <w:r>
        <w:noBreakHyphen/>
      </w:r>
      <w:r>
        <w:t/>
      </w:r>
      <w:r>
        <w:noBreakHyphen/>
      </w:r>
      <w:r>
        <w:t/>
      </w:r>
    </w:p>
    <w:p>
      <w:pPr>
        <w:pStyle w:val="Bullet"/>
      </w:pPr>
      <w:r>
        <w:t>for nonresident individuals: the foreign resident income tax</w:t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  <w:r>
        <w:noBreakHyphen/>
      </w:r>
      <w:r>
        <w:t/>
      </w:r>
    </w:p>
    <w:p>
      <w:pPr>
        <w:pStyle w:val="Bullet"/>
      </w:pPr>
      <w:r>
        <w:t>for companies: the relevant company tax rate</w:t>
      </w:r>
    </w:p>
    <w:p>
      <w:pPr>
        <w:pStyle w:val="Bullet"/>
      </w:pPr>
      <w:r>
        <w:t>for residents of Australia’s tax treaty partners receiving d</w:t>
      </w:r>
      <w:r>
        <w:t/>
      </w:r>
      <w:r>
        <w:t/>
      </w:r>
    </w:p>
    <w:p>
      <w:pPr>
        <w:pStyle w:val="Dash"/>
      </w:pPr>
      <w:r>
        <w:t>Under this approach, the benchmark rate of interest, dividen</w:t>
      </w:r>
    </w:p>
    <w:p>
      <w:pPr>
        <w:pStyle w:val="Dash"/>
      </w:pPr>
      <w:r>
        <w:t xml:space="preserve">If a tax treaty exists, the benchmark rates of withholding t</w:t>
      </w:r>
      <w:r>
        <w:t/>
      </w:r>
      <w:r>
        <w:t/>
      </w:r>
      <w:r>
        <w:t/>
      </w:r>
      <w:r>
        <w:t/>
      </w:r>
    </w:p>
    <w:p>
      <w:pPr>
        <w:pStyle w:val="Dash"/>
      </w:pPr>
      <w:r>
        <w:t>Exemptions or reductions relative to the basic rates prescri</w:t>
      </w:r>
    </w:p>
    <w:p>
      <w:pPr>
        <w:pStyle w:val="Dash"/>
      </w:pPr>
      <w:r>
        <w:t>If a tax treaty does not apply, any exemptions or reductions</w:t>
      </w:r>
    </w:p>
    <w:p>
      <w:pPr>
        <w:pStyle w:val="Heading4"/>
      </w:pPr>
      <w:r>
        <w:t>Tax unit</w:t>
      </w:r>
    </w:p>
    <w:p>
      <w:r>
        <w:t>For the personal income tax system in Australia, the benchma</w:t>
      </w:r>
    </w:p>
    <w:p>
      <w:r>
        <w:t>For companies, the benchmark tax unit is the company (includ</w:t>
      </w:r>
    </w:p>
    <w:p>
      <w:r>
        <w:t>Sole traders, partnerships and trusts are not separate tax u</w:t>
      </w:r>
    </w:p>
    <w:p>
      <w:pPr>
        <w:pStyle w:val="Heading4"/>
      </w:pPr>
      <w:r>
        <w:lastRenderedPageBreak/>
        <w:t>Tax period</w:t>
      </w:r>
    </w:p>
    <w:p>
      <w:r>
        <w:t>Generally, the tax period under the income tax benchmark is </w:t>
      </w:r>
    </w:p>
    <w:p>
      <w:pPr>
        <w:pStyle w:val="Heading4"/>
      </w:pPr>
      <w:bookmarkStart w:id="97" w:name="_Ref441063401"/>
      <w:r>
        <w:t>Superannuation</w:t>
      </w:r>
      <w:bookmarkEnd w:id="97"/>
    </w:p>
    <w:p>
      <w:pPr>
        <w:spacing w:before="120" w:after="120" w:line="240" w:lineRule="auto"/>
      </w:pPr>
      <w:r>
        <w:t>Superannuation may be taxed at 3 stages:</w:t>
      </w:r>
    </w:p>
    <w:p>
      <w:pPr>
        <w:pStyle w:val="Bullet"/>
        <w:spacing w:after="160"/>
      </w:pPr>
      <w:r>
        <w:t>when contributions are made to a superannuation fund</w:t>
      </w:r>
    </w:p>
    <w:p>
      <w:pPr>
        <w:pStyle w:val="Bullet"/>
        <w:spacing w:after="160"/>
      </w:pPr>
      <w:r>
        <w:t>when investments in superannuation funds earn income</w:t>
      </w:r>
    </w:p>
    <w:p>
      <w:pPr>
        <w:pStyle w:val="Bullet"/>
      </w:pPr>
      <w:r>
        <w:t>when superannuation benefits are paid out.</w:t>
      </w:r>
    </w:p>
    <w:p>
      <w:r>
        <w:t>The income tax benchmark treatment of superannuation is that</w:t>
      </w:r>
      <w:r>
        <w:noBreakHyphen/>
      </w:r>
      <w:r>
        <w:t/>
      </w:r>
    </w:p>
    <w:p>
      <w:pPr>
        <w:pStyle w:val="Heading4"/>
      </w:pPr>
      <w:r>
        <w:t>Fringe benefits</w:t>
      </w:r>
    </w:p>
    <w:p>
      <w:pPr>
        <w:spacing w:before="120" w:after="120" w:line="240" w:lineRule="auto"/>
      </w:pPr>
      <w:r>
        <w:t>Under the income tax benchmark:</w:t>
      </w:r>
    </w:p>
    <w:p>
      <w:pPr>
        <w:pStyle w:val="Bullet"/>
        <w:spacing w:after="160"/>
      </w:pPr>
      <w:r>
        <w:t>fringe benefits are classified as individual employee income</w:t>
      </w:r>
    </w:p>
    <w:p>
      <w:pPr>
        <w:pStyle w:val="Bullet"/>
        <w:spacing w:after="160"/>
      </w:pPr>
      <w:r>
        <w:t>the tax base includes property rights, privileges or service</w:t>
      </w:r>
    </w:p>
    <w:p>
      <w:pPr>
        <w:pStyle w:val="Bullet"/>
        <w:spacing w:after="160"/>
      </w:pPr>
      <w:r>
        <w:t>the benchmark value of a fringe benefit to an employee is ta</w:t>
      </w:r>
      <w:r>
        <w:noBreakHyphen/>
      </w:r>
      <w:r>
        <w:t/>
      </w:r>
    </w:p>
    <w:p>
      <w:pPr>
        <w:pStyle w:val="Bullet"/>
        <w:spacing w:after="160"/>
      </w:pPr>
      <w:r>
        <w:t>the tax rate is the employee’s marginal income tax rate</w:t>
      </w:r>
      <w:r>
        <w:t/>
      </w:r>
      <w:r>
        <w:t/>
      </w:r>
    </w:p>
    <w:p>
      <w:pPr>
        <w:pStyle w:val="Bullet"/>
        <w:spacing w:after="160"/>
      </w:pPr>
      <w:r>
        <w:t>fringe benefits tax is calculated on the grossedup taxable v</w:t>
      </w:r>
      <w:r>
        <w:noBreakHyphen/>
      </w:r>
      <w:r>
        <w:t/>
      </w:r>
      <w:r>
        <w:noBreakHyphen/>
      </w:r>
      <w:r>
        <w:t/>
      </w:r>
    </w:p>
    <w:p>
      <w:pPr>
        <w:pStyle w:val="Bullet"/>
        <w:spacing w:after="160"/>
      </w:pPr>
      <w:r>
        <w:t>the unit liable to pay fringe benefits tax is the employer, </w:t>
      </w:r>
    </w:p>
    <w:p>
      <w:pPr>
        <w:pStyle w:val="Bullet"/>
        <w:spacing w:after="160"/>
      </w:pPr>
      <w:r>
        <w:t>generally, employers may claim the cost of providing fringe </w:t>
      </w:r>
    </w:p>
    <w:p>
      <w:pPr>
        <w:pStyle w:val="Bullet"/>
      </w:pPr>
      <w:r>
        <w:t>the tax period is the fringe benefits tax year (1 April to 3</w:t>
      </w:r>
    </w:p>
    <w:p>
      <w:pPr>
        <w:pStyle w:val="Heading3"/>
      </w:pPr>
      <w:bookmarkStart w:id="98" w:name="_Toc441066996"/>
      <w:bookmarkStart w:id="99" w:name="_Toc613128294"/>
      <w:bookmarkStart w:id="100" w:name="_Toc1849837155"/>
      <w:bookmarkStart w:id="101" w:name="_Toc1313182607"/>
      <w:bookmarkStart w:id="102" w:name="_Toc126935246"/>
      <w:bookmarkStart w:id="103" w:name="_Toc126937427"/>
      <w:bookmarkStart w:id="104" w:name="_Toc127197674"/>
      <w:bookmarkStart w:id="105" w:name="_Toc127454006"/>
      <w:bookmarkStart w:id="106" w:name="_Toc127819488"/>
      <w:bookmarkStart w:id="107" w:name="_Toc127902488"/>
      <w:bookmarkStart w:id="108" w:name="_Toc155788981"/>
      <w:bookmarkStart w:id="109" w:name="_Toc155803446"/>
      <w:bookmarkStart w:id="110" w:name="_Toc156384996"/>
      <w:bookmarkStart w:id="111" w:name="_Toc156386281"/>
      <w:bookmarkStart w:id="112" w:name="_Toc183078462"/>
      <w:bookmarkStart w:id="113" w:name="_Toc183710301"/>
      <w:r>
        <w:lastRenderedPageBreak/>
        <w:t>Indirect tax benchmarks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</w:p>
    <w:p>
      <w:r>
        <w:t>The main indirect taxes are:</w:t>
      </w:r>
    </w:p>
    <w:p>
      <w:pPr>
        <w:pStyle w:val="Bullet"/>
      </w:pPr>
      <w:r>
        <w:t>the goods and services tax</w:t>
      </w:r>
    </w:p>
    <w:p>
      <w:pPr>
        <w:pStyle w:val="Bullet"/>
      </w:pPr>
      <w:r>
        <w:t>taxes on commodities such as fuel, tobacco, alcoholic bevera</w:t>
      </w:r>
    </w:p>
    <w:p>
      <w:pPr>
        <w:pStyle w:val="Bullet"/>
      </w:pPr>
      <w:r>
        <w:t>crude oil excise and the petroleum resource rent tax</w:t>
      </w:r>
    </w:p>
    <w:p>
      <w:pPr>
        <w:pStyle w:val="Bullet"/>
      </w:pPr>
      <w:r>
        <w:t>miscellaneous taxes including agricultural levies and the pa</w:t>
      </w:r>
    </w:p>
    <w:p>
      <w:r>
        <w:t>Unlike the income tax benchmark, there is no starting point </w:t>
      </w:r>
      <w:r>
        <w:noBreakHyphen/>
      </w:r>
      <w:r>
        <w:t/>
      </w:r>
      <w:r>
        <w:noBreakHyphen/>
      </w:r>
      <w:r>
        <w:t/>
      </w:r>
    </w:p>
    <w:p>
      <w:r>
        <w:t>Generally, for each tax, the tax unit under the benchmark is</w:t>
      </w:r>
    </w:p>
    <w:p>
      <w:pPr>
        <w:pStyle w:val="Heading4"/>
      </w:pPr>
      <w:r>
        <w:t>Goods and services tax</w:t>
      </w:r>
    </w:p>
    <w:p>
      <w:r>
        <w:t xml:space="preserve">Broadly, the tax base for the goods and services tax (GST) b</w:t>
      </w:r>
      <w:r>
        <w:t/>
      </w:r>
      <w:r>
        <w:t/>
      </w:r>
      <w:r>
        <w:t/>
      </w:r>
      <w:r>
        <w:t xml:space="preserve"/>
      </w:r>
      <w:r>
        <w:t xml:space="preserve"/>
      </w:r>
      <w:r>
        <w:t xml:space="preserve"/>
      </w:r>
      <w:r>
        <w:t/>
      </w:r>
      <w:r>
        <w:t/>
      </w:r>
      <w:r>
        <w:t/>
      </w:r>
      <w:r>
        <w:t xml:space="preserve"/>
      </w:r>
    </w:p>
    <w:p>
      <w:r>
        <w:t>The supply of some goods and services, however, is either:</w:t>
      </w:r>
    </w:p>
    <w:p>
      <w:pPr>
        <w:pStyle w:val="Bullet"/>
      </w:pPr>
      <w:r>
        <w:t>exempt from GST – that is, where no GST is payable on the su</w:t>
      </w:r>
    </w:p>
    <w:p>
      <w:pPr>
        <w:pStyle w:val="Bullet"/>
      </w:pPr>
      <w:r>
        <w:t>inputtaxed – that is, where no GST is payable on the supply </w:t>
      </w:r>
      <w:r>
        <w:noBreakHyphen/>
      </w:r>
      <w:r>
        <w:t/>
      </w:r>
    </w:p>
    <w:p>
      <w:r>
        <w:t>ITCs do not constitute tax expenditures as they are an integ</w:t>
      </w:r>
    </w:p>
    <w:p>
      <w:r>
        <w:t>Features of the benchmark tax base include:</w:t>
      </w:r>
      <w:r>
        <w:t/>
      </w:r>
    </w:p>
    <w:p>
      <w:pPr>
        <w:pStyle w:val="Bullet"/>
      </w:pPr>
      <w:r>
        <w:t>exports are exempt from GST</w:t>
      </w:r>
    </w:p>
    <w:p>
      <w:pPr>
        <w:pStyle w:val="Bullet"/>
      </w:pPr>
      <w:r>
        <w:t>noncommercial activities of governments are exempt from GST</w:t>
      </w:r>
      <w:r>
        <w:noBreakHyphen/>
      </w:r>
      <w:r>
        <w:t/>
      </w:r>
    </w:p>
    <w:p>
      <w:pPr>
        <w:pStyle w:val="Bullet"/>
      </w:pPr>
      <w:r>
        <w:lastRenderedPageBreak/>
        <w:t>the supply of private residential accommodation is inputtaxe</w:t>
      </w:r>
      <w:r>
        <w:rPr>
          <w:rStyle w:val="FootnoteReference"/>
        </w:rPr>
        <w:footnoteReference w:id="15"/>
      </w:r>
      <w:r>
        <w:rPr>
          <w:rStyle w:val="FootnoteReference"/>
        </w:rPr>
        <w:t xml:space="preserve"/>
      </w:r>
      <w:r>
        <w:t/>
      </w:r>
      <w:r>
        <w:noBreakHyphen/>
      </w:r>
      <w:r>
        <w:t/>
      </w:r>
    </w:p>
    <w:p>
      <w:pPr>
        <w:pStyle w:val="Bullet"/>
      </w:pPr>
      <w:r>
        <w:t>the sale of preexisting residential premises is inputtaxed</w:t>
      </w:r>
      <w:r>
        <w:noBreakHyphen/>
      </w:r>
      <w:r>
        <w:t/>
      </w:r>
      <w:r>
        <w:noBreakHyphen/>
      </w:r>
      <w:r>
        <w:t/>
      </w:r>
    </w:p>
    <w:p>
      <w:pPr>
        <w:pStyle w:val="Bullet"/>
      </w:pPr>
      <w:r>
        <w:t>the sale of new residential premises and the supply of alter</w:t>
      </w:r>
    </w:p>
    <w:p>
      <w:pPr>
        <w:pStyle w:val="Bullet"/>
      </w:pPr>
      <w:r>
        <w:t>goods and services supplied to oneself are not subject to GS</w:t>
      </w:r>
    </w:p>
    <w:p>
      <w:pPr>
        <w:pStyle w:val="Bullet"/>
      </w:pPr>
      <w:r>
        <w:t>the tax rate for the GST benchmark is 10 per cent.</w:t>
      </w:r>
      <w:r>
        <w:t/>
      </w:r>
      <w:r>
        <w:t xml:space="preserve"/>
      </w:r>
    </w:p>
    <w:p>
      <w:pPr>
        <w:pStyle w:val="Heading4"/>
      </w:pPr>
      <w:r>
        <w:t>Fuel</w:t>
      </w:r>
    </w:p>
    <w:p>
      <w:r>
        <w:t>The Australian Government imposes a volumetric tax on the co</w:t>
      </w:r>
    </w:p>
    <w:p>
      <w:r>
        <w:t>The tax base for the consumption of all fuel (or energy) is </w:t>
      </w:r>
    </w:p>
    <w:p>
      <w:pPr>
        <w:pStyle w:val="Bullet"/>
      </w:pPr>
      <w:r>
        <w:t>fuels consumed in an internal combustion engine (that is, pr</w:t>
      </w:r>
    </w:p>
    <w:p>
      <w:pPr>
        <w:pStyle w:val="Bullet"/>
      </w:pPr>
      <w:r>
        <w:t>fuels consumed for a purpose other than in an internal combu</w:t>
      </w:r>
    </w:p>
    <w:p>
      <w:r>
        <w:t>The taxation of these activities reflects longstanding and i</w:t>
      </w:r>
    </w:p>
    <w:p>
      <w:r>
        <w:t>The benchmark excise rates for fuels consumed in an internal</w:t>
      </w:r>
      <w:r>
        <w:noBreakHyphen/>
      </w:r>
      <w:r>
        <w:t/>
      </w:r>
    </w:p>
    <w:p>
      <w:pPr>
        <w:pStyle w:val="Bullet"/>
      </w:pPr>
      <w:r>
        <w:t>high energy content fuels, with an energy content of more th</w:t>
      </w:r>
    </w:p>
    <w:p>
      <w:pPr>
        <w:pStyle w:val="Bullet"/>
      </w:pPr>
      <w:r>
        <w:t>medium energy content fuels, with an energy content between </w:t>
      </w:r>
      <w:r>
        <w:noBreakHyphen/>
      </w:r>
      <w:r>
        <w:t/>
      </w:r>
    </w:p>
    <w:p>
      <w:pPr>
        <w:pStyle w:val="Bullet"/>
      </w:pPr>
      <w:r>
        <w:lastRenderedPageBreak/>
        <w:t>low energy content fuels, with an energy content of less tha</w:t>
      </w:r>
    </w:p>
    <w:p>
      <w:pPr>
        <w:pStyle w:val="Bullet"/>
      </w:pPr>
      <w:r>
        <w:t xml:space="preserve">liquefied natural gas (LNG) and compressed natural gas (CNG)</w:t>
      </w:r>
    </w:p>
    <w:p>
      <w:r>
        <w:t>Fuels consumed other than in an internal combustion engine a</w:t>
      </w:r>
    </w:p>
    <w:p>
      <w:pPr>
        <w:pStyle w:val="Heading4"/>
      </w:pPr>
      <w:r>
        <w:t>Tobacco</w:t>
      </w:r>
    </w:p>
    <w:p>
      <w:r>
        <w:t>The Australian Government imposes a volumetric tax on the co</w:t>
      </w:r>
    </w:p>
    <w:p>
      <w:r>
        <w:t>The benchmark for the consumption of tobacco and tobacco pro</w:t>
      </w:r>
    </w:p>
    <w:p>
      <w:pPr>
        <w:pStyle w:val="Heading4"/>
      </w:pPr>
      <w:r>
        <w:t>Alcoholic beverages</w:t>
      </w:r>
    </w:p>
    <w:p>
      <w:r>
        <w:t>The Australian Government imposes volumetric taxes on the co</w:t>
      </w:r>
    </w:p>
    <w:p>
      <w:r>
        <w:t>The tax base for the consumption of alcoholic beverages is s</w:t>
      </w:r>
    </w:p>
    <w:p>
      <w:pPr>
        <w:pStyle w:val="Bullet"/>
      </w:pPr>
      <w:r>
        <w:t>the consumption of lower alcohol content beverages such as b</w:t>
      </w:r>
    </w:p>
    <w:p>
      <w:pPr>
        <w:pStyle w:val="Bullet"/>
      </w:pPr>
      <w:r>
        <w:t>the consumption of higher alcohol content beverages (beverag</w:t>
      </w:r>
    </w:p>
    <w:p>
      <w:pPr>
        <w:pStyle w:val="Bullet"/>
      </w:pPr>
      <w:r>
        <w:t>the consumption of wine and alcoholic cider.</w:t>
      </w:r>
    </w:p>
    <w:p>
      <w:r>
        <w:t>The taxation of these activities reflects a longstanding fea</w:t>
      </w:r>
    </w:p>
    <w:p>
      <w:pPr>
        <w:pStyle w:val="Bullet"/>
      </w:pPr>
      <w:r>
        <w:t>The benchmark excise rate for lower alcohol content beverage</w:t>
      </w:r>
      <w:r>
        <w:noBreakHyphen/>
      </w:r>
      <w:r>
        <w:t/>
      </w:r>
    </w:p>
    <w:p>
      <w:pPr>
        <w:pStyle w:val="Bullet"/>
      </w:pPr>
      <w:r>
        <w:t>The benchmark excise rate for higher alcohol content beverag</w:t>
      </w:r>
    </w:p>
    <w:p>
      <w:pPr>
        <w:pStyle w:val="Bullet"/>
      </w:pPr>
      <w:r>
        <w:lastRenderedPageBreak/>
        <w:t>The benchmark rate for wine and alcoholic cider is the ad va</w:t>
      </w:r>
    </w:p>
    <w:p>
      <w:pPr>
        <w:pStyle w:val="Heading4"/>
      </w:pPr>
      <w:r>
        <w:t>Motor vehicles</w:t>
      </w:r>
    </w:p>
    <w:p>
      <w:r>
        <w:t>Generally, motor vehicle purchases are only subject to goods</w:t>
      </w:r>
    </w:p>
    <w:p>
      <w:pPr>
        <w:pStyle w:val="Heading4"/>
      </w:pPr>
      <w:r>
        <w:t>Customs duties</w:t>
      </w:r>
    </w:p>
    <w:p>
      <w:r>
        <w:t>The customs duty benchmark treats goods imported into Austra</w:t>
      </w:r>
      <w:r>
        <w:noBreakHyphen/>
      </w:r>
      <w:r>
        <w:t/>
      </w:r>
    </w:p>
    <w:p>
      <w:pPr>
        <w:pStyle w:val="Heading4"/>
      </w:pPr>
      <w:r>
        <w:t>Natural resources</w:t>
      </w:r>
    </w:p>
    <w:p>
      <w:r>
        <w:t>The natural resources benchmark applies to the offshore extr</w:t>
      </w:r>
    </w:p>
    <w:p>
      <w:r>
        <w:t>The benchmark is a 40 per cent tax rate on the economic rent</w:t>
      </w:r>
      <w:r>
        <w:noBreakHyphen/>
      </w:r>
      <w:r>
        <w:t/>
      </w:r>
    </w:p>
    <w:p>
      <w:r>
        <w:t>The benchmark also includes immediate expensing of project e</w:t>
      </w:r>
      <w:r>
        <w:noBreakHyphen/>
      </w:r>
      <w:r>
        <w:t/>
      </w:r>
      <w:r>
        <w:noBreakHyphen/>
      </w:r>
      <w:r>
        <w:t/>
      </w:r>
    </w:p>
    <w:p>
      <w:r>
        <w:t>Crude oil excise is payable in respect of certain petroleum </w:t>
      </w:r>
      <w:r>
        <w:t/>
      </w:r>
      <w:r>
        <w:t/>
      </w:r>
    </w:p>
    <w:p>
      <w:pPr>
        <w:pStyle w:val="Heading4"/>
      </w:pPr>
      <w:r>
        <w:t>Passenger movement charge</w:t>
      </w:r>
    </w:p>
    <w:p>
      <w:r>
        <w:t>The passenger movement charge is a flat rate imposed on all </w:t>
      </w:r>
    </w:p>
    <w:p>
      <w:pPr>
        <w:pStyle w:val="Heading4"/>
      </w:pPr>
      <w:r>
        <w:lastRenderedPageBreak/>
        <w:t>Visa application charges</w:t>
      </w:r>
    </w:p>
    <w:p>
      <w:r>
        <w:t>Visa application charges are set such that all visa applican</w:t>
      </w:r>
      <w:r>
        <w:t/>
      </w:r>
    </w:p>
    <w:p>
      <w:pPr>
        <w:pStyle w:val="Heading4"/>
      </w:pPr>
      <w:r>
        <w:t>Primary industry levies</w:t>
      </w:r>
    </w:p>
    <w:p>
      <w:r>
        <w:t>Primary industry levies provide collective industry funding </w:t>
      </w:r>
    </w:p>
    <w:p>
      <w:pPr>
        <w:pStyle w:val="Heading4"/>
      </w:pPr>
      <w:r>
        <w:t>Major bank levy</w:t>
      </w:r>
    </w:p>
    <w:p>
      <w:r>
        <w:t xml:space="preserve">The benchmark for the major bank levy has been taken to be e</w:t>
      </w:r>
      <w:r>
        <w:rPr>
          <w:i/>
        </w:rPr>
        <w:t/>
      </w:r>
      <w:r>
        <w:t/>
      </w:r>
    </w:p>
    <w:p>
      <w:pPr>
        <w:pStyle w:val="Heading4"/>
      </w:pPr>
      <w:r>
        <w:t>Other miscellaneous taxes</w:t>
      </w:r>
    </w:p>
    <w:p>
      <w:r>
        <w:t xml:space="preserve">There are a range of minor miscellaneous indirect taxes, inc</w:t>
      </w:r>
    </w:p>
    <w:p>
      <w:r>
        <w:t>Generally, the benchmark for these taxes is taken to be the </w:t>
      </w:r>
    </w:p>
    <w:p>
      <w:pPr>
        <w:pStyle w:val="Heading2-notnumbered"/>
      </w:pPr>
      <w:bookmarkStart w:id="114" w:name="_Toc184287667"/>
      <w:bookmarkStart w:id="115" w:name="_Toc215139606"/>
      <w:r>
        <w:lastRenderedPageBreak/>
        <w:t>A.3Major updates to estimates from the 2024–25 TEIS</w:t>
      </w:r>
      <w:r>
        <w:tab/>
        <w:t/>
      </w:r>
      <w:r>
        <w:t/>
      </w:r>
      <w:r>
        <w:t/>
      </w:r>
      <w:r>
        <w:t/>
      </w:r>
      <w:r>
        <w:t xml:space="preserve"/>
      </w:r>
      <w:bookmarkEnd w:id="114"/>
      <w:bookmarkEnd w:id="115"/>
    </w:p>
    <w:p>
      <w:r>
        <w:t xml:space="preserve">Tax expenditure estimates have been revised to reflect chang</w:t>
      </w:r>
    </w:p>
    <w:p>
      <w:r>
        <w:t>Updated economic and tax forecasts since the previous TEIS d</w:t>
      </w:r>
    </w:p>
    <w:p>
      <w:pPr>
        <w:pStyle w:val="Bullet"/>
      </w:pPr>
      <w:r>
        <w:t xml:space="preserve">Revisions to the capital gains outlook drive large revisions</w:t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/>
      </w:r>
    </w:p>
    <w:p>
      <w:r>
        <w:t xml:space="preserve">Reasons for other major updates include: </w:t>
      </w:r>
    </w:p>
    <w:p>
      <w:pPr>
        <w:pStyle w:val="Bullet"/>
      </w:pPr>
      <w:r>
        <w:t>‘A19 Medicare levy exemption for blind pensioners, persons n</w:t>
      </w:r>
      <w:r>
        <w:t/>
      </w:r>
      <w:r>
        <w:t/>
      </w:r>
      <w:r>
        <w:t xml:space="preserve"/>
      </w:r>
    </w:p>
    <w:p>
      <w:pPr>
        <w:pStyle w:val="Bullet"/>
      </w:pPr>
      <w:r>
        <w:t xml:space="preserve">Estimates for ‘A31 (previously A32) Seniors and pensioners t</w:t>
      </w:r>
      <w:r>
        <w:t/>
      </w:r>
      <w:r>
        <w:t/>
      </w:r>
      <w:r>
        <w:t/>
      </w:r>
      <w:r>
        <w:t xml:space="preserve"/>
      </w:r>
    </w:p>
    <w:p>
      <w:pPr>
        <w:pStyle w:val="Bullet"/>
      </w:pPr>
      <w:r>
        <w:t>The upward revision to ‘A37 (previously A38) Exemption of ce</w:t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</w:p>
    <w:p>
      <w:pPr>
        <w:pStyle w:val="Bullet"/>
      </w:pPr>
      <w:r>
        <w:t xml:space="preserve">The upward revision to ‘A39 (previously A40) Exemptions of c</w:t>
      </w:r>
      <w:r>
        <w:t/>
      </w:r>
      <w:r>
        <w:t xml:space="preserve"/>
      </w:r>
      <w:r>
        <w:t/>
      </w:r>
      <w:r>
        <w:t/>
      </w:r>
      <w:r>
        <w:t xml:space="preserve"/>
      </w:r>
      <w:r>
        <w:noBreakHyphen/>
      </w:r>
      <w:r>
        <w:t/>
      </w:r>
      <w:r>
        <w:t/>
      </w:r>
      <w:r>
        <w:t xml:space="preserve"/>
      </w:r>
    </w:p>
    <w:p>
      <w:pPr>
        <w:pStyle w:val="Bullet"/>
      </w:pPr>
      <w:r>
        <w:t xml:space="preserve">Upward revisions in estimates for ‘B12 Exemption of inbound </w:t>
      </w:r>
      <w:r>
        <w:t/>
      </w:r>
      <w:r>
        <w:t/>
      </w:r>
      <w:r>
        <w:noBreakHyphen/>
      </w:r>
      <w:r>
        <w:t/>
      </w:r>
      <w:r>
        <w:t/>
      </w:r>
      <w:r>
        <w:t xml:space="preserve"/>
      </w:r>
    </w:p>
    <w:p>
      <w:pPr>
        <w:pStyle w:val="Bullet"/>
      </w:pPr>
      <w:r>
        <w:t>‘B29 Tax exemption for COVID19 business grants’ and ‘B41 Sus</w:t>
      </w:r>
      <w:r>
        <w:t/>
      </w:r>
      <w:r>
        <w:noBreakHyphen/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/>
      </w:r>
    </w:p>
    <w:p>
      <w:pPr>
        <w:pStyle w:val="Bullet"/>
      </w:pPr>
      <w:r>
        <w:t xml:space="preserve">The large decreases in ‘B48 (previously B50) Additional dedu</w:t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 xml:space="preserve"/>
      </w:r>
      <w:r>
        <w:t xml:space="preserve"/>
      </w:r>
      <w:r>
        <w:lastRenderedPageBreak/>
        <w:t/>
      </w:r>
      <w:r>
        <w:noBreakHyphen/>
      </w:r>
      <w:r>
        <w:t/>
      </w:r>
    </w:p>
    <w:p>
      <w:pPr>
        <w:pStyle w:val="Bullet"/>
      </w:pPr>
      <w:r>
        <w:t xml:space="preserve">The large upward revision to ‘D33 Exemption for electric veh</w:t>
      </w:r>
      <w:r>
        <w:t/>
      </w:r>
      <w:r>
        <w:t/>
      </w:r>
      <w:r>
        <w:t/>
      </w:r>
      <w:r>
        <w:t xml:space="preserve"/>
      </w:r>
    </w:p>
    <w:p>
      <w:pPr>
        <w:pStyle w:val="Bullet"/>
      </w:pPr>
      <w:r>
        <w:t xml:space="preserve">Revised estimates for ‘G1 Junior Minerals Exploration Incent</w:t>
      </w:r>
      <w:r>
        <w:t/>
      </w:r>
      <w:r>
        <w:t xml:space="preserve"/>
      </w:r>
      <w:r>
        <w:t/>
      </w:r>
      <w:r>
        <w:t/>
      </w:r>
      <w:r>
        <w:t xml:space="preserve"/>
      </w:r>
    </w:p>
    <w:p>
      <w:pPr>
        <w:pStyle w:val="Heading2-notnumbered"/>
      </w:pPr>
      <w:bookmarkStart w:id="116" w:name="_Toc184287668"/>
      <w:bookmarkStart w:id="117" w:name="_Toc215139607"/>
      <w:r>
        <w:lastRenderedPageBreak/>
        <w:t>A.4Data and methodology for distributional analysis</w:t>
      </w:r>
      <w:r>
        <w:tab/>
        <w:t/>
      </w:r>
      <w:bookmarkEnd w:id="116"/>
      <w:bookmarkEnd w:id="117"/>
    </w:p>
    <w:p>
      <w:r>
        <w:t>Analysis of tax expenditures relating to individuals is base</w:t>
      </w:r>
      <w:r>
        <w:t/>
      </w:r>
      <w:r>
        <w:t/>
      </w:r>
      <w:r>
        <w:t/>
      </w:r>
      <w:r>
        <w:t xml:space="preserve"/>
      </w:r>
      <w:r>
        <w:rPr>
          <w:i/>
          <w:iCs/>
        </w:rPr>
        <w:t/>
      </w:r>
      <w:r>
        <w:t xml:space="preserve"/>
      </w:r>
    </w:p>
    <w:p>
      <w:r>
        <w:t>Distributional analysis of tax expenditures has been produce</w:t>
      </w:r>
      <w:r>
        <w:t/>
      </w:r>
      <w:r>
        <w:t xml:space="preserve"/>
      </w:r>
    </w:p>
    <w:p>
      <w:r>
        <w:t>Analysis by taxable income decile uses the deciles from pers</w:t>
      </w:r>
      <w:r>
        <w:t/>
      </w:r>
      <w:r>
        <w:rPr>
          <w:rStyle w:val="FootnoteReference"/>
          <w:rFonts w:eastAsiaTheme="majorEastAsia"/>
        </w:rPr>
        <w:footnoteReference w:id="16"/>
      </w:r>
      <w:r>
        <w:t xml:space="preserve"/>
      </w:r>
    </w:p>
    <w:p>
      <w:pPr>
        <w:pStyle w:val="TableHeading"/>
        <w:rPr>
          <w:color w:val="auto"/>
        </w:rPr>
      </w:pPr>
      <w:r>
        <w:rPr>
          <w:color w:val="auto"/>
        </w:rPr>
        <w:t>Table A4.1 Income ranges for personal income tax filers, 202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4755"/>
      </w:tblGrid>
      <w:tr>
        <w:trPr>
          <w:trHeight w:val="227"/>
        </w:trPr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TextLeft"/>
            </w:pPr>
          </w:p>
        </w:tc>
        <w:tc>
          <w:tcPr>
            <w:tcW w:w="4755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ColumnHeadingRight"/>
            </w:pPr>
            <w:r>
              <w:t>Range of taxable income for individuals</w:t>
            </w:r>
          </w:p>
        </w:tc>
      </w:tr>
      <w:tr>
        <w:trPr>
          <w:trHeight w:val="182"/>
        </w:trPr>
        <w:tc>
          <w:tcPr>
            <w:tcW w:w="2956" w:type="dxa"/>
            <w:tcBorders>
              <w:top w:val="single" w:sz="4" w:space="0" w:color="auto"/>
            </w:tcBorders>
          </w:tcPr>
          <w:p>
            <w:pPr>
              <w:pStyle w:val="TableTextLeft"/>
            </w:pPr>
            <w:r>
              <w:t xml:space="preserve">Lowest </w:t>
            </w:r>
          </w:p>
        </w:tc>
        <w:tc>
          <w:tcPr>
            <w:tcW w:w="4755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$10,100 or less</w:t>
            </w:r>
          </w:p>
        </w:tc>
      </w:tr>
      <w:tr>
        <w:trPr>
          <w:trHeight w:val="96"/>
        </w:trPr>
        <w:tc>
          <w:tcPr>
            <w:tcW w:w="2956" w:type="dxa"/>
          </w:tcPr>
          <w:p>
            <w:pPr>
              <w:pStyle w:val="TableTextLeft"/>
            </w:pPr>
            <w:r>
              <w:t>Second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$10,101-$22,400</w:t>
            </w:r>
          </w:p>
        </w:tc>
      </w:tr>
      <w:tr>
        <w:trPr>
          <w:trHeight w:val="156"/>
        </w:trPr>
        <w:tc>
          <w:tcPr>
            <w:tcW w:w="2956" w:type="dxa"/>
          </w:tcPr>
          <w:p>
            <w:pPr>
              <w:pStyle w:val="TableTextLeft"/>
            </w:pPr>
            <w:r>
              <w:t>Third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$22,401-$33,200</w:t>
            </w:r>
          </w:p>
        </w:tc>
      </w:tr>
      <w:tr>
        <w:trPr>
          <w:trHeight w:val="73"/>
        </w:trPr>
        <w:tc>
          <w:tcPr>
            <w:tcW w:w="2956" w:type="dxa"/>
          </w:tcPr>
          <w:p>
            <w:pPr>
              <w:pStyle w:val="TableTextLeft"/>
            </w:pPr>
            <w:r>
              <w:t>Fourth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$33,201-$44,800</w:t>
            </w:r>
          </w:p>
        </w:tc>
      </w:tr>
      <w:tr>
        <w:trPr>
          <w:trHeight w:val="134"/>
        </w:trPr>
        <w:tc>
          <w:tcPr>
            <w:tcW w:w="2956" w:type="dxa"/>
          </w:tcPr>
          <w:p>
            <w:pPr>
              <w:pStyle w:val="TableTextLeft"/>
            </w:pPr>
            <w:r>
              <w:t>Fifth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$44,801-$55,900</w:t>
            </w:r>
          </w:p>
        </w:tc>
      </w:tr>
      <w:tr>
        <w:trPr>
          <w:trHeight w:val="194"/>
        </w:trPr>
        <w:tc>
          <w:tcPr>
            <w:tcW w:w="2956" w:type="dxa"/>
          </w:tcPr>
          <w:p>
            <w:pPr>
              <w:pStyle w:val="TableTextLeft"/>
            </w:pPr>
            <w:r>
              <w:t xml:space="preserve">Sixth 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$55,901-$68,200</w:t>
            </w:r>
          </w:p>
        </w:tc>
      </w:tr>
      <w:tr>
        <w:trPr>
          <w:trHeight w:val="112"/>
        </w:trPr>
        <w:tc>
          <w:tcPr>
            <w:tcW w:w="2956" w:type="dxa"/>
          </w:tcPr>
          <w:p>
            <w:pPr>
              <w:pStyle w:val="TableTextLeft"/>
            </w:pPr>
            <w:r>
              <w:t>Seventh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$68,201-$83,500</w:t>
            </w:r>
          </w:p>
        </w:tc>
      </w:tr>
      <w:tr>
        <w:trPr>
          <w:trHeight w:val="172"/>
        </w:trPr>
        <w:tc>
          <w:tcPr>
            <w:tcW w:w="2956" w:type="dxa"/>
          </w:tcPr>
          <w:p>
            <w:pPr>
              <w:pStyle w:val="TableTextLeft"/>
            </w:pPr>
            <w:r>
              <w:t>Eighth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$83,501-$104,900</w:t>
            </w:r>
          </w:p>
        </w:tc>
      </w:tr>
      <w:tr>
        <w:trPr>
          <w:trHeight w:val="231"/>
        </w:trPr>
        <w:tc>
          <w:tcPr>
            <w:tcW w:w="2956" w:type="dxa"/>
          </w:tcPr>
          <w:p>
            <w:pPr>
              <w:pStyle w:val="TableTextLeft"/>
            </w:pPr>
            <w:r>
              <w:t>Ninth</w:t>
            </w:r>
          </w:p>
        </w:tc>
        <w:tc>
          <w:tcPr>
            <w:tcW w:w="4755" w:type="dxa"/>
          </w:tcPr>
          <w:p>
            <w:pPr>
              <w:pStyle w:val="TableTextRight"/>
              <w:rPr>
                <w:highlight w:val="yellow"/>
              </w:rPr>
            </w:pPr>
            <w:r>
              <w:t>$104,901-$142,000</w:t>
            </w:r>
          </w:p>
        </w:tc>
      </w:tr>
      <w:tr>
        <w:trPr>
          <w:trHeight w:val="150"/>
        </w:trPr>
        <w:tc>
          <w:tcPr>
            <w:tcW w:w="2956" w:type="dxa"/>
            <w:tcBorders>
              <w:bottom w:val="single" w:sz="4" w:space="0" w:color="auto"/>
            </w:tcBorders>
          </w:tcPr>
          <w:p>
            <w:pPr>
              <w:pStyle w:val="TableTextLeft"/>
            </w:pPr>
            <w:r>
              <w:t>Highest</w:t>
            </w:r>
          </w:p>
        </w:tc>
        <w:tc>
          <w:tcPr>
            <w:tcW w:w="4755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Over $142,000</w:t>
            </w:r>
          </w:p>
        </w:tc>
      </w:tr>
    </w:tbl>
    <w:p>
      <w:pPr>
        <w:pStyle w:val="TableHeading"/>
        <w:rPr>
          <w:color w:val="auto"/>
        </w:rPr>
      </w:pPr>
      <w:r>
        <w:rPr>
          <w:color w:val="auto"/>
        </w:rPr>
        <w:lastRenderedPageBreak/>
        <w:t>Table A4.2 Breakdown of personal income tax filers by age, 2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Table"/>
      </w:tblPr>
      <w:tblGrid>
        <w:gridCol w:w="1527"/>
        <w:gridCol w:w="1875"/>
        <w:gridCol w:w="2250"/>
        <w:gridCol w:w="2059"/>
      </w:tblGrid>
      <w:tr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TextLeft"/>
            </w:pPr>
          </w:p>
        </w:tc>
        <w:tc>
          <w:tcPr>
            <w:tcW w:w="1875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ColumnHeadingRight"/>
            </w:pPr>
            <w:r>
              <w:t>Number of tax filers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ColumnHeadingRight"/>
            </w:pPr>
            <w:r>
              <w:t>Average taxable income ($)</w:t>
            </w:r>
          </w:p>
        </w:tc>
        <w:tc>
          <w:tcPr>
            <w:tcW w:w="2059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ColumnHeadingRight"/>
            </w:pPr>
            <w:r>
              <w:t>Share of tax paid (%)</w:t>
            </w:r>
          </w:p>
        </w:tc>
      </w:tr>
      <w:tr>
        <w:tc>
          <w:tcPr>
            <w:tcW w:w="1527" w:type="dxa"/>
            <w:tcBorders>
              <w:top w:val="single" w:sz="4" w:space="0" w:color="auto"/>
            </w:tcBorders>
          </w:tcPr>
          <w:p>
            <w:pPr>
              <w:pStyle w:val="TableTextLeft"/>
            </w:pPr>
            <w:r>
              <w:t>18-24</w:t>
            </w:r>
          </w:p>
        </w:tc>
        <w:tc>
          <w:tcPr>
            <w:tcW w:w="1875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1,917,000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38,500</w:t>
            </w:r>
          </w:p>
        </w:tc>
        <w:tc>
          <w:tcPr>
            <w:tcW w:w="2059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3.6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25-29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1,737,000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60,700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7.3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30-34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1,801,000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72,200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10.1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35-39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1,746,000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83,200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12.3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40-44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1,584,000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93,600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13.4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45-49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1,404,000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99,700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13.1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50-54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1,420,000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99,300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13.3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55-59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1,244,000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92,100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10.5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60-64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1,126,000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76,500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7.5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65-69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775,000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62,600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4.0</w:t>
            </w:r>
          </w:p>
        </w:tc>
      </w:tr>
      <w:tr>
        <w:tc>
          <w:tcPr>
            <w:tcW w:w="1527" w:type="dxa"/>
          </w:tcPr>
          <w:p>
            <w:pPr>
              <w:pStyle w:val="TableTextLeft"/>
            </w:pPr>
            <w:r>
              <w:t>70-74</w:t>
            </w:r>
          </w:p>
        </w:tc>
        <w:tc>
          <w:tcPr>
            <w:tcW w:w="1875" w:type="dxa"/>
          </w:tcPr>
          <w:p>
            <w:pPr>
              <w:pStyle w:val="TableTextRight"/>
              <w:rPr>
                <w:highlight w:val="yellow"/>
              </w:rPr>
            </w:pPr>
            <w:r>
              <w:t>472,000</w:t>
            </w:r>
          </w:p>
        </w:tc>
        <w:tc>
          <w:tcPr>
            <w:tcW w:w="2250" w:type="dxa"/>
          </w:tcPr>
          <w:p>
            <w:pPr>
              <w:pStyle w:val="TableTextRight"/>
              <w:rPr>
                <w:highlight w:val="yellow"/>
              </w:rPr>
            </w:pPr>
            <w:r>
              <w:t>54,100</w:t>
            </w:r>
          </w:p>
        </w:tc>
        <w:tc>
          <w:tcPr>
            <w:tcW w:w="2059" w:type="dxa"/>
          </w:tcPr>
          <w:p>
            <w:pPr>
              <w:pStyle w:val="TableTextRight"/>
              <w:rPr>
                <w:highlight w:val="yellow"/>
              </w:rPr>
            </w:pPr>
            <w:r>
              <w:t>2.1</w:t>
            </w:r>
          </w:p>
        </w:tc>
      </w:tr>
      <w:tr>
        <w:tc>
          <w:tcPr>
            <w:tcW w:w="1527" w:type="dxa"/>
            <w:tcBorders>
              <w:bottom w:val="single" w:sz="4" w:space="0" w:color="auto"/>
            </w:tcBorders>
          </w:tcPr>
          <w:p>
            <w:pPr>
              <w:pStyle w:val="TableTextLeft"/>
            </w:pPr>
            <w:r>
              <w:t>75+</w:t>
            </w:r>
          </w:p>
        </w:tc>
        <w:tc>
          <w:tcPr>
            <w:tcW w:w="1875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647,000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54,200</w:t>
            </w:r>
          </w:p>
        </w:tc>
        <w:tc>
          <w:tcPr>
            <w:tcW w:w="2059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2.9</w:t>
            </w:r>
          </w:p>
        </w:tc>
      </w:tr>
    </w:tbl>
    <w:p>
      <w:pPr>
        <w:pStyle w:val="TableHeading"/>
        <w:rPr>
          <w:color w:val="auto"/>
        </w:rPr>
      </w:pPr>
      <w:r>
        <w:rPr>
          <w:color w:val="auto"/>
        </w:rPr>
        <w:t>Table A4.3 Breakdown of personal income tax filers by gender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1839"/>
        <w:gridCol w:w="2283"/>
        <w:gridCol w:w="2058"/>
      </w:tblGrid>
      <w:tr>
        <w:tc>
          <w:tcPr>
            <w:tcW w:w="1546" w:type="dxa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TableTextLeft"/>
              <w:rPr>
                <w:highlight w:val="yellow"/>
              </w:rPr>
            </w:pPr>
          </w:p>
        </w:tc>
        <w:tc>
          <w:tcPr>
            <w:tcW w:w="18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pStyle w:val="TableColumnHeadingRight"/>
            </w:pPr>
            <w:r>
              <w:t>Number of tax filers</w:t>
            </w:r>
          </w:p>
        </w:tc>
        <w:tc>
          <w:tcPr>
            <w:tcW w:w="2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pStyle w:val="TableColumnHeadingRight"/>
            </w:pPr>
            <w:r>
              <w:t>Average taxable income ($)</w:t>
            </w:r>
          </w:p>
        </w:tc>
        <w:tc>
          <w:tcPr>
            <w:tcW w:w="20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pStyle w:val="TableColumnHeadingRight"/>
            </w:pPr>
            <w:r>
              <w:t>Share of tax paid (%)</w:t>
            </w:r>
          </w:p>
        </w:tc>
      </w:tr>
      <w:tr>
        <w:tc>
          <w:tcPr>
            <w:tcW w:w="1546" w:type="dxa"/>
            <w:tcBorders>
              <w:top w:val="single" w:sz="4" w:space="0" w:color="auto"/>
            </w:tcBorders>
          </w:tcPr>
          <w:p>
            <w:pPr>
              <w:pStyle w:val="TableTextLeft"/>
            </w:pPr>
            <w:r>
              <w:t>Men</w:t>
            </w:r>
          </w:p>
        </w:tc>
        <w:tc>
          <w:tcPr>
            <w:tcW w:w="1856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8,129,000</w:t>
            </w:r>
          </w:p>
        </w:tc>
        <w:tc>
          <w:tcPr>
            <w:tcW w:w="2308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86,200</w:t>
            </w:r>
          </w:p>
        </w:tc>
        <w:tc>
          <w:tcPr>
            <w:tcW w:w="2082" w:type="dxa"/>
            <w:tcBorders>
              <w:top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62.6</w:t>
            </w:r>
          </w:p>
        </w:tc>
      </w:tr>
      <w:tr>
        <w:tc>
          <w:tcPr>
            <w:tcW w:w="1546" w:type="dxa"/>
            <w:tcBorders>
              <w:bottom w:val="single" w:sz="4" w:space="0" w:color="auto"/>
            </w:tcBorders>
          </w:tcPr>
          <w:p>
            <w:pPr>
              <w:pStyle w:val="TableTextLeft"/>
            </w:pPr>
            <w:r>
              <w:t>Women</w:t>
            </w:r>
          </w:p>
        </w:tc>
        <w:tc>
          <w:tcPr>
            <w:tcW w:w="1856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7,980,000</w:t>
            </w:r>
          </w:p>
        </w:tc>
        <w:tc>
          <w:tcPr>
            <w:tcW w:w="2308" w:type="dxa"/>
            <w:tcBorders>
              <w:bottom w:val="single" w:sz="4" w:space="0" w:color="auto"/>
            </w:tcBorders>
          </w:tcPr>
          <w:p>
            <w:pPr>
              <w:pStyle w:val="TableTextRight"/>
              <w:rPr>
                <w:highlight w:val="yellow"/>
              </w:rPr>
            </w:pPr>
            <w:r>
              <w:t>62,000</w:t>
            </w:r>
          </w:p>
        </w:tc>
        <w:tc>
          <w:tcPr>
            <w:tcW w:w="2082" w:type="dxa"/>
            <w:tcBorders>
              <w:bottom w:val="single" w:sz="4" w:space="0" w:color="auto"/>
            </w:tcBorders>
          </w:tcPr>
          <w:p>
            <w:pPr>
              <w:pStyle w:val="TableTextRight"/>
            </w:pPr>
            <w:r>
              <w:t>37.4</w:t>
            </w:r>
          </w:p>
        </w:tc>
      </w:tr>
    </w:tbl>
    <w:p>
      <w:r>
        <w:t xml:space="preserve">Analysis of tax expenditures relating to businesses is based</w:t>
      </w:r>
    </w:p>
    <w:p>
      <w:pPr>
        <w:pStyle w:val="Bullet"/>
      </w:pPr>
      <w:r>
        <w:t>Wholesale Trade and Retail Trade are combined</w:t>
      </w:r>
    </w:p>
    <w:p>
      <w:pPr>
        <w:pStyle w:val="Bullet"/>
      </w:pPr>
      <w:r>
        <w:t>NonMarket Services includes Public Administration and Safety</w:t>
      </w:r>
      <w:r>
        <w:noBreakHyphen/>
      </w:r>
      <w:r>
        <w:t/>
      </w:r>
    </w:p>
    <w:p>
      <w:pPr>
        <w:pStyle w:val="Bullet"/>
      </w:pPr>
      <w:r>
        <w:t>Other Market Services includes Accommodation and Food Servic</w:t>
      </w:r>
    </w:p>
    <w:p>
      <w:pPr>
        <w:pStyle w:val="TableHeading"/>
        <w:rPr>
          <w:color w:val="auto"/>
        </w:rPr>
      </w:pPr>
      <w:r>
        <w:rPr>
          <w:color w:val="auto"/>
        </w:rPr>
        <w:lastRenderedPageBreak/>
        <w:t xml:space="preserve">Table A4.4 Breakdown of company tax filers by industry, 2022</w:t>
      </w:r>
      <w:r>
        <w:rPr>
          <w:color w:val="auto"/>
        </w:rPr>
        <w:t/>
      </w:r>
      <w:r>
        <w:rPr>
          <w:color w:val="auto"/>
        </w:rPr>
        <w:t xml:space="preserv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Table"/>
      </w:tblPr>
      <w:tblGrid>
        <w:gridCol w:w="4104"/>
        <w:gridCol w:w="1604"/>
        <w:gridCol w:w="2003"/>
      </w:tblGrid>
      <w:tr>
        <w:trPr>
          <w:trHeight w:val="300"/>
        </w:trPr>
        <w:tc>
          <w:tcPr>
            <w:tcW w:w="4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>
            <w:pPr>
              <w:pStyle w:val="TableColumnHeadingLeft"/>
            </w:pPr>
            <w:r>
              <w:t>Industry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>
            <w:pPr>
              <w:pStyle w:val="TableColumnHeadingRight"/>
            </w:pPr>
            <w:r>
              <w:t>No. of companies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>
            <w:pPr>
              <w:pStyle w:val="TableColumnHeadingRight"/>
            </w:pPr>
            <w:r>
              <w:t>With tax payable</w:t>
            </w:r>
          </w:p>
        </w:tc>
      </w:tr>
      <w:tr>
        <w:trPr>
          <w:trHeight w:val="115"/>
        </w:trPr>
        <w:tc>
          <w:tcPr>
            <w:tcW w:w="408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Agriculture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25,400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8,800</w:t>
            </w:r>
          </w:p>
        </w:tc>
      </w:tr>
      <w:tr>
        <w:trPr>
          <w:trHeight w:val="185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Mining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7,700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2,100</w:t>
            </w:r>
          </w:p>
        </w:tc>
      </w:tr>
      <w:tr>
        <w:trPr>
          <w:trHeight w:val="24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Manufacturing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58,000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23,400</w:t>
            </w:r>
          </w:p>
        </w:tc>
      </w:tr>
      <w:tr>
        <w:trPr>
          <w:trHeight w:val="135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Electricity, Gas, Water and Waste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4,800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1,800</w:t>
            </w:r>
          </w:p>
        </w:tc>
      </w:tr>
      <w:tr>
        <w:trPr>
          <w:trHeight w:val="19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Construction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183,900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75,100</w:t>
            </w:r>
          </w:p>
        </w:tc>
      </w:tr>
      <w:tr>
        <w:trPr>
          <w:trHeight w:val="113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Wholesale and Retail Trade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123,600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51,500</w:t>
            </w:r>
          </w:p>
        </w:tc>
      </w:tr>
      <w:tr>
        <w:trPr>
          <w:trHeight w:val="173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Transport, Postal and Warehousing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53,200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21,600</w:t>
            </w:r>
          </w:p>
        </w:tc>
      </w:tr>
      <w:tr>
        <w:trPr>
          <w:trHeight w:val="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Information Media and Telecommunications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18,400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6,200</w:t>
            </w:r>
          </w:p>
        </w:tc>
      </w:tr>
      <w:tr>
        <w:trPr>
          <w:trHeight w:val="151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Finance and Insurance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176,200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95,500</w:t>
            </w:r>
          </w:p>
        </w:tc>
      </w:tr>
      <w:tr>
        <w:trPr>
          <w:trHeight w:val="211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Rental, Leasing and Hiring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158,400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55,800</w:t>
            </w:r>
          </w:p>
        </w:tc>
      </w:tr>
      <w:tr>
        <w:trPr>
          <w:trHeight w:val="128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Professional, Scientific and Technical Services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198,200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86,000</w:t>
            </w:r>
          </w:p>
        </w:tc>
      </w:tr>
      <w:tr>
        <w:trPr>
          <w:trHeight w:val="188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Non-Market Services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86,100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38,900</w:t>
            </w:r>
          </w:p>
        </w:tc>
      </w:tr>
      <w:tr>
        <w:trPr>
          <w:trHeight w:val="105"/>
        </w:trPr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Other Market Services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152,400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57,400</w:t>
            </w:r>
          </w:p>
        </w:tc>
      </w:tr>
      <w:tr>
        <w:trPr>
          <w:trHeight w:val="166"/>
        </w:trPr>
        <w:tc>
          <w:tcPr>
            <w:tcW w:w="4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Left"/>
            </w:pPr>
            <w:r>
              <w:t>Total</w:t>
            </w:r>
          </w:p>
        </w:tc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1,246,300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>
            <w:pPr>
              <w:pStyle w:val="TableTextRight"/>
            </w:pPr>
            <w:r>
              <w:t>524,000</w:t>
            </w:r>
          </w:p>
        </w:tc>
      </w:tr>
      <w:bookmarkEnd w:id="118"/>
    </w:tbl>
    <w:sectPr>
      <w:headerReference w:type="default" r:id="rId72"/>
      <w:footerReference w:type="default" r:id="rId73"/>
      <w:pgSz w:w="11907" w:h="16840" w:code="9"/>
      <w:pgMar w:top="2835" w:right="2098" w:bottom="2466" w:left="2098" w:header="1814" w:footer="1814" w:gutter="0"/>
      <w:cols w:space="720"/>
      <w:docGrid w:linePitch="360"/>
    </w:sectPr>
  </w:body>
</w:document>
</file>