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3A5C"/>
          <w:sz w:val="56"/>
          <w:szCs w:val="56"/>
        </w:rPr>
        <w:t xml:space="preserve">BLUESTRATA LLC</w:t>
      </w:r>
    </w:p>
    <w:p>
      <w:pPr>
        <w:pBdr>
          <w:bottom w:val="single" w:color="2E75B6" w:sz="6" w:space="1"/>
        </w:pBdr>
        <w:spacing w:after="80"/>
        <w:jc w:val="center"/>
      </w:pPr>
      <w:r>
        <w:rPr>
          <w:rFonts w:ascii="Arial" w:cs="Arial" w:eastAsia="Arial" w:hAnsi="Arial"/>
          <w:color w:val="2E75B6"/>
          <w:sz w:val="28"/>
          <w:szCs w:val="28"/>
        </w:rPr>
        <w:t xml:space="preserve">Cybersecurity &amp; Managed IT Services</w:t>
      </w:r>
    </w:p>
    <w:p>
      <w:pPr>
        <w:spacing w:before="600"/>
      </w:pPr>
    </w:p>
    <w:p>
      <w:pPr>
        <w:spacing w:after="100"/>
        <w:jc w:val="center"/>
      </w:pPr>
      <w:r>
        <w:rPr>
          <w:rFonts w:ascii="Arial" w:cs="Arial" w:eastAsia="Arial" w:hAnsi="Arial"/>
          <w:b/>
          <w:bCs/>
          <w:color w:val="1B3A5C"/>
          <w:sz w:val="36"/>
          <w:szCs w:val="36"/>
        </w:rPr>
        <w:t xml:space="preserve">Service Catalog &amp; Pricing Guide</w:t>
      </w:r>
    </w:p>
    <w:p>
      <w:pPr>
        <w:spacing w:after="100"/>
        <w:jc w:val="center"/>
      </w:pPr>
      <w:r>
        <w:rPr>
          <w:rFonts w:ascii="Arial" w:cs="Arial" w:eastAsia="Arial" w:hAnsi="Arial"/>
          <w:color w:val="555555"/>
          <w:sz w:val="24"/>
          <w:szCs w:val="24"/>
        </w:rPr>
        <w:t xml:space="preserve">2026 Edition</w:t>
      </w:r>
    </w:p>
    <w:p>
      <w:pPr>
        <w:spacing w:before="1800"/>
      </w:pPr>
    </w:p>
    <w:p>
      <w:pPr>
        <w:spacing w:after="40"/>
        <w:jc w:val="center"/>
      </w:pPr>
      <w:r>
        <w:rPr>
          <w:rFonts w:ascii="Arial" w:cs="Arial" w:eastAsia="Arial" w:hAnsi="Arial"/>
          <w:color w:val="2E75B6"/>
          <w:sz w:val="22"/>
          <w:szCs w:val="22"/>
        </w:rPr>
        <w:t xml:space="preserve">bluestrata.io</w:t>
      </w:r>
    </w:p>
    <w:p>
      <w:pPr>
        <w:spacing w:after="40"/>
        <w:jc w:val="center"/>
      </w:pPr>
      <w:r>
        <w:rPr>
          <w:rFonts w:ascii="Arial" w:cs="Arial" w:eastAsia="Arial" w:hAnsi="Arial"/>
          <w:color w:val="555555"/>
          <w:sz w:val="20"/>
          <w:szCs w:val="20"/>
        </w:rPr>
        <w:t xml:space="preserve">Veteran-Owned | Colorado-Based</w:t>
      </w:r>
    </w:p>
    <w:p>
      <w:pPr>
        <w:jc w:val="center"/>
      </w:pPr>
      <w:r>
        <w:rPr>
          <w:rFonts w:ascii="Arial" w:cs="Arial" w:eastAsia="Arial" w:hAnsi="Arial"/>
          <w:b/>
          <w:bCs/>
          <w:color w:val="CC0000"/>
          <w:sz w:val="18"/>
          <w:szCs w:val="18"/>
        </w:rPr>
        <w:t xml:space="preserve">CONFIDENTIAL</w:t>
      </w:r>
    </w:p>
    <w:p>
      <w:pPr>
        <w:sectPr>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Company Overview</w:t>
      </w:r>
    </w:p>
    <w:p>
      <w:pPr>
        <w:spacing w:after="120"/>
      </w:pPr>
      <w:r>
        <w:rPr>
          <w:rFonts w:ascii="Arial" w:cs="Arial" w:eastAsia="Arial" w:hAnsi="Arial"/>
          <w:sz w:val="20"/>
          <w:szCs w:val="20"/>
        </w:rPr>
        <w:t xml:space="preserve">BlueStrata LLC is a veteran-owned cybersecurity and managed IT services provider headquartered in Colorado, serving small to midsize businesses (10–200 employees). We specialize in Microsoft-centric environments, delivering enterprise-grade security and IT management without enterprise-level complexity or cost.</w:t>
      </w:r>
    </w:p>
    <w:p>
      <w:pPr>
        <w:spacing w:after="120"/>
      </w:pPr>
      <w:r>
        <w:rPr>
          <w:rFonts w:ascii="Arial" w:cs="Arial" w:eastAsia="Arial" w:hAnsi="Arial"/>
          <w:sz w:val="20"/>
          <w:szCs w:val="20"/>
        </w:rPr>
        <w:t xml:space="preserve">Our approach is lean, automation-first, and security-driven. Every engagement is led by a founder-level engineer with hands-on expertise in endpoint management, identity security, cloud infrastructure, and network architecture.</w:t>
      </w:r>
    </w:p>
    <w:p>
      <w:pPr>
        <w:pStyle w:val="Heading2"/>
        <w:spacing w:before="280" w:after="140"/>
      </w:pPr>
      <w:r>
        <w:rPr>
          <w:rFonts w:ascii="Arial" w:cs="Arial" w:eastAsia="Arial" w:hAnsi="Arial"/>
          <w:b/>
          <w:bCs/>
          <w:color w:val="2E75B6"/>
          <w:sz w:val="26"/>
          <w:szCs w:val="26"/>
        </w:rPr>
        <w:t xml:space="preserve">Target Verticals</w:t>
      </w:r>
    </w:p>
    <w:p>
      <w:pPr>
        <w:pStyle w:val="ListParagraph"/>
        <w:numPr>
          <w:ilvl w:val="0"/>
          <w:numId w:val="2"/>
        </w:numPr>
        <w:spacing w:after="60"/>
      </w:pPr>
      <w:r>
        <w:rPr>
          <w:rFonts w:ascii="Arial" w:cs="Arial" w:eastAsia="Arial" w:hAnsi="Arial"/>
          <w:b/>
          <w:bCs/>
          <w:sz w:val="20"/>
          <w:szCs w:val="20"/>
        </w:rPr>
        <w:t xml:space="preserve">Professional Services: </w:t>
      </w:r>
      <w:r>
        <w:rPr>
          <w:rFonts w:ascii="Arial" w:cs="Arial" w:eastAsia="Arial" w:hAnsi="Arial"/>
          <w:sz w:val="20"/>
          <w:szCs w:val="20"/>
        </w:rPr>
        <w:t xml:space="preserve">Law firms, accounting firms, and financial advisors requiring secure remote access and data protection</w:t>
      </w:r>
    </w:p>
    <w:p>
      <w:pPr>
        <w:pStyle w:val="ListParagraph"/>
        <w:numPr>
          <w:ilvl w:val="0"/>
          <w:numId w:val="2"/>
        </w:numPr>
        <w:spacing w:after="60"/>
      </w:pPr>
      <w:r>
        <w:rPr>
          <w:rFonts w:ascii="Arial" w:cs="Arial" w:eastAsia="Arial" w:hAnsi="Arial"/>
          <w:b/>
          <w:bCs/>
          <w:sz w:val="20"/>
          <w:szCs w:val="20"/>
        </w:rPr>
        <w:t xml:space="preserve">Construction &amp; Blue-Collar SMBs: </w:t>
      </w:r>
      <w:r>
        <w:rPr>
          <w:rFonts w:ascii="Arial" w:cs="Arial" w:eastAsia="Arial" w:hAnsi="Arial"/>
          <w:sz w:val="20"/>
          <w:szCs w:val="20"/>
        </w:rPr>
        <w:t xml:space="preserve">Underserved businesses needing basic endpoint hygiene and automation</w:t>
      </w:r>
    </w:p>
    <w:p>
      <w:pPr>
        <w:pStyle w:val="ListParagraph"/>
        <w:numPr>
          <w:ilvl w:val="0"/>
          <w:numId w:val="2"/>
        </w:numPr>
        <w:spacing w:after="60"/>
      </w:pPr>
      <w:r>
        <w:rPr>
          <w:rFonts w:ascii="Arial" w:cs="Arial" w:eastAsia="Arial" w:hAnsi="Arial"/>
          <w:b/>
          <w:bCs/>
          <w:sz w:val="20"/>
          <w:szCs w:val="20"/>
        </w:rPr>
        <w:t xml:space="preserve">Small Retail &amp; Service Businesses: </w:t>
      </w:r>
      <w:r>
        <w:rPr>
          <w:rFonts w:ascii="Arial" w:cs="Arial" w:eastAsia="Arial" w:hAnsi="Arial"/>
          <w:sz w:val="20"/>
          <w:szCs w:val="20"/>
        </w:rPr>
        <w:t xml:space="preserve">POS security, basic network hardening, and IT support for customer-facing operations</w:t>
      </w:r>
    </w:p>
    <w:p>
      <w:pPr>
        <w:pStyle w:val="Heading2"/>
        <w:spacing w:before="280" w:after="140"/>
      </w:pPr>
      <w:r>
        <w:rPr>
          <w:rFonts w:ascii="Arial" w:cs="Arial" w:eastAsia="Arial" w:hAnsi="Arial"/>
          <w:b/>
          <w:bCs/>
          <w:color w:val="2E75B6"/>
          <w:sz w:val="26"/>
          <w:szCs w:val="26"/>
        </w:rPr>
        <w:t xml:space="preserve">Core Differentiators</w:t>
      </w:r>
    </w:p>
    <w:p>
      <w:pPr>
        <w:pStyle w:val="ListParagraph"/>
        <w:numPr>
          <w:ilvl w:val="0"/>
          <w:numId w:val="2"/>
        </w:numPr>
        <w:spacing w:after="60"/>
      </w:pPr>
      <w:r>
        <w:rPr>
          <w:rFonts w:ascii="Arial" w:cs="Arial" w:eastAsia="Arial" w:hAnsi="Arial"/>
          <w:sz w:val="20"/>
          <w:szCs w:val="20"/>
        </w:rPr>
        <w:t xml:space="preserve">Founder-level expertise on every engagement – no bloated helpdesk layers</w:t>
      </w:r>
    </w:p>
    <w:p>
      <w:pPr>
        <w:pStyle w:val="ListParagraph"/>
        <w:numPr>
          <w:ilvl w:val="0"/>
          <w:numId w:val="2"/>
        </w:numPr>
        <w:spacing w:after="60"/>
      </w:pPr>
      <w:r>
        <w:rPr>
          <w:rFonts w:ascii="Arial" w:cs="Arial" w:eastAsia="Arial" w:hAnsi="Arial"/>
          <w:sz w:val="20"/>
          <w:szCs w:val="20"/>
        </w:rPr>
        <w:t xml:space="preserve">Veteran-owned with a mission-focused, discipline-driven approach</w:t>
      </w:r>
    </w:p>
    <w:p>
      <w:pPr>
        <w:pStyle w:val="ListParagraph"/>
        <w:numPr>
          <w:ilvl w:val="0"/>
          <w:numId w:val="2"/>
        </w:numPr>
        <w:spacing w:after="60"/>
      </w:pPr>
      <w:r>
        <w:rPr>
          <w:rFonts w:ascii="Arial" w:cs="Arial" w:eastAsia="Arial" w:hAnsi="Arial"/>
          <w:sz w:val="20"/>
          <w:szCs w:val="20"/>
        </w:rPr>
        <w:t xml:space="preserve">Automation-first service delivery for speed and cost efficiency</w:t>
      </w:r>
    </w:p>
    <w:p>
      <w:pPr>
        <w:pStyle w:val="ListParagraph"/>
        <w:numPr>
          <w:ilvl w:val="0"/>
          <w:numId w:val="2"/>
        </w:numPr>
        <w:spacing w:after="60"/>
      </w:pPr>
      <w:r>
        <w:rPr>
          <w:rFonts w:ascii="Arial" w:cs="Arial" w:eastAsia="Arial" w:hAnsi="Arial"/>
          <w:sz w:val="20"/>
          <w:szCs w:val="20"/>
        </w:rPr>
        <w:t xml:space="preserve">Security-focused IT support, not just break/fix</w:t>
      </w:r>
    </w:p>
    <w:p>
      <w:pPr>
        <w:pStyle w:val="ListParagraph"/>
        <w:numPr>
          <w:ilvl w:val="0"/>
          <w:numId w:val="2"/>
        </w:numPr>
        <w:spacing w:after="60"/>
      </w:pPr>
      <w:r>
        <w:rPr>
          <w:rFonts w:ascii="Arial" w:cs="Arial" w:eastAsia="Arial" w:hAnsi="Arial"/>
          <w:sz w:val="20"/>
          <w:szCs w:val="20"/>
        </w:rPr>
        <w:t xml:space="preserve">Security-first approach built into every engagement</w:t>
      </w:r>
    </w:p>
    <w:p>
      <w:r>
        <w:br w:type="page"/>
      </w:r>
    </w:p>
    <w:p>
      <w:pPr>
        <w:pStyle w:val="Heading1"/>
        <w:spacing w:before="360" w:after="200"/>
      </w:pPr>
      <w:r>
        <w:rPr>
          <w:rFonts w:ascii="Arial" w:cs="Arial" w:eastAsia="Arial" w:hAnsi="Arial"/>
          <w:b/>
          <w:bCs/>
          <w:color w:val="1B3A5C"/>
          <w:sz w:val="32"/>
          <w:szCs w:val="32"/>
        </w:rPr>
        <w:t xml:space="preserve">2. Managed Service Tiers</w:t>
      </w:r>
    </w:p>
    <w:p>
      <w:pPr>
        <w:spacing w:after="120"/>
      </w:pPr>
      <w:r>
        <w:rPr>
          <w:rFonts w:ascii="Arial" w:cs="Arial" w:eastAsia="Arial" w:hAnsi="Arial"/>
          <w:sz w:val="20"/>
          <w:szCs w:val="20"/>
        </w:rPr>
        <w:t xml:space="preserve">BlueStrata offers three tiers of managed services designed to scale with your business. Each tier builds upon the previous, allowing clients to upgrade as their needs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Feature</w:t>
            </w:r>
          </w:p>
        </w:tc>
        <w:tc>
          <w:tcPr>
            <w:tcW w:type="dxa" w:w="2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Essentials</w:t>
            </w:r>
          </w:p>
        </w:tc>
        <w:tc>
          <w:tcPr>
            <w:tcW w:type="dxa" w:w="2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Professional</w:t>
            </w:r>
          </w:p>
        </w:tc>
        <w:tc>
          <w:tcPr>
            <w:tcW w:type="dxa" w:w="2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Enterprise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Endpoint Management</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Patching &amp; Updates</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Antivirus / EDR</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 (Advanced EDR)</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 (XDR)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User Onboarding/Offboarding</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Network Setup (Firewall, VLANs)</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MFA Enforcement</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Security Awareness Training</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Basic</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Phishing Simulations</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Program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Monthly Reporting</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M365 Tenant Hardening</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Conditional Access Policies</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Intune Device Management</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Vulnerability Scanning</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Monthly</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Continuous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Data Backup &amp; DR Planning</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Quarterly Security Reviews</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Incident Response Playbooks</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IT Documentation (Onboarding)</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Basic</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Full SOPs &amp; Runbooks</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Full SOPs &amp; Runbooks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Documentation Annual Refresh</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Asset Inventory &amp; Tracking</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Initial Only</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 (Quarterly)</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 (Continuous)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Software License Management</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Quarterly Review</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Continuous Optimization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Pricing (per user/month)</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$100–$150</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$150–$250</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$250–$400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Minimum Monthly Retainer</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$1,500</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$2,500</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$5,000</w:t>
            </w:r>
          </w:p>
        </w:tc>
      </w:tr>
    </w:tbl>
    <w:p>
      <w:pPr>
        <w:spacing w:before="200"/>
      </w:pPr>
    </w:p>
    <w:p>
      <w:pPr>
        <w:spacing w:after="120"/>
      </w:pPr>
      <w:r>
        <w:rPr>
          <w:rFonts w:ascii="Arial" w:cs="Arial" w:eastAsia="Arial" w:hAnsi="Arial"/>
          <w:sz w:val="20"/>
          <w:szCs w:val="20"/>
        </w:rPr>
        <w:t xml:space="preserve">All tiers include unlimited remote support during business hours (8 AM–6 PM MT, Monday–Friday). After-hours emergency support is available at $200/hour for Essentials clients and included in Professional and Enterprise tiers.</w:t>
      </w:r>
    </w:p>
    <w:p>
      <w:pPr>
        <w:pStyle w:val="Heading2"/>
        <w:spacing w:before="280" w:after="140"/>
      </w:pPr>
      <w:r>
        <w:rPr>
          <w:rFonts w:ascii="Arial" w:cs="Arial" w:eastAsia="Arial" w:hAnsi="Arial"/>
          <w:b/>
          <w:bCs/>
          <w:color w:val="2E75B6"/>
          <w:sz w:val="26"/>
          <w:szCs w:val="26"/>
        </w:rPr>
        <w:t xml:space="preserve">2.1 Pricing Definitions</w:t>
      </w:r>
    </w:p>
    <w:p>
      <w:pPr>
        <w:pStyle w:val="Heading3"/>
        <w:spacing w:before="200" w:after="100"/>
      </w:pPr>
      <w:r>
        <w:rPr>
          <w:rFonts w:ascii="Arial" w:cs="Arial" w:eastAsia="Arial" w:hAnsi="Arial"/>
          <w:b/>
          <w:bCs/>
          <w:color w:val="1B3A5C"/>
          <w:sz w:val="22"/>
          <w:szCs w:val="22"/>
        </w:rPr>
        <w:t xml:space="preserve">What Counts as a “User”</w:t>
      </w:r>
    </w:p>
    <w:p>
      <w:pPr>
        <w:spacing w:after="120"/>
      </w:pPr>
      <w:r>
        <w:rPr>
          <w:rFonts w:ascii="Arial" w:cs="Arial" w:eastAsia="Arial" w:hAnsi="Arial"/>
          <w:sz w:val="20"/>
          <w:szCs w:val="20"/>
        </w:rPr>
        <w:t xml:space="preserve">A user is defined as one named individual within the client organization. Each user includes management of up to two (2) assigned devices — typically a primary workstation (desktop or laptop) and one additional device (a second laptop, tablet, or company-issued mobile phone). Devices must be assigned to a specific user to be covered under per-user pricing.</w:t>
      </w:r>
    </w:p>
    <w:p>
      <w:pPr>
        <w:pStyle w:val="ListParagraph"/>
        <w:numPr>
          <w:ilvl w:val="0"/>
          <w:numId w:val="2"/>
        </w:numPr>
        <w:spacing w:after="60"/>
      </w:pPr>
      <w:r>
        <w:rPr>
          <w:rFonts w:ascii="Arial" w:cs="Arial" w:eastAsia="Arial" w:hAnsi="Arial"/>
          <w:sz w:val="20"/>
          <w:szCs w:val="20"/>
        </w:rPr>
        <w:t xml:space="preserve">1 user = 1 person + up to 2 assigned devices</w:t>
      </w:r>
    </w:p>
    <w:p>
      <w:pPr>
        <w:pStyle w:val="ListParagraph"/>
        <w:numPr>
          <w:ilvl w:val="0"/>
          <w:numId w:val="2"/>
        </w:numPr>
        <w:spacing w:after="60"/>
      </w:pPr>
      <w:r>
        <w:rPr>
          <w:rFonts w:ascii="Arial" w:cs="Arial" w:eastAsia="Arial" w:hAnsi="Arial"/>
          <w:sz w:val="20"/>
          <w:szCs w:val="20"/>
        </w:rPr>
        <w:t xml:space="preserve">Additional devices beyond 2 per user are billed at $50/device/month</w:t>
      </w:r>
    </w:p>
    <w:p>
      <w:pPr>
        <w:pStyle w:val="ListParagraph"/>
        <w:numPr>
          <w:ilvl w:val="0"/>
          <w:numId w:val="2"/>
        </w:numPr>
        <w:spacing w:after="60"/>
      </w:pPr>
      <w:r>
        <w:rPr>
          <w:rFonts w:ascii="Arial" w:cs="Arial" w:eastAsia="Arial" w:hAnsi="Arial"/>
          <w:sz w:val="20"/>
          <w:szCs w:val="20"/>
        </w:rPr>
        <w:t xml:space="preserve">Shared devices (kiosks, conference room systems, reception desktops) are not covered under per-user pricing — see Shared &amp; Network Infrastructure below</w:t>
      </w:r>
    </w:p>
    <w:p>
      <w:pPr>
        <w:pStyle w:val="Heading3"/>
        <w:spacing w:before="200" w:after="100"/>
      </w:pPr>
      <w:r>
        <w:rPr>
          <w:rFonts w:ascii="Arial" w:cs="Arial" w:eastAsia="Arial" w:hAnsi="Arial"/>
          <w:b/>
          <w:bCs/>
          <w:color w:val="1B3A5C"/>
          <w:sz w:val="22"/>
          <w:szCs w:val="22"/>
        </w:rPr>
        <w:t xml:space="preserve">Shared &amp; Network Infrastructure (Included Baseline)</w:t>
      </w:r>
    </w:p>
    <w:p>
      <w:pPr>
        <w:spacing w:after="120"/>
      </w:pPr>
      <w:r>
        <w:rPr>
          <w:rFonts w:ascii="Arial" w:cs="Arial" w:eastAsia="Arial" w:hAnsi="Arial"/>
          <w:sz w:val="20"/>
          <w:szCs w:val="20"/>
        </w:rPr>
        <w:t xml:space="preserve">Every managed services agreement includes monitoring and management of up to five (5) shared or network infrastructure devices at no additional charge. These are devices that do not belong to any single user but are essential to the client’s environment.</w:t>
      </w:r>
    </w:p>
    <w:p>
      <w:pPr>
        <w:pStyle w:val="ListParagraph"/>
        <w:numPr>
          <w:ilvl w:val="0"/>
          <w:numId w:val="2"/>
        </w:numPr>
        <w:spacing w:after="60"/>
      </w:pPr>
      <w:r>
        <w:rPr>
          <w:rFonts w:ascii="Arial" w:cs="Arial" w:eastAsia="Arial" w:hAnsi="Arial"/>
          <w:sz w:val="20"/>
          <w:szCs w:val="20"/>
        </w:rPr>
        <w:t xml:space="preserve">Included devices: firewalls, managed switches, wireless access points, network printers, and shared peripherals</w:t>
      </w:r>
    </w:p>
    <w:p>
      <w:pPr>
        <w:pStyle w:val="ListParagraph"/>
        <w:numPr>
          <w:ilvl w:val="0"/>
          <w:numId w:val="2"/>
        </w:numPr>
        <w:spacing w:after="60"/>
      </w:pPr>
      <w:r>
        <w:rPr>
          <w:rFonts w:ascii="Arial" w:cs="Arial" w:eastAsia="Arial" w:hAnsi="Arial"/>
          <w:sz w:val="20"/>
          <w:szCs w:val="20"/>
        </w:rPr>
        <w:t xml:space="preserve">Included management: firmware updates, configuration backup, uptime monitoring, and alerting</w:t>
      </w:r>
    </w:p>
    <w:p>
      <w:pPr>
        <w:pStyle w:val="ListParagraph"/>
        <w:numPr>
          <w:ilvl w:val="0"/>
          <w:numId w:val="2"/>
        </w:numPr>
        <w:spacing w:after="60"/>
      </w:pPr>
      <w:r>
        <w:rPr>
          <w:rFonts w:ascii="Arial" w:cs="Arial" w:eastAsia="Arial" w:hAnsi="Arial"/>
          <w:sz w:val="20"/>
          <w:szCs w:val="20"/>
        </w:rPr>
        <w:t xml:space="preserve">Additional shared/network devices beyond the included 5 are billed at the rates below</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Additional Network Device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Managed switch, access point, printer, or similar infrastructure device beyond the included 5</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$25–$50/device/month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Shared Workstation or Kiosk</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Unassigned endpoint used by multiple employees (reception desk, warehouse terminal, conference room PC)</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$50–$75/device/month</w:t>
            </w:r>
          </w:p>
        </w:tc>
      </w:tr>
    </w:tbl>
    <w:p>
      <w:pPr>
        <w:pStyle w:val="Heading3"/>
        <w:spacing w:before="200" w:after="100"/>
      </w:pPr>
      <w:r>
        <w:rPr>
          <w:rFonts w:ascii="Arial" w:cs="Arial" w:eastAsia="Arial" w:hAnsi="Arial"/>
          <w:b/>
          <w:bCs/>
          <w:color w:val="1B3A5C"/>
          <w:sz w:val="22"/>
          <w:szCs w:val="22"/>
        </w:rPr>
        <w:t xml:space="preserve">Server Management</w:t>
      </w:r>
    </w:p>
    <w:p>
      <w:pPr>
        <w:spacing w:after="120"/>
      </w:pPr>
      <w:r>
        <w:rPr>
          <w:rFonts w:ascii="Arial" w:cs="Arial" w:eastAsia="Arial" w:hAnsi="Arial"/>
          <w:sz w:val="20"/>
          <w:szCs w:val="20"/>
        </w:rPr>
        <w:t xml:space="preserve">Servers are high-value assets that require dedicated management beyond standard endpoint coverage. Server management is priced separately from per-user rates and includes OS patching, performance monitoring, backup verification, security hardening, and proactive maintenance.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Physical or Virtual Server (Standard)</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Windows Server with standard workloads (file server, print server, DNS/DHCP, small database)</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$150–$250/server/month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Physical or Virtual Server (Business-Critical)</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Line-of-business application server, domain controller, or SQL Server with high-availability requirements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$250–$400/server/month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Azure Virtual Machine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Cloud-hosted VM including OS patching, monitoring, cost review, and backup verification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$100–$200/VM/month</w:t>
            </w:r>
          </w:p>
        </w:tc>
      </w:tr>
    </w:tbl>
    <w:p>
      <w:pPr>
        <w:spacing w:before="120"/>
      </w:pPr>
    </w:p>
    <w:p>
      <w:pPr>
        <w:spacing w:after="120"/>
      </w:pPr>
      <w:r>
        <w:rPr>
          <w:rFonts w:ascii="Arial" w:cs="Arial" w:eastAsia="Arial" w:hAnsi="Arial"/>
          <w:sz w:val="20"/>
          <w:szCs w:val="20"/>
        </w:rPr>
        <w:t xml:space="preserve">Server management includes: operating system patching and updates, performance and health monitoring with alerting, daily backup verification, quarterly security review, and documentation in IT Glue or Hudu. Server management does not include application-level support for line-of-business software — application issues are escalated to the software vendor with BlueStrata coordinating on the client’s behalf.</w:t>
      </w:r>
    </w:p>
    <w:p>
      <w:r>
        <w:br w:type="page"/>
      </w:r>
    </w:p>
    <w:p>
      <w:pPr>
        <w:pStyle w:val="Heading1"/>
        <w:spacing w:before="360" w:after="200"/>
      </w:pPr>
      <w:r>
        <w:rPr>
          <w:rFonts w:ascii="Arial" w:cs="Arial" w:eastAsia="Arial" w:hAnsi="Arial"/>
          <w:b/>
          <w:bCs/>
          <w:color w:val="1B3A5C"/>
          <w:sz w:val="32"/>
          <w:szCs w:val="32"/>
        </w:rPr>
        <w:t xml:space="preserve">3. Azure Administration Services</w:t>
      </w:r>
    </w:p>
    <w:p>
      <w:pPr>
        <w:spacing w:after="120"/>
      </w:pPr>
      <w:r>
        <w:rPr>
          <w:rFonts w:ascii="Arial" w:cs="Arial" w:eastAsia="Arial" w:hAnsi="Arial"/>
          <w:sz w:val="20"/>
          <w:szCs w:val="20"/>
        </w:rPr>
        <w:t xml:space="preserve">The following services align with Microsoft Azure Administrator (AZ-104) competencies. These can be delivered as part of a managed tier or as standalone project engagements.</w:t>
      </w:r>
    </w:p>
    <w:p>
      <w:pPr>
        <w:pStyle w:val="Heading2"/>
        <w:spacing w:before="280" w:after="140"/>
      </w:pPr>
      <w:r>
        <w:rPr>
          <w:rFonts w:ascii="Arial" w:cs="Arial" w:eastAsia="Arial" w:hAnsi="Arial"/>
          <w:b/>
          <w:bCs/>
          <w:color w:val="2E75B6"/>
          <w:sz w:val="26"/>
          <w:szCs w:val="26"/>
        </w:rPr>
        <w:t xml:space="preserve">3.1 Identity &amp; Access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Azure AD Management</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User provisioning, onboarding/offboarding, group management, guest access configuration in Entra ID (Azure AD)</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RBAC Configuration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Design and implement role-based access control across Azure subscriptions, resource groups, and individual resources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Conditional Access</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Configure risk-based conditional access policies, MFA enforcement, and device trust requirements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bl>
    <w:p>
      <w:pPr>
        <w:pStyle w:val="Heading2"/>
        <w:spacing w:before="280" w:after="140"/>
      </w:pPr>
      <w:r>
        <w:rPr>
          <w:rFonts w:ascii="Arial" w:cs="Arial" w:eastAsia="Arial" w:hAnsi="Arial"/>
          <w:b/>
          <w:bCs/>
          <w:color w:val="2E75B6"/>
          <w:sz w:val="26"/>
          <w:szCs w:val="26"/>
        </w:rPr>
        <w:t xml:space="preserve">3.2 Subscription &amp;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Azure Policy Management</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Create and assign Azure Policies to enforce organizational standards and governance across resources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Resource Locks &amp; Tagging</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Implement resource locks (Read-Only, Delete) and tagging strategies for cost tracking and governance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Subscription Governance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Design management group hierarchy, subscription organization, and governance frameworks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$2,500–$5,000/project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Cost Management &amp; Optimization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Analyze Azure spend, identify waste, configure budgets, alerts, and cost allocation tags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$1,500–$3,500/engagement</w:t>
            </w:r>
          </w:p>
        </w:tc>
      </w:tr>
    </w:tbl>
    <w:p>
      <w:pPr>
        <w:pStyle w:val="Heading2"/>
        <w:spacing w:before="280" w:after="140"/>
      </w:pPr>
      <w:r>
        <w:rPr>
          <w:rFonts w:ascii="Arial" w:cs="Arial" w:eastAsia="Arial" w:hAnsi="Arial"/>
          <w:b/>
          <w:bCs/>
          <w:color w:val="2E75B6"/>
          <w:sz w:val="26"/>
          <w:szCs w:val="26"/>
        </w:rPr>
        <w:t xml:space="preserve">3.3 Networking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Virtual Network Design</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Architect VNets, subnets, peering, private/public IPs, and network route tables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Azure DNS Configuration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Configure Azure DNS zones, private DNS zones, and DNS record management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NSG &amp; Security Rules</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Create and assign Network Security Groups, define inbound/outbound security rules, associate with subnets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Azure Firewall Deployment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Implement and configure Azure Firewall with application and network rules, threat intelligence filtering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$3,000–$7,500/project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Azure Bastion</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Deploy Azure Bastion for secure, browser-based RDP/SSH access without exposing public IPs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$1,500–$3,000/project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VPN Gateway Setup</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Configure Site-to-Site and Point-to-Site VPN gateways for hybrid connectivity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$2,500–$5,000/project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ExpressRoute Configuration</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Design and configure Azure ExpressRoute circuits for private, high-bandwidth connectivity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$5,000–$10,000/project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Azure Virtual WAN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Implement Azure Virtual WAN for centralized branch connectivity, routing, and security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$5,000–$12,000/project</w:t>
            </w:r>
          </w:p>
        </w:tc>
      </w:tr>
    </w:tbl>
    <w:p>
      <w:pPr>
        <w:pStyle w:val="Heading2"/>
        <w:spacing w:before="280" w:after="140"/>
      </w:pPr>
      <w:r>
        <w:rPr>
          <w:rFonts w:ascii="Arial" w:cs="Arial" w:eastAsia="Arial" w:hAnsi="Arial"/>
          <w:b/>
          <w:bCs/>
          <w:color w:val="2E75B6"/>
          <w:sz w:val="26"/>
          <w:szCs w:val="26"/>
        </w:rPr>
        <w:t xml:space="preserve">3.4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Azure Monitor Setup</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Configure Azure Monitor, alerts, metrics, log analytics workspaces, and diagnostic settings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bl>
    <w:p>
      <w:r>
        <w:br w:type="page"/>
      </w:r>
    </w:p>
    <w:p>
      <w:pPr>
        <w:pStyle w:val="Heading1"/>
        <w:spacing w:before="360" w:after="200"/>
      </w:pPr>
      <w:r>
        <w:rPr>
          <w:rFonts w:ascii="Arial" w:cs="Arial" w:eastAsia="Arial" w:hAnsi="Arial"/>
          <w:b/>
          <w:bCs/>
          <w:color w:val="1B3A5C"/>
          <w:sz w:val="32"/>
          <w:szCs w:val="32"/>
        </w:rPr>
        <w:t xml:space="preserve">4. Microsoft Security Operations Services</w:t>
      </w:r>
    </w:p>
    <w:p>
      <w:pPr>
        <w:spacing w:after="120"/>
      </w:pPr>
      <w:r>
        <w:rPr>
          <w:rFonts w:ascii="Arial" w:cs="Arial" w:eastAsia="Arial" w:hAnsi="Arial"/>
          <w:sz w:val="20"/>
          <w:szCs w:val="20"/>
        </w:rPr>
        <w:t xml:space="preserve">The following services align with Microsoft Security Operations Analyst (SC-200) competencies. These address email security, threat protection, data governance, and identity risk management within the Microsoft 365 ecosystem.</w:t>
      </w:r>
    </w:p>
    <w:p>
      <w:pPr>
        <w:pStyle w:val="Heading2"/>
        <w:spacing w:before="280" w:after="140"/>
      </w:pPr>
      <w:r>
        <w:rPr>
          <w:rFonts w:ascii="Arial" w:cs="Arial" w:eastAsia="Arial" w:hAnsi="Arial"/>
          <w:b/>
          <w:bCs/>
          <w:color w:val="2E75B6"/>
          <w:sz w:val="26"/>
          <w:szCs w:val="26"/>
        </w:rPr>
        <w:t xml:space="preserve">4.1 Email Security &amp; Threat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Safe Links Policy</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Configure Microsoft Defender for Office 365 Safe Links to scan and rewrite malicious URLs in real-time across email and Teams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Safe Attachments Policy</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Deploy Safe Attachments policies to detonate and sandbox suspicious email attachments before delivery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Anti-Phishing Policies</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Configure anti-phish policies including impersonation protection, mailbox intelligence, and spoof settings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Attack Simulation Training</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Deploy phishing simulation campaigns and security awareness training via Microsoft Defender for Office 365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$1,500–$3,000/campaign</w:t>
            </w:r>
          </w:p>
        </w:tc>
      </w:tr>
    </w:tbl>
    <w:p>
      <w:pPr>
        <w:pStyle w:val="Heading2"/>
        <w:spacing w:before="280" w:after="140"/>
      </w:pPr>
      <w:r>
        <w:rPr>
          <w:rFonts w:ascii="Arial" w:cs="Arial" w:eastAsia="Arial" w:hAnsi="Arial"/>
          <w:b/>
          <w:bCs/>
          <w:color w:val="2E75B6"/>
          <w:sz w:val="26"/>
          <w:szCs w:val="26"/>
        </w:rPr>
        <w:t xml:space="preserve">4.2 Endpoint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Defender for Endpoint</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Onboard devices to Microsoft Defender for Endpoint, configure attack surface reduction rules, and set up automated investigation and response</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$3,000–$7,500/project</w:t>
            </w:r>
          </w:p>
        </w:tc>
      </w:tr>
    </w:tbl>
    <w:p>
      <w:r>
        <w:br w:type="page"/>
      </w:r>
    </w:p>
    <w:p>
      <w:pPr>
        <w:pStyle w:val="Heading1"/>
        <w:spacing w:before="360" w:after="200"/>
      </w:pPr>
      <w:r>
        <w:rPr>
          <w:rFonts w:ascii="Arial" w:cs="Arial" w:eastAsia="Arial" w:hAnsi="Arial"/>
          <w:b/>
          <w:bCs/>
          <w:color w:val="1B3A5C"/>
          <w:sz w:val="32"/>
          <w:szCs w:val="32"/>
        </w:rPr>
        <w:t xml:space="preserve">5. Security Audit Services</w:t>
      </w:r>
    </w:p>
    <w:p>
      <w:pPr>
        <w:spacing w:after="120"/>
      </w:pPr>
      <w:r>
        <w:rPr>
          <w:rFonts w:ascii="Arial" w:cs="Arial" w:eastAsia="Arial" w:hAnsi="Arial"/>
          <w:sz w:val="20"/>
          <w:szCs w:val="20"/>
        </w:rPr>
        <w:t xml:space="preserve">BlueStrata offers a tiered security audit program designed to meet clients at any maturity level. Each audit tier provides a formal written report with findings, risk ratings, and prioritized remediation recommendations.</w:t>
      </w:r>
    </w:p>
    <w:p>
      <w:pPr>
        <w:pStyle w:val="Heading2"/>
        <w:spacing w:before="280" w:after="140"/>
      </w:pPr>
      <w:r>
        <w:rPr>
          <w:rFonts w:ascii="Arial" w:cs="Arial" w:eastAsia="Arial" w:hAnsi="Arial"/>
          <w:b/>
          <w:bCs/>
          <w:color w:val="2E75B6"/>
          <w:sz w:val="26"/>
          <w:szCs w:val="26"/>
        </w:rPr>
        <w:t xml:space="preserve">5.1 Tier 1 – Baseline Security Assessment</w:t>
      </w:r>
    </w:p>
    <w:p>
      <w:pPr>
        <w:spacing w:after="120"/>
      </w:pPr>
      <w:r>
        <w:rPr>
          <w:rFonts w:ascii="Arial" w:cs="Arial" w:eastAsia="Arial" w:hAnsi="Arial"/>
          <w:sz w:val="20"/>
          <w:szCs w:val="20"/>
        </w:rPr>
        <w:t xml:space="preserve">A foundational review ideal for businesses that have never had a formal security evaluation. Focuses on the most critical and common attack vectors.</w:t>
      </w:r>
    </w:p>
    <w:p>
      <w:pPr>
        <w:pStyle w:val="ListParagraph"/>
        <w:numPr>
          <w:ilvl w:val="0"/>
          <w:numId w:val="2"/>
        </w:numPr>
        <w:spacing w:after="60"/>
      </w:pPr>
      <w:r>
        <w:rPr>
          <w:rFonts w:ascii="Arial" w:cs="Arial" w:eastAsia="Arial" w:hAnsi="Arial"/>
          <w:sz w:val="20"/>
          <w:szCs w:val="20"/>
        </w:rPr>
        <w:t xml:space="preserve">MFA and password policy review</w:t>
      </w:r>
    </w:p>
    <w:p>
      <w:pPr>
        <w:pStyle w:val="ListParagraph"/>
        <w:numPr>
          <w:ilvl w:val="0"/>
          <w:numId w:val="2"/>
        </w:numPr>
        <w:spacing w:after="60"/>
      </w:pPr>
      <w:r>
        <w:rPr>
          <w:rFonts w:ascii="Arial" w:cs="Arial" w:eastAsia="Arial" w:hAnsi="Arial"/>
          <w:sz w:val="20"/>
          <w:szCs w:val="20"/>
        </w:rPr>
        <w:t xml:space="preserve">Endpoint security posture check (antivirus, patching, encryption)</w:t>
      </w:r>
    </w:p>
    <w:p>
      <w:pPr>
        <w:pStyle w:val="ListParagraph"/>
        <w:numPr>
          <w:ilvl w:val="0"/>
          <w:numId w:val="2"/>
        </w:numPr>
        <w:spacing w:after="60"/>
      </w:pPr>
      <w:r>
        <w:rPr>
          <w:rFonts w:ascii="Arial" w:cs="Arial" w:eastAsia="Arial" w:hAnsi="Arial"/>
          <w:sz w:val="20"/>
          <w:szCs w:val="20"/>
        </w:rPr>
        <w:t xml:space="preserve">Email security configuration review (SPF, DKIM, DMARC)</w:t>
      </w:r>
    </w:p>
    <w:p>
      <w:pPr>
        <w:pStyle w:val="ListParagraph"/>
        <w:numPr>
          <w:ilvl w:val="0"/>
          <w:numId w:val="2"/>
        </w:numPr>
        <w:spacing w:after="60"/>
      </w:pPr>
      <w:r>
        <w:rPr>
          <w:rFonts w:ascii="Arial" w:cs="Arial" w:eastAsia="Arial" w:hAnsi="Arial"/>
          <w:sz w:val="20"/>
          <w:szCs w:val="20"/>
        </w:rPr>
        <w:t xml:space="preserve">Admin account inventory and privilege audit</w:t>
      </w:r>
    </w:p>
    <w:p>
      <w:pPr>
        <w:pStyle w:val="ListParagraph"/>
        <w:numPr>
          <w:ilvl w:val="0"/>
          <w:numId w:val="2"/>
        </w:numPr>
        <w:spacing w:after="60"/>
      </w:pPr>
      <w:r>
        <w:rPr>
          <w:rFonts w:ascii="Arial" w:cs="Arial" w:eastAsia="Arial" w:hAnsi="Arial"/>
          <w:sz w:val="20"/>
          <w:szCs w:val="20"/>
        </w:rPr>
        <w:t xml:space="preserve">Backup verification and basic disaster recovery review</w:t>
      </w:r>
    </w:p>
    <w:p>
      <w:pPr>
        <w:pStyle w:val="ListParagraph"/>
        <w:numPr>
          <w:ilvl w:val="0"/>
          <w:numId w:val="2"/>
        </w:numPr>
        <w:spacing w:after="60"/>
      </w:pPr>
      <w:r>
        <w:rPr>
          <w:rFonts w:ascii="Arial" w:cs="Arial" w:eastAsia="Arial" w:hAnsi="Arial"/>
          <w:sz w:val="20"/>
          <w:szCs w:val="20"/>
        </w:rPr>
        <w:t xml:space="preserve">External vulnerability scan (up to 10 public-facing IPs)</w:t>
      </w:r>
    </w:p>
    <w:p>
      <w:pPr>
        <w:pStyle w:val="ListParagraph"/>
        <w:numPr>
          <w:ilvl w:val="0"/>
          <w:numId w:val="2"/>
        </w:numPr>
        <w:spacing w:after="60"/>
      </w:pPr>
      <w:r>
        <w:rPr>
          <w:rFonts w:ascii="Arial" w:cs="Arial" w:eastAsia="Arial" w:hAnsi="Arial"/>
          <w:sz w:val="20"/>
          <w:szCs w:val="20"/>
        </w:rPr>
        <w:t xml:space="preserve">Written report with risk ratings and remediation plan</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Baseline Assessment</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1–2 week engagement for businesses up to 50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$3,000–$5,000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Baseline Assessment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1–2 week engagement for businesses 50–150 users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$5,000–$8,000</w:t>
            </w:r>
          </w:p>
        </w:tc>
      </w:tr>
    </w:tbl>
    <w:p>
      <w:pPr>
        <w:pStyle w:val="Heading2"/>
        <w:spacing w:before="280" w:after="140"/>
      </w:pPr>
      <w:r>
        <w:rPr>
          <w:rFonts w:ascii="Arial" w:cs="Arial" w:eastAsia="Arial" w:hAnsi="Arial"/>
          <w:b/>
          <w:bCs/>
          <w:color w:val="2E75B6"/>
          <w:sz w:val="26"/>
          <w:szCs w:val="26"/>
        </w:rPr>
        <w:t xml:space="preserve">5.2 Tier 2 – Comprehensive Security Audit</w:t>
      </w:r>
    </w:p>
    <w:p>
      <w:pPr>
        <w:spacing w:after="120"/>
      </w:pPr>
      <w:r>
        <w:rPr>
          <w:rFonts w:ascii="Arial" w:cs="Arial" w:eastAsia="Arial" w:hAnsi="Arial"/>
          <w:sz w:val="20"/>
          <w:szCs w:val="20"/>
        </w:rPr>
        <w:t xml:space="preserve">A thorough evaluation of the full Microsoft environment including Azure, M365, identity, networking, and endpoint security. Recommended for organizations seeking a deeper understanding of their security posture.</w:t>
      </w:r>
    </w:p>
    <w:p>
      <w:pPr>
        <w:pStyle w:val="ListParagraph"/>
        <w:numPr>
          <w:ilvl w:val="0"/>
          <w:numId w:val="2"/>
        </w:numPr>
        <w:spacing w:after="60"/>
      </w:pPr>
      <w:r>
        <w:rPr>
          <w:rFonts w:ascii="Arial" w:cs="Arial" w:eastAsia="Arial" w:hAnsi="Arial"/>
          <w:sz w:val="20"/>
          <w:szCs w:val="20"/>
        </w:rPr>
        <w:t xml:space="preserve">Everything in Tier 1, plus:</w:t>
      </w:r>
    </w:p>
    <w:p>
      <w:pPr>
        <w:pStyle w:val="ListParagraph"/>
        <w:numPr>
          <w:ilvl w:val="0"/>
          <w:numId w:val="2"/>
        </w:numPr>
        <w:spacing w:after="60"/>
      </w:pPr>
      <w:r>
        <w:rPr>
          <w:rFonts w:ascii="Arial" w:cs="Arial" w:eastAsia="Arial" w:hAnsi="Arial"/>
          <w:sz w:val="20"/>
          <w:szCs w:val="20"/>
        </w:rPr>
        <w:t xml:space="preserve">Full Azure AD / Entra ID configuration audit</w:t>
      </w:r>
    </w:p>
    <w:p>
      <w:pPr>
        <w:pStyle w:val="ListParagraph"/>
        <w:numPr>
          <w:ilvl w:val="0"/>
          <w:numId w:val="2"/>
        </w:numPr>
        <w:spacing w:after="60"/>
      </w:pPr>
      <w:r>
        <w:rPr>
          <w:rFonts w:ascii="Arial" w:cs="Arial" w:eastAsia="Arial" w:hAnsi="Arial"/>
          <w:sz w:val="20"/>
          <w:szCs w:val="20"/>
        </w:rPr>
        <w:t xml:space="preserve">Microsoft 365 tenant hardening assessment (CIS Benchmark aligned)</w:t>
      </w:r>
    </w:p>
    <w:p>
      <w:pPr>
        <w:pStyle w:val="ListParagraph"/>
        <w:numPr>
          <w:ilvl w:val="0"/>
          <w:numId w:val="2"/>
        </w:numPr>
        <w:spacing w:after="60"/>
      </w:pPr>
      <w:r>
        <w:rPr>
          <w:rFonts w:ascii="Arial" w:cs="Arial" w:eastAsia="Arial" w:hAnsi="Arial"/>
          <w:sz w:val="20"/>
          <w:szCs w:val="20"/>
        </w:rPr>
        <w:t xml:space="preserve">Conditional access policy review and gap analysis</w:t>
      </w:r>
    </w:p>
    <w:p>
      <w:pPr>
        <w:pStyle w:val="ListParagraph"/>
        <w:numPr>
          <w:ilvl w:val="0"/>
          <w:numId w:val="2"/>
        </w:numPr>
        <w:spacing w:after="60"/>
      </w:pPr>
      <w:r>
        <w:rPr>
          <w:rFonts w:ascii="Arial" w:cs="Arial" w:eastAsia="Arial" w:hAnsi="Arial"/>
          <w:sz w:val="20"/>
          <w:szCs w:val="20"/>
        </w:rPr>
        <w:t xml:space="preserve">RBAC and privileged access review across Azure subscriptions</w:t>
      </w:r>
    </w:p>
    <w:p>
      <w:pPr>
        <w:pStyle w:val="ListParagraph"/>
        <w:numPr>
          <w:ilvl w:val="0"/>
          <w:numId w:val="2"/>
        </w:numPr>
        <w:spacing w:after="60"/>
      </w:pPr>
      <w:r>
        <w:rPr>
          <w:rFonts w:ascii="Arial" w:cs="Arial" w:eastAsia="Arial" w:hAnsi="Arial"/>
          <w:sz w:val="20"/>
          <w:szCs w:val="20"/>
        </w:rPr>
        <w:t xml:space="preserve">Network security audit (NSGs, firewall rules, VPN configurations)</w:t>
      </w:r>
    </w:p>
    <w:p>
      <w:pPr>
        <w:pStyle w:val="ListParagraph"/>
        <w:numPr>
          <w:ilvl w:val="0"/>
          <w:numId w:val="2"/>
        </w:numPr>
        <w:spacing w:after="60"/>
      </w:pPr>
      <w:r>
        <w:rPr>
          <w:rFonts w:ascii="Arial" w:cs="Arial" w:eastAsia="Arial" w:hAnsi="Arial"/>
          <w:sz w:val="20"/>
          <w:szCs w:val="20"/>
        </w:rPr>
        <w:t xml:space="preserve">Data classification and DLP policy evaluation</w:t>
      </w:r>
    </w:p>
    <w:p>
      <w:pPr>
        <w:pStyle w:val="ListParagraph"/>
        <w:numPr>
          <w:ilvl w:val="0"/>
          <w:numId w:val="2"/>
        </w:numPr>
        <w:spacing w:after="60"/>
      </w:pPr>
      <w:r>
        <w:rPr>
          <w:rFonts w:ascii="Arial" w:cs="Arial" w:eastAsia="Arial" w:hAnsi="Arial"/>
          <w:sz w:val="20"/>
          <w:szCs w:val="20"/>
        </w:rPr>
        <w:t xml:space="preserve">Defender for Endpoint configuration review</w:t>
      </w:r>
    </w:p>
    <w:p>
      <w:pPr>
        <w:pStyle w:val="ListParagraph"/>
        <w:numPr>
          <w:ilvl w:val="0"/>
          <w:numId w:val="2"/>
        </w:numPr>
        <w:spacing w:after="60"/>
      </w:pPr>
      <w:r>
        <w:rPr>
          <w:rFonts w:ascii="Arial" w:cs="Arial" w:eastAsia="Arial" w:hAnsi="Arial"/>
          <w:sz w:val="20"/>
          <w:szCs w:val="20"/>
        </w:rPr>
        <w:t xml:space="preserve">Security best practices gap analysis aligned to CIS Benchmarks</w:t>
      </w:r>
    </w:p>
    <w:p>
      <w:pPr>
        <w:pStyle w:val="ListParagraph"/>
        <w:numPr>
          <w:ilvl w:val="0"/>
          <w:numId w:val="2"/>
        </w:numPr>
        <w:spacing w:after="60"/>
      </w:pPr>
      <w:r>
        <w:rPr>
          <w:rFonts w:ascii="Arial" w:cs="Arial" w:eastAsia="Arial" w:hAnsi="Arial"/>
          <w:sz w:val="20"/>
          <w:szCs w:val="20"/>
        </w:rPr>
        <w:t xml:space="preserve">Executive summary report with prioritized remediation roadmap</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Comprehensive Audit</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2–4 week engagement for businesses up to 50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$7,500–$12,000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Comprehensive Audit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2–4 week engagement for businesses 50–200 users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$12,000–$20,000</w:t>
            </w:r>
          </w:p>
        </w:tc>
      </w:tr>
    </w:tbl>
    <w:p>
      <w:r>
        <w:br w:type="page"/>
      </w:r>
    </w:p>
    <w:p>
      <w:pPr>
        <w:pStyle w:val="Heading1"/>
        <w:spacing w:before="360" w:after="200"/>
      </w:pPr>
      <w:r>
        <w:rPr>
          <w:rFonts w:ascii="Arial" w:cs="Arial" w:eastAsia="Arial" w:hAnsi="Arial"/>
          <w:b/>
          <w:bCs/>
          <w:color w:val="1B3A5C"/>
          <w:sz w:val="32"/>
          <w:szCs w:val="32"/>
        </w:rPr>
        <w:t xml:space="preserve">6. Project-Based Services</w:t>
      </w:r>
    </w:p>
    <w:p>
      <w:pPr>
        <w:spacing w:after="120"/>
      </w:pPr>
      <w:r>
        <w:rPr>
          <w:rFonts w:ascii="Arial" w:cs="Arial" w:eastAsia="Arial" w:hAnsi="Arial"/>
          <w:sz w:val="20"/>
          <w:szCs w:val="20"/>
        </w:rPr>
        <w:t xml:space="preserve">Standalone engagements available outside of managed service agreements. These are scoped per project and billed at a fixed fee or hourly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Cloud Migration (M365)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Migrate email, files, and collaboration tools to Microsoft 365 including tenant setup, DNS, and user migration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$3,000–$15,000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Azure Cloud Migration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Lift-and-shift or re-architect on-premises workloads to Azure IaaS/PaaS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$5,000–$25,000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M365 Tenant Hardening</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security configuration of M365 tenant per CIS benchmarks including MFA, conditional access, Safe Links/Attachments, DLP</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$2,500–$7,500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Network Design &amp; Segmentation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VLAN architecture, firewall deployment, Wi-Fi hardening, and site-to-site VPN for multi-location businesses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$5,000–$15,000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Security Hardening Package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Gap analysis, policy creation, control implementation, and documentation aligned to CIS Controls and industry best practices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$5,000–$15,000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Incident Response Planning</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Develop incident response playbooks, communication templates, and tabletop exercise facilitation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$3,000–$7,500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Backup &amp; Disaster Recovery</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Design and implement backup strategy with cloud-based DR, tested recovery procedures, and documentation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$2,500–$8,000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Security Awareness Program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Deploy ongoing phishing simulations, training modules, and quarterly reporting for staff security education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$1,500–$3,000/quarter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Azure Cost Optimization</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audit of Azure spend with recommendations for right-sizing, reserved instances, and resource cleanup</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$1,500–$3,500</w:t>
            </w:r>
          </w:p>
        </w:tc>
      </w:tr>
    </w:tbl>
    <w:p>
      <w:r>
        <w:br w:type="page"/>
      </w:r>
    </w:p>
    <w:p>
      <w:pPr>
        <w:pStyle w:val="Heading1"/>
        <w:spacing w:before="360" w:after="200"/>
      </w:pPr>
      <w:r>
        <w:rPr>
          <w:rFonts w:ascii="Arial" w:cs="Arial" w:eastAsia="Arial" w:hAnsi="Arial"/>
          <w:b/>
          <w:bCs/>
          <w:color w:val="1B3A5C"/>
          <w:sz w:val="32"/>
          <w:szCs w:val="32"/>
        </w:rPr>
        <w:t xml:space="preserve">7. IT Documentation Services</w:t>
      </w:r>
    </w:p>
    <w:p>
      <w:pPr>
        <w:spacing w:after="120"/>
      </w:pPr>
      <w:r>
        <w:rPr>
          <w:rFonts w:ascii="Arial" w:cs="Arial" w:eastAsia="Arial" w:hAnsi="Arial"/>
          <w:sz w:val="20"/>
          <w:szCs w:val="20"/>
        </w:rPr>
        <w:t xml:space="preserve">Comprehensive IT documentation is the foundation of reliable, repeatable service delivery. BlueStrata builds complete operational documentation packages for every client environment, covering standard operating procedures, runbooks, knowledge base articles, and network diagrams. Well-documented environments reduce ticket resolution time, enable faster onboarding of new staff, and ensure business continuity.</w:t>
      </w:r>
    </w:p>
    <w:p>
      <w:pPr>
        <w:pStyle w:val="Heading2"/>
        <w:spacing w:before="280" w:after="140"/>
      </w:pPr>
      <w:r>
        <w:rPr>
          <w:rFonts w:ascii="Arial" w:cs="Arial" w:eastAsia="Arial" w:hAnsi="Arial"/>
          <w:b/>
          <w:bCs/>
          <w:color w:val="2E75B6"/>
          <w:sz w:val="26"/>
          <w:szCs w:val="26"/>
        </w:rPr>
        <w:t xml:space="preserve">7.1 Onboarding Documentation (Included with Managed Services)</w:t>
      </w:r>
    </w:p>
    <w:p>
      <w:pPr>
        <w:spacing w:after="120"/>
      </w:pPr>
      <w:r>
        <w:rPr>
          <w:rFonts w:ascii="Arial" w:cs="Arial" w:eastAsia="Arial" w:hAnsi="Arial"/>
          <w:sz w:val="20"/>
          <w:szCs w:val="20"/>
        </w:rPr>
        <w:t xml:space="preserve">Every new managed services client receives a baseline documentation package as part of onboarding. This is included in the first month of service at no additional charge for Professional and Enterprise tier clients, or available as a one-time add-on for Essentials tier clients.</w:t>
      </w:r>
    </w:p>
    <w:p>
      <w:pPr>
        <w:pStyle w:val="ListParagraph"/>
        <w:numPr>
          <w:ilvl w:val="0"/>
          <w:numId w:val="2"/>
        </w:numPr>
        <w:spacing w:after="60"/>
      </w:pPr>
      <w:r>
        <w:rPr>
          <w:rFonts w:ascii="Arial" w:cs="Arial" w:eastAsia="Arial" w:hAnsi="Arial"/>
          <w:sz w:val="20"/>
          <w:szCs w:val="20"/>
        </w:rPr>
        <w:t xml:space="preserve">Network topology diagram</w:t>
      </w:r>
    </w:p>
    <w:p>
      <w:pPr>
        <w:pStyle w:val="ListParagraph"/>
        <w:numPr>
          <w:ilvl w:val="0"/>
          <w:numId w:val="2"/>
        </w:numPr>
        <w:spacing w:after="60"/>
      </w:pPr>
      <w:r>
        <w:rPr>
          <w:rFonts w:ascii="Arial" w:cs="Arial" w:eastAsia="Arial" w:hAnsi="Arial"/>
          <w:sz w:val="20"/>
          <w:szCs w:val="20"/>
        </w:rPr>
        <w:t xml:space="preserve">Asset inventory (workstations, servers, network devices, printers)</w:t>
      </w:r>
    </w:p>
    <w:p>
      <w:pPr>
        <w:pStyle w:val="ListParagraph"/>
        <w:numPr>
          <w:ilvl w:val="0"/>
          <w:numId w:val="2"/>
        </w:numPr>
        <w:spacing w:after="60"/>
      </w:pPr>
      <w:r>
        <w:rPr>
          <w:rFonts w:ascii="Arial" w:cs="Arial" w:eastAsia="Arial" w:hAnsi="Arial"/>
          <w:sz w:val="20"/>
          <w:szCs w:val="20"/>
        </w:rPr>
        <w:t xml:space="preserve">Admin credential documentation (stored in IT Glue or Hudu)</w:t>
      </w:r>
    </w:p>
    <w:p>
      <w:pPr>
        <w:pStyle w:val="ListParagraph"/>
        <w:numPr>
          <w:ilvl w:val="0"/>
          <w:numId w:val="2"/>
        </w:numPr>
        <w:spacing w:after="60"/>
      </w:pPr>
      <w:r>
        <w:rPr>
          <w:rFonts w:ascii="Arial" w:cs="Arial" w:eastAsia="Arial" w:hAnsi="Arial"/>
          <w:sz w:val="20"/>
          <w:szCs w:val="20"/>
        </w:rPr>
        <w:t xml:space="preserve">User onboarding/offboarding standard operating procedures</w:t>
      </w:r>
    </w:p>
    <w:p>
      <w:pPr>
        <w:pStyle w:val="ListParagraph"/>
        <w:numPr>
          <w:ilvl w:val="0"/>
          <w:numId w:val="2"/>
        </w:numPr>
        <w:spacing w:after="60"/>
      </w:pPr>
      <w:r>
        <w:rPr>
          <w:rFonts w:ascii="Arial" w:cs="Arial" w:eastAsia="Arial" w:hAnsi="Arial"/>
          <w:sz w:val="20"/>
          <w:szCs w:val="20"/>
        </w:rPr>
        <w:t xml:space="preserve">Emergency contact and escalation matrix</w:t>
      </w:r>
    </w:p>
    <w:p>
      <w:pPr>
        <w:pStyle w:val="ListParagraph"/>
        <w:numPr>
          <w:ilvl w:val="0"/>
          <w:numId w:val="2"/>
        </w:numPr>
        <w:spacing w:after="60"/>
      </w:pPr>
      <w:r>
        <w:rPr>
          <w:rFonts w:ascii="Arial" w:cs="Arial" w:eastAsia="Arial" w:hAnsi="Arial"/>
          <w:sz w:val="20"/>
          <w:szCs w:val="20"/>
        </w:rPr>
        <w:t xml:space="preserve">Basic disaster recovery contact sheet</w:t>
      </w:r>
    </w:p>
    <w:p>
      <w:pPr>
        <w:pStyle w:val="Heading2"/>
        <w:spacing w:before="280" w:after="140"/>
      </w:pPr>
      <w:r>
        <w:rPr>
          <w:rFonts w:ascii="Arial" w:cs="Arial" w:eastAsia="Arial" w:hAnsi="Arial"/>
          <w:b/>
          <w:bCs/>
          <w:color w:val="2E75B6"/>
          <w:sz w:val="26"/>
          <w:szCs w:val="26"/>
        </w:rPr>
        <w:t xml:space="preserve">7.2 Standalone IT Documentation Package</w:t>
      </w:r>
    </w:p>
    <w:p>
      <w:pPr>
        <w:spacing w:after="120"/>
      </w:pPr>
      <w:r>
        <w:rPr>
          <w:rFonts w:ascii="Arial" w:cs="Arial" w:eastAsia="Arial" w:hAnsi="Arial"/>
          <w:sz w:val="20"/>
          <w:szCs w:val="20"/>
        </w:rPr>
        <w:t xml:space="preserve">For clients with an existing environment and little to no documentation, BlueStrata delivers a full operational documentation package as a project engagement. This is ideal for businesses that have grown organically without formal IT processes, or organizations preparing to bring on managed services.</w:t>
      </w:r>
    </w:p>
    <w:p>
      <w:pPr>
        <w:pStyle w:val="Heading3"/>
        <w:spacing w:before="200" w:after="100"/>
      </w:pPr>
      <w:r>
        <w:rPr>
          <w:rFonts w:ascii="Arial" w:cs="Arial" w:eastAsia="Arial" w:hAnsi="Arial"/>
          <w:b/>
          <w:bCs/>
          <w:color w:val="1B3A5C"/>
          <w:sz w:val="22"/>
          <w:szCs w:val="22"/>
        </w:rPr>
        <w:t xml:space="preserve">Standard Documentation Package (Up to 25 Users)</w:t>
      </w:r>
    </w:p>
    <w:p>
      <w:pPr>
        <w:pStyle w:val="ListParagraph"/>
        <w:numPr>
          <w:ilvl w:val="0"/>
          <w:numId w:val="2"/>
        </w:numPr>
        <w:spacing w:after="60"/>
      </w:pPr>
      <w:r>
        <w:rPr>
          <w:rFonts w:ascii="Arial" w:cs="Arial" w:eastAsia="Arial" w:hAnsi="Arial"/>
          <w:sz w:val="20"/>
          <w:szCs w:val="20"/>
        </w:rPr>
        <w:t xml:space="preserve">Everything in onboarding documentation, plus:</w:t>
      </w:r>
    </w:p>
    <w:p>
      <w:pPr>
        <w:pStyle w:val="ListParagraph"/>
        <w:numPr>
          <w:ilvl w:val="0"/>
          <w:numId w:val="2"/>
        </w:numPr>
        <w:spacing w:after="60"/>
      </w:pPr>
      <w:r>
        <w:rPr>
          <w:rFonts w:ascii="Arial" w:cs="Arial" w:eastAsia="Arial" w:hAnsi="Arial"/>
          <w:sz w:val="20"/>
          <w:szCs w:val="20"/>
        </w:rPr>
        <w:t xml:space="preserve">Detailed onboarding SOP (step-by-step user provisioning, M365 setup, device enrollment)</w:t>
      </w:r>
    </w:p>
    <w:p>
      <w:pPr>
        <w:pStyle w:val="ListParagraph"/>
        <w:numPr>
          <w:ilvl w:val="0"/>
          <w:numId w:val="2"/>
        </w:numPr>
        <w:spacing w:after="60"/>
      </w:pPr>
      <w:r>
        <w:rPr>
          <w:rFonts w:ascii="Arial" w:cs="Arial" w:eastAsia="Arial" w:hAnsi="Arial"/>
          <w:sz w:val="20"/>
          <w:szCs w:val="20"/>
        </w:rPr>
        <w:t xml:space="preserve">Offboarding SOP (account deactivation, license recovery, data retention)</w:t>
      </w:r>
    </w:p>
    <w:p>
      <w:pPr>
        <w:pStyle w:val="ListParagraph"/>
        <w:numPr>
          <w:ilvl w:val="0"/>
          <w:numId w:val="2"/>
        </w:numPr>
        <w:spacing w:after="60"/>
      </w:pPr>
      <w:r>
        <w:rPr>
          <w:rFonts w:ascii="Arial" w:cs="Arial" w:eastAsia="Arial" w:hAnsi="Arial"/>
          <w:sz w:val="20"/>
          <w:szCs w:val="20"/>
        </w:rPr>
        <w:t xml:space="preserve">New workstation build guide (hardware standards, imaging, software deployment)</w:t>
      </w:r>
    </w:p>
    <w:p>
      <w:pPr>
        <w:pStyle w:val="ListParagraph"/>
        <w:numPr>
          <w:ilvl w:val="0"/>
          <w:numId w:val="2"/>
        </w:numPr>
        <w:spacing w:after="60"/>
      </w:pPr>
      <w:r>
        <w:rPr>
          <w:rFonts w:ascii="Arial" w:cs="Arial" w:eastAsia="Arial" w:hAnsi="Arial"/>
          <w:sz w:val="20"/>
          <w:szCs w:val="20"/>
        </w:rPr>
        <w:t xml:space="preserve">VPN setup and configuration guide</w:t>
      </w:r>
    </w:p>
    <w:p>
      <w:pPr>
        <w:pStyle w:val="ListParagraph"/>
        <w:numPr>
          <w:ilvl w:val="0"/>
          <w:numId w:val="2"/>
        </w:numPr>
        <w:spacing w:after="60"/>
      </w:pPr>
      <w:r>
        <w:rPr>
          <w:rFonts w:ascii="Arial" w:cs="Arial" w:eastAsia="Arial" w:hAnsi="Arial"/>
          <w:sz w:val="20"/>
          <w:szCs w:val="20"/>
        </w:rPr>
        <w:t xml:space="preserve">Password reset and MFA enrollment procedures</w:t>
      </w:r>
    </w:p>
    <w:p>
      <w:pPr>
        <w:pStyle w:val="ListParagraph"/>
        <w:numPr>
          <w:ilvl w:val="0"/>
          <w:numId w:val="2"/>
        </w:numPr>
        <w:spacing w:after="60"/>
      </w:pPr>
      <w:r>
        <w:rPr>
          <w:rFonts w:ascii="Arial" w:cs="Arial" w:eastAsia="Arial" w:hAnsi="Arial"/>
          <w:sz w:val="20"/>
          <w:szCs w:val="20"/>
        </w:rPr>
        <w:t xml:space="preserve">Printer and peripheral setup guides</w:t>
      </w:r>
    </w:p>
    <w:p>
      <w:pPr>
        <w:pStyle w:val="ListParagraph"/>
        <w:numPr>
          <w:ilvl w:val="0"/>
          <w:numId w:val="2"/>
        </w:numPr>
        <w:spacing w:after="60"/>
      </w:pPr>
      <w:r>
        <w:rPr>
          <w:rFonts w:ascii="Arial" w:cs="Arial" w:eastAsia="Arial" w:hAnsi="Arial"/>
          <w:sz w:val="20"/>
          <w:szCs w:val="20"/>
        </w:rPr>
        <w:t xml:space="preserve">Common troubleshooting runbook (top 10 ticket types with resolution steps)</w:t>
      </w:r>
    </w:p>
    <w:p>
      <w:pPr>
        <w:pStyle w:val="ListParagraph"/>
        <w:numPr>
          <w:ilvl w:val="0"/>
          <w:numId w:val="2"/>
        </w:numPr>
        <w:spacing w:after="60"/>
      </w:pPr>
      <w:r>
        <w:rPr>
          <w:rFonts w:ascii="Arial" w:cs="Arial" w:eastAsia="Arial" w:hAnsi="Arial"/>
          <w:sz w:val="20"/>
          <w:szCs w:val="20"/>
        </w:rPr>
        <w:t xml:space="preserve">Application-specific guides (line-of-business apps, remote desktop, etc.)</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Standard Documentation</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SOP and runbook package for environments up to 25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$2,500–$4,000</w:t>
            </w:r>
          </w:p>
        </w:tc>
      </w:tr>
    </w:tbl>
    <w:p>
      <w:pPr>
        <w:pStyle w:val="Heading3"/>
        <w:spacing w:before="200" w:after="100"/>
      </w:pPr>
      <w:r>
        <w:rPr>
          <w:rFonts w:ascii="Arial" w:cs="Arial" w:eastAsia="Arial" w:hAnsi="Arial"/>
          <w:b/>
          <w:bCs/>
          <w:color w:val="1B3A5C"/>
          <w:sz w:val="22"/>
          <w:szCs w:val="22"/>
        </w:rPr>
        <w:t xml:space="preserve">Comprehensive Documentation Package (25–100 Users)</w:t>
      </w:r>
    </w:p>
    <w:p>
      <w:pPr>
        <w:spacing w:after="120"/>
      </w:pPr>
      <w:r>
        <w:rPr>
          <w:rFonts w:ascii="Arial" w:cs="Arial" w:eastAsia="Arial" w:hAnsi="Arial"/>
          <w:sz w:val="20"/>
          <w:szCs w:val="20"/>
        </w:rPr>
        <w:t xml:space="preserve">Includes everything in the Standard package plus additional depth for more complex environments:</w:t>
      </w:r>
    </w:p>
    <w:p>
      <w:pPr>
        <w:pStyle w:val="ListParagraph"/>
        <w:numPr>
          <w:ilvl w:val="0"/>
          <w:numId w:val="2"/>
        </w:numPr>
        <w:spacing w:after="60"/>
      </w:pPr>
      <w:r>
        <w:rPr>
          <w:rFonts w:ascii="Arial" w:cs="Arial" w:eastAsia="Arial" w:hAnsi="Arial"/>
          <w:sz w:val="20"/>
          <w:szCs w:val="20"/>
        </w:rPr>
        <w:t xml:space="preserve">Multi-site network documentation with per-location diagrams</w:t>
      </w:r>
    </w:p>
    <w:p>
      <w:pPr>
        <w:pStyle w:val="ListParagraph"/>
        <w:numPr>
          <w:ilvl w:val="0"/>
          <w:numId w:val="2"/>
        </w:numPr>
        <w:spacing w:after="60"/>
      </w:pPr>
      <w:r>
        <w:rPr>
          <w:rFonts w:ascii="Arial" w:cs="Arial" w:eastAsia="Arial" w:hAnsi="Arial"/>
          <w:sz w:val="20"/>
          <w:szCs w:val="20"/>
        </w:rPr>
        <w:t xml:space="preserve">Azure/cloud infrastructure documentation (resource maps, subscription structure, RBAC roles)</w:t>
      </w:r>
    </w:p>
    <w:p>
      <w:pPr>
        <w:pStyle w:val="ListParagraph"/>
        <w:numPr>
          <w:ilvl w:val="0"/>
          <w:numId w:val="2"/>
        </w:numPr>
        <w:spacing w:after="60"/>
      </w:pPr>
      <w:r>
        <w:rPr>
          <w:rFonts w:ascii="Arial" w:cs="Arial" w:eastAsia="Arial" w:hAnsi="Arial"/>
          <w:sz w:val="20"/>
          <w:szCs w:val="20"/>
        </w:rPr>
        <w:t xml:space="preserve">Intune/MDM device enrollment and policy documentation</w:t>
      </w:r>
    </w:p>
    <w:p>
      <w:pPr>
        <w:pStyle w:val="ListParagraph"/>
        <w:numPr>
          <w:ilvl w:val="0"/>
          <w:numId w:val="2"/>
        </w:numPr>
        <w:spacing w:after="60"/>
      </w:pPr>
      <w:r>
        <w:rPr>
          <w:rFonts w:ascii="Arial" w:cs="Arial" w:eastAsia="Arial" w:hAnsi="Arial"/>
          <w:sz w:val="20"/>
          <w:szCs w:val="20"/>
        </w:rPr>
        <w:t xml:space="preserve">Conditional access policy reference guide</w:t>
      </w:r>
    </w:p>
    <w:p>
      <w:pPr>
        <w:pStyle w:val="ListParagraph"/>
        <w:numPr>
          <w:ilvl w:val="0"/>
          <w:numId w:val="2"/>
        </w:numPr>
        <w:spacing w:after="60"/>
      </w:pPr>
      <w:r>
        <w:rPr>
          <w:rFonts w:ascii="Arial" w:cs="Arial" w:eastAsia="Arial" w:hAnsi="Arial"/>
          <w:sz w:val="20"/>
          <w:szCs w:val="20"/>
        </w:rPr>
        <w:t xml:space="preserve">Backup and disaster recovery procedures with tested recovery steps</w:t>
      </w:r>
    </w:p>
    <w:p>
      <w:pPr>
        <w:pStyle w:val="ListParagraph"/>
        <w:numPr>
          <w:ilvl w:val="0"/>
          <w:numId w:val="2"/>
        </w:numPr>
        <w:spacing w:after="60"/>
      </w:pPr>
      <w:r>
        <w:rPr>
          <w:rFonts w:ascii="Arial" w:cs="Arial" w:eastAsia="Arial" w:hAnsi="Arial"/>
          <w:sz w:val="20"/>
          <w:szCs w:val="20"/>
        </w:rPr>
        <w:t xml:space="preserve">Vendor contact directory and service contract summary</w:t>
      </w:r>
    </w:p>
    <w:p>
      <w:pPr>
        <w:pStyle w:val="ListParagraph"/>
        <w:numPr>
          <w:ilvl w:val="0"/>
          <w:numId w:val="2"/>
        </w:numPr>
        <w:spacing w:after="60"/>
      </w:pPr>
      <w:r>
        <w:rPr>
          <w:rFonts w:ascii="Arial" w:cs="Arial" w:eastAsia="Arial" w:hAnsi="Arial"/>
          <w:sz w:val="20"/>
          <w:szCs w:val="20"/>
        </w:rPr>
        <w:t xml:space="preserve">Security incident response quick-reference guide</w:t>
      </w:r>
    </w:p>
    <w:p>
      <w:pPr>
        <w:pStyle w:val="ListParagraph"/>
        <w:numPr>
          <w:ilvl w:val="0"/>
          <w:numId w:val="2"/>
        </w:numPr>
        <w:spacing w:after="60"/>
      </w:pPr>
      <w:r>
        <w:rPr>
          <w:rFonts w:ascii="Arial" w:cs="Arial" w:eastAsia="Arial" w:hAnsi="Arial"/>
          <w:sz w:val="20"/>
          <w:szCs w:val="20"/>
        </w:rPr>
        <w:t xml:space="preserve">End-user knowledge base (client-facing FAQ and self-service guides)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Comprehensive Documentation</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SOP, runbook, and KB package for environments with 25–100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$4,000–$7,500</w:t>
            </w:r>
          </w:p>
        </w:tc>
      </w:tr>
    </w:tbl>
    <w:p>
      <w:pPr>
        <w:pStyle w:val="Heading3"/>
        <w:spacing w:before="200" w:after="100"/>
      </w:pPr>
      <w:r>
        <w:rPr>
          <w:rFonts w:ascii="Arial" w:cs="Arial" w:eastAsia="Arial" w:hAnsi="Arial"/>
          <w:b/>
          <w:bCs/>
          <w:color w:val="1B3A5C"/>
          <w:sz w:val="22"/>
          <w:szCs w:val="22"/>
        </w:rPr>
        <w:t xml:space="preserve">Enterprise Documentation Package (100+ Users)</w:t>
      </w:r>
    </w:p>
    <w:p>
      <w:pPr>
        <w:spacing w:after="120"/>
      </w:pPr>
      <w:r>
        <w:rPr>
          <w:rFonts w:ascii="Arial" w:cs="Arial" w:eastAsia="Arial" w:hAnsi="Arial"/>
          <w:sz w:val="20"/>
          <w:szCs w:val="20"/>
        </w:rPr>
        <w:t xml:space="preserve">For larger and more complex environments requiring extensive documentation across multiple sites, cloud platforms, and security controls:</w:t>
      </w:r>
    </w:p>
    <w:p>
      <w:pPr>
        <w:pStyle w:val="ListParagraph"/>
        <w:numPr>
          <w:ilvl w:val="0"/>
          <w:numId w:val="2"/>
        </w:numPr>
        <w:spacing w:after="60"/>
      </w:pPr>
      <w:r>
        <w:rPr>
          <w:rFonts w:ascii="Arial" w:cs="Arial" w:eastAsia="Arial" w:hAnsi="Arial"/>
          <w:sz w:val="20"/>
          <w:szCs w:val="20"/>
        </w:rPr>
        <w:t xml:space="preserve">Everything in the Comprehensive package, plus:</w:t>
      </w:r>
    </w:p>
    <w:p>
      <w:pPr>
        <w:pStyle w:val="ListParagraph"/>
        <w:numPr>
          <w:ilvl w:val="0"/>
          <w:numId w:val="2"/>
        </w:numPr>
        <w:spacing w:after="60"/>
      </w:pPr>
      <w:r>
        <w:rPr>
          <w:rFonts w:ascii="Arial" w:cs="Arial" w:eastAsia="Arial" w:hAnsi="Arial"/>
          <w:sz w:val="20"/>
          <w:szCs w:val="20"/>
        </w:rPr>
        <w:t xml:space="preserve">Full IT policy library (acceptable use, data classification, BYOD, remote work)</w:t>
      </w:r>
    </w:p>
    <w:p>
      <w:pPr>
        <w:pStyle w:val="ListParagraph"/>
        <w:numPr>
          <w:ilvl w:val="0"/>
          <w:numId w:val="2"/>
        </w:numPr>
        <w:spacing w:after="60"/>
      </w:pPr>
      <w:r>
        <w:rPr>
          <w:rFonts w:ascii="Arial" w:cs="Arial" w:eastAsia="Arial" w:hAnsi="Arial"/>
          <w:sz w:val="20"/>
          <w:szCs w:val="20"/>
        </w:rPr>
        <w:t xml:space="preserve">Change management procedures</w:t>
      </w:r>
    </w:p>
    <w:p>
      <w:pPr>
        <w:pStyle w:val="ListParagraph"/>
        <w:numPr>
          <w:ilvl w:val="0"/>
          <w:numId w:val="2"/>
        </w:numPr>
        <w:spacing w:after="60"/>
      </w:pPr>
      <w:r>
        <w:rPr>
          <w:rFonts w:ascii="Arial" w:cs="Arial" w:eastAsia="Arial" w:hAnsi="Arial"/>
          <w:sz w:val="20"/>
          <w:szCs w:val="20"/>
        </w:rPr>
        <w:t xml:space="preserve">Detailed Azure infrastructure runbooks (VM management, storage, networking)</w:t>
      </w:r>
    </w:p>
    <w:p>
      <w:pPr>
        <w:pStyle w:val="ListParagraph"/>
        <w:numPr>
          <w:ilvl w:val="0"/>
          <w:numId w:val="2"/>
        </w:numPr>
        <w:spacing w:after="60"/>
      </w:pPr>
      <w:r>
        <w:rPr>
          <w:rFonts w:ascii="Arial" w:cs="Arial" w:eastAsia="Arial" w:hAnsi="Arial"/>
          <w:sz w:val="20"/>
          <w:szCs w:val="20"/>
        </w:rPr>
        <w:t xml:space="preserve">Advanced security operations documentation (Defender for Endpoint, security policies, alert configurations)</w:t>
      </w:r>
    </w:p>
    <w:p>
      <w:pPr>
        <w:pStyle w:val="ListParagraph"/>
        <w:numPr>
          <w:ilvl w:val="0"/>
          <w:numId w:val="2"/>
        </w:numPr>
        <w:spacing w:after="60"/>
      </w:pPr>
      <w:r>
        <w:rPr>
          <w:rFonts w:ascii="Arial" w:cs="Arial" w:eastAsia="Arial" w:hAnsi="Arial"/>
          <w:sz w:val="20"/>
          <w:szCs w:val="20"/>
        </w:rPr>
        <w:t xml:space="preserve">Executive-facing IT overview and risk summary</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Enterprise Documentation</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documentation suite for complex multi-site environments with 100+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$7,500–$12,000</w:t>
            </w:r>
          </w:p>
        </w:tc>
      </w:tr>
    </w:tbl>
    <w:p>
      <w:pPr>
        <w:pStyle w:val="Heading2"/>
        <w:spacing w:before="280" w:after="140"/>
      </w:pPr>
      <w:r>
        <w:rPr>
          <w:rFonts w:ascii="Arial" w:cs="Arial" w:eastAsia="Arial" w:hAnsi="Arial"/>
          <w:b/>
          <w:bCs/>
          <w:color w:val="2E75B6"/>
          <w:sz w:val="26"/>
          <w:szCs w:val="26"/>
        </w:rPr>
        <w:t xml:space="preserve">7.3 Annual Documentation Refresh</w:t>
      </w:r>
    </w:p>
    <w:p>
      <w:pPr>
        <w:spacing w:after="120"/>
      </w:pPr>
      <w:r>
        <w:rPr>
          <w:rFonts w:ascii="Arial" w:cs="Arial" w:eastAsia="Arial" w:hAnsi="Arial"/>
          <w:sz w:val="20"/>
          <w:szCs w:val="20"/>
        </w:rPr>
        <w:t xml:space="preserve">IT environments change constantly. BlueStrata offers an annual documentation refresh to update all SOPs, runbooks, network diagrams, and asset inventories to reflect the current state of the client environment. This ensures documentation stays accurate and actionable.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Annual Refresh (Standard)</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review and update of all documentation for environments up to 25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$1,000–$1,500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Annual Refresh (Comprehensive)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Full review and update for environments with 25–100 users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$1,500–$3,000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Annual Refresh (Enterprise)</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review and update for complex environments with 100+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$3,000–$5,000</w:t>
            </w:r>
          </w:p>
        </w:tc>
      </w:tr>
    </w:tbl>
    <w:p>
      <w:pPr>
        <w:spacing w:before="200"/>
      </w:pPr>
    </w:p>
    <w:p>
      <w:pPr>
        <w:spacing w:after="120"/>
      </w:pPr>
      <w:r>
        <w:rPr>
          <w:rFonts w:ascii="Arial" w:cs="Arial" w:eastAsia="Arial" w:hAnsi="Arial"/>
          <w:sz w:val="20"/>
          <w:szCs w:val="20"/>
        </w:rPr>
        <w:t xml:space="preserve">Annual refresh is included at no additional cost for Enterprise tier managed services clients. Professional tier clients receive a 30% discount on refresh pricing. Essentials tier clients receive a 15% discount.</w:t>
      </w:r>
    </w:p>
    <w:p>
      <w:r>
        <w:br w:type="page"/>
      </w:r>
    </w:p>
    <w:p>
      <w:pPr>
        <w:pStyle w:val="Heading1"/>
        <w:spacing w:before="360" w:after="200"/>
      </w:pPr>
      <w:r>
        <w:rPr>
          <w:rFonts w:ascii="Arial" w:cs="Arial" w:eastAsia="Arial" w:hAnsi="Arial"/>
          <w:b/>
          <w:bCs/>
          <w:color w:val="1B3A5C"/>
          <w:sz w:val="32"/>
          <w:szCs w:val="32"/>
        </w:rPr>
        <w:t xml:space="preserve">8. Asset Management Services</w:t>
      </w:r>
    </w:p>
    <w:p>
      <w:pPr>
        <w:spacing w:after="120"/>
      </w:pPr>
      <w:r>
        <w:rPr>
          <w:rFonts w:ascii="Arial" w:cs="Arial" w:eastAsia="Arial" w:hAnsi="Arial"/>
          <w:sz w:val="20"/>
          <w:szCs w:val="20"/>
        </w:rPr>
        <w:t xml:space="preserve">Effective IT management starts with knowing exactly what exists in your environment. BlueStrata provides hardware and software asset management services that give clients complete visibility into their technology footprint — from procurement through decommission. Accurate asset tracking reduces security risk, eliminates wasted spend, and ensures every device and license is accounted for.</w:t>
      </w:r>
    </w:p>
    <w:p>
      <w:pPr>
        <w:pStyle w:val="Heading2"/>
        <w:spacing w:before="280" w:after="140"/>
      </w:pPr>
      <w:r>
        <w:rPr>
          <w:rFonts w:ascii="Arial" w:cs="Arial" w:eastAsia="Arial" w:hAnsi="Arial"/>
          <w:b/>
          <w:bCs/>
          <w:color w:val="2E75B6"/>
          <w:sz w:val="26"/>
          <w:szCs w:val="26"/>
        </w:rPr>
        <w:t xml:space="preserve">8.1 Asset Discovery &amp; Inventory</w:t>
      </w:r>
    </w:p>
    <w:p>
      <w:pPr>
        <w:spacing w:after="120"/>
      </w:pPr>
      <w:r>
        <w:rPr>
          <w:rFonts w:ascii="Arial" w:cs="Arial" w:eastAsia="Arial" w:hAnsi="Arial"/>
          <w:sz w:val="20"/>
          <w:szCs w:val="20"/>
        </w:rPr>
        <w:t xml:space="preserve">A comprehensive baseline inventory of all hardware and software assets in the client environment. This is typically performed during onboarding or as a standalone engagement for organizations with no existing asset tracking.</w:t>
      </w:r>
    </w:p>
    <w:p>
      <w:pPr>
        <w:pStyle w:val="ListParagraph"/>
        <w:numPr>
          <w:ilvl w:val="0"/>
          <w:numId w:val="2"/>
        </w:numPr>
        <w:spacing w:after="60"/>
      </w:pPr>
      <w:r>
        <w:rPr>
          <w:rFonts w:ascii="Arial" w:cs="Arial" w:eastAsia="Arial" w:hAnsi="Arial"/>
          <w:sz w:val="20"/>
          <w:szCs w:val="20"/>
        </w:rPr>
        <w:t xml:space="preserve">Full hardware inventory: workstations, laptops, servers, network devices, printers, peripherals, mobile devices</w:t>
      </w:r>
    </w:p>
    <w:p>
      <w:pPr>
        <w:pStyle w:val="ListParagraph"/>
        <w:numPr>
          <w:ilvl w:val="0"/>
          <w:numId w:val="2"/>
        </w:numPr>
        <w:spacing w:after="60"/>
      </w:pPr>
      <w:r>
        <w:rPr>
          <w:rFonts w:ascii="Arial" w:cs="Arial" w:eastAsia="Arial" w:hAnsi="Arial"/>
          <w:sz w:val="20"/>
          <w:szCs w:val="20"/>
        </w:rPr>
        <w:t xml:space="preserve">Serial numbers, warranty status, purchase dates, and assigned users</w:t>
      </w:r>
    </w:p>
    <w:p>
      <w:pPr>
        <w:pStyle w:val="ListParagraph"/>
        <w:numPr>
          <w:ilvl w:val="0"/>
          <w:numId w:val="2"/>
        </w:numPr>
        <w:spacing w:after="60"/>
      </w:pPr>
      <w:r>
        <w:rPr>
          <w:rFonts w:ascii="Arial" w:cs="Arial" w:eastAsia="Arial" w:hAnsi="Arial"/>
          <w:sz w:val="20"/>
          <w:szCs w:val="20"/>
        </w:rPr>
        <w:t xml:space="preserve">Network device discovery (switches, routers, access points, firewalls)</w:t>
      </w:r>
    </w:p>
    <w:p>
      <w:pPr>
        <w:pStyle w:val="ListParagraph"/>
        <w:numPr>
          <w:ilvl w:val="0"/>
          <w:numId w:val="2"/>
        </w:numPr>
        <w:spacing w:after="60"/>
      </w:pPr>
      <w:r>
        <w:rPr>
          <w:rFonts w:ascii="Arial" w:cs="Arial" w:eastAsia="Arial" w:hAnsi="Arial"/>
          <w:sz w:val="20"/>
          <w:szCs w:val="20"/>
        </w:rPr>
        <w:t xml:space="preserve">Software inventory: installed applications, versions, and licensing status</w:t>
      </w:r>
    </w:p>
    <w:p>
      <w:pPr>
        <w:pStyle w:val="ListParagraph"/>
        <w:numPr>
          <w:ilvl w:val="0"/>
          <w:numId w:val="2"/>
        </w:numPr>
        <w:spacing w:after="60"/>
      </w:pPr>
      <w:r>
        <w:rPr>
          <w:rFonts w:ascii="Arial" w:cs="Arial" w:eastAsia="Arial" w:hAnsi="Arial"/>
          <w:sz w:val="20"/>
          <w:szCs w:val="20"/>
        </w:rPr>
        <w:t xml:space="preserve">Microsoft 365 license audit (assigned vs. active vs. unused seats)</w:t>
      </w:r>
    </w:p>
    <w:p>
      <w:pPr>
        <w:pStyle w:val="ListParagraph"/>
        <w:numPr>
          <w:ilvl w:val="0"/>
          <w:numId w:val="2"/>
        </w:numPr>
        <w:spacing w:after="60"/>
      </w:pPr>
      <w:r>
        <w:rPr>
          <w:rFonts w:ascii="Arial" w:cs="Arial" w:eastAsia="Arial" w:hAnsi="Arial"/>
          <w:sz w:val="20"/>
          <w:szCs w:val="20"/>
        </w:rPr>
        <w:t xml:space="preserve">Shadow IT identification (unauthorized devices and applications on the network)</w:t>
      </w:r>
    </w:p>
    <w:p>
      <w:pPr>
        <w:pStyle w:val="ListParagraph"/>
        <w:numPr>
          <w:ilvl w:val="0"/>
          <w:numId w:val="2"/>
        </w:numPr>
        <w:spacing w:after="60"/>
      </w:pPr>
      <w:r>
        <w:rPr>
          <w:rFonts w:ascii="Arial" w:cs="Arial" w:eastAsia="Arial" w:hAnsi="Arial"/>
          <w:sz w:val="20"/>
          <w:szCs w:val="20"/>
        </w:rPr>
        <w:t xml:space="preserve">Asset data loaded into IT Glue, Hudu, or client-preferred platform</w:t>
      </w:r>
    </w:p>
    <w:p>
      <w:pPr>
        <w:pStyle w:val="ListParagraph"/>
        <w:numPr>
          <w:ilvl w:val="0"/>
          <w:numId w:val="2"/>
        </w:numPr>
        <w:spacing w:after="60"/>
      </w:pPr>
      <w:r>
        <w:rPr>
          <w:rFonts w:ascii="Arial" w:cs="Arial" w:eastAsia="Arial" w:hAnsi="Arial"/>
          <w:sz w:val="20"/>
          <w:szCs w:val="20"/>
        </w:rPr>
        <w:t xml:space="preserve">Deliverable: Complete asset register with exportable reporting</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Asset Discovery (up to 25 users)</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hardware and software inventory for small environments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$1,500–$2,500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Asset Discovery (25–100 users)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Full inventory including multi-site and cloud resources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$2,500–$5,000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Asset Discovery (100+ users)</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Enterprise-scale inventory with complex infrastructure mapping</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$5,000–$8,000</w:t>
            </w:r>
          </w:p>
        </w:tc>
      </w:tr>
    </w:tbl>
    <w:p>
      <w:pPr>
        <w:pStyle w:val="Heading2"/>
        <w:spacing w:before="280" w:after="140"/>
      </w:pPr>
      <w:r>
        <w:rPr>
          <w:rFonts w:ascii="Arial" w:cs="Arial" w:eastAsia="Arial" w:hAnsi="Arial"/>
          <w:b/>
          <w:bCs/>
          <w:color w:val="2E75B6"/>
          <w:sz w:val="26"/>
          <w:szCs w:val="26"/>
        </w:rPr>
        <w:t xml:space="preserve">8.2 Ongoing Asset Lifecycle Management</w:t>
      </w:r>
    </w:p>
    <w:p>
      <w:pPr>
        <w:spacing w:after="120"/>
      </w:pPr>
      <w:r>
        <w:rPr>
          <w:rFonts w:ascii="Arial" w:cs="Arial" w:eastAsia="Arial" w:hAnsi="Arial"/>
          <w:sz w:val="20"/>
          <w:szCs w:val="20"/>
        </w:rPr>
        <w:t xml:space="preserve">Continuous tracking and management of assets from procurement to retirement. This service ensures the asset register stays current as devices are added, replaced, reassigned, or decommissioned.</w:t>
      </w:r>
    </w:p>
    <w:p>
      <w:pPr>
        <w:pStyle w:val="ListParagraph"/>
        <w:numPr>
          <w:ilvl w:val="0"/>
          <w:numId w:val="2"/>
        </w:numPr>
        <w:spacing w:after="60"/>
      </w:pPr>
      <w:r>
        <w:rPr>
          <w:rFonts w:ascii="Arial" w:cs="Arial" w:eastAsia="Arial" w:hAnsi="Arial"/>
          <w:sz w:val="20"/>
          <w:szCs w:val="20"/>
        </w:rPr>
        <w:t xml:space="preserve">New device registration and configuration tracking upon procurement</w:t>
      </w:r>
    </w:p>
    <w:p>
      <w:pPr>
        <w:pStyle w:val="ListParagraph"/>
        <w:numPr>
          <w:ilvl w:val="0"/>
          <w:numId w:val="2"/>
        </w:numPr>
        <w:spacing w:after="60"/>
      </w:pPr>
      <w:r>
        <w:rPr>
          <w:rFonts w:ascii="Arial" w:cs="Arial" w:eastAsia="Arial" w:hAnsi="Arial"/>
          <w:sz w:val="20"/>
          <w:szCs w:val="20"/>
        </w:rPr>
        <w:t xml:space="preserve">User assignment updates when devices are reassigned or employees change roles</w:t>
      </w:r>
    </w:p>
    <w:p>
      <w:pPr>
        <w:pStyle w:val="ListParagraph"/>
        <w:numPr>
          <w:ilvl w:val="0"/>
          <w:numId w:val="2"/>
        </w:numPr>
        <w:spacing w:after="60"/>
      </w:pPr>
      <w:r>
        <w:rPr>
          <w:rFonts w:ascii="Arial" w:cs="Arial" w:eastAsia="Arial" w:hAnsi="Arial"/>
          <w:sz w:val="20"/>
          <w:szCs w:val="20"/>
        </w:rPr>
        <w:t xml:space="preserve">Warranty expiration tracking with proactive replacement recommendations</w:t>
      </w:r>
    </w:p>
    <w:p>
      <w:pPr>
        <w:pStyle w:val="ListParagraph"/>
        <w:numPr>
          <w:ilvl w:val="0"/>
          <w:numId w:val="2"/>
        </w:numPr>
        <w:spacing w:after="60"/>
      </w:pPr>
      <w:r>
        <w:rPr>
          <w:rFonts w:ascii="Arial" w:cs="Arial" w:eastAsia="Arial" w:hAnsi="Arial"/>
          <w:sz w:val="20"/>
          <w:szCs w:val="20"/>
        </w:rPr>
        <w:t xml:space="preserve">Hardware refresh planning with 12–18 month lifecycle forecasting</w:t>
      </w:r>
    </w:p>
    <w:p>
      <w:pPr>
        <w:pStyle w:val="ListParagraph"/>
        <w:numPr>
          <w:ilvl w:val="0"/>
          <w:numId w:val="2"/>
        </w:numPr>
        <w:spacing w:after="60"/>
      </w:pPr>
      <w:r>
        <w:rPr>
          <w:rFonts w:ascii="Arial" w:cs="Arial" w:eastAsia="Arial" w:hAnsi="Arial"/>
          <w:sz w:val="20"/>
          <w:szCs w:val="20"/>
        </w:rPr>
        <w:t xml:space="preserve">Decommission and secure disposal documentation (chain of custody, data wipe certification)</w:t>
      </w:r>
    </w:p>
    <w:p>
      <w:pPr>
        <w:pStyle w:val="ListParagraph"/>
        <w:numPr>
          <w:ilvl w:val="0"/>
          <w:numId w:val="2"/>
        </w:numPr>
        <w:spacing w:after="60"/>
      </w:pPr>
      <w:r>
        <w:rPr>
          <w:rFonts w:ascii="Arial" w:cs="Arial" w:eastAsia="Arial" w:hAnsi="Arial"/>
          <w:sz w:val="20"/>
          <w:szCs w:val="20"/>
        </w:rPr>
        <w:t xml:space="preserve">Quarterly asset health report: aging hardware, warranty gaps, and refresh priorities</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Quarterly Asset Review</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Asset register update, warranty check, and hardware lifecycle report for environments up to 50 users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$500–$1,000/quarter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Quarterly Asset Review</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Same scope for environments with 50–200 users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$1,000–$2,000/quarter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Continuous Asset Management</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Always-current asset tracking as a managed service add-on (Enterprise tier clients)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Included</w:t>
            </w:r>
          </w:p>
        </w:tc>
      </w:tr>
    </w:tbl>
    <w:p>
      <w:pPr>
        <w:pStyle w:val="Heading2"/>
        <w:spacing w:before="280" w:after="140"/>
      </w:pPr>
      <w:r>
        <w:rPr>
          <w:rFonts w:ascii="Arial" w:cs="Arial" w:eastAsia="Arial" w:hAnsi="Arial"/>
          <w:b/>
          <w:bCs/>
          <w:color w:val="2E75B6"/>
          <w:sz w:val="26"/>
          <w:szCs w:val="26"/>
        </w:rPr>
        <w:t xml:space="preserve">8.3 Software License Optimization</w:t>
      </w:r>
    </w:p>
    <w:p>
      <w:pPr>
        <w:spacing w:after="120"/>
      </w:pPr>
      <w:r>
        <w:rPr>
          <w:rFonts w:ascii="Arial" w:cs="Arial" w:eastAsia="Arial" w:hAnsi="Arial"/>
          <w:sz w:val="20"/>
          <w:szCs w:val="20"/>
        </w:rPr>
        <w:t xml:space="preserve">Most SMBs are either overpaying for unused software licenses or running software they haven’t properly licensed. BlueStrata audits software licensing across the environment and provides actionable recommendations to right-size spend and eliminate risk.</w:t>
      </w:r>
    </w:p>
    <w:p>
      <w:pPr>
        <w:pStyle w:val="ListParagraph"/>
        <w:numPr>
          <w:ilvl w:val="0"/>
          <w:numId w:val="2"/>
        </w:numPr>
        <w:spacing w:after="60"/>
      </w:pPr>
      <w:r>
        <w:rPr>
          <w:rFonts w:ascii="Arial" w:cs="Arial" w:eastAsia="Arial" w:hAnsi="Arial"/>
          <w:sz w:val="20"/>
          <w:szCs w:val="20"/>
        </w:rPr>
        <w:t xml:space="preserve">Microsoft 365 license audit: identify unused, underutilized, and misassigned licenses</w:t>
      </w:r>
    </w:p>
    <w:p>
      <w:pPr>
        <w:pStyle w:val="ListParagraph"/>
        <w:numPr>
          <w:ilvl w:val="0"/>
          <w:numId w:val="2"/>
        </w:numPr>
        <w:spacing w:after="60"/>
      </w:pPr>
      <w:r>
        <w:rPr>
          <w:rFonts w:ascii="Arial" w:cs="Arial" w:eastAsia="Arial" w:hAnsi="Arial"/>
          <w:sz w:val="20"/>
          <w:szCs w:val="20"/>
        </w:rPr>
        <w:t xml:space="preserve">License tier optimization (e.g., downgrading M365 E5 to E3 for users who don’t need advanced features)</w:t>
      </w:r>
    </w:p>
    <w:p>
      <w:pPr>
        <w:pStyle w:val="ListParagraph"/>
        <w:numPr>
          <w:ilvl w:val="0"/>
          <w:numId w:val="2"/>
        </w:numPr>
        <w:spacing w:after="60"/>
      </w:pPr>
      <w:r>
        <w:rPr>
          <w:rFonts w:ascii="Arial" w:cs="Arial" w:eastAsia="Arial" w:hAnsi="Arial"/>
          <w:sz w:val="20"/>
          <w:szCs w:val="20"/>
        </w:rPr>
        <w:t xml:space="preserve">Third-party software license review (Adobe, QuickBooks, line-of-business apps)</w:t>
      </w:r>
    </w:p>
    <w:p>
      <w:pPr>
        <w:pStyle w:val="ListParagraph"/>
        <w:numPr>
          <w:ilvl w:val="0"/>
          <w:numId w:val="2"/>
        </w:numPr>
        <w:spacing w:after="60"/>
      </w:pPr>
      <w:r>
        <w:rPr>
          <w:rFonts w:ascii="Arial" w:cs="Arial" w:eastAsia="Arial" w:hAnsi="Arial"/>
          <w:sz w:val="20"/>
          <w:szCs w:val="20"/>
        </w:rPr>
        <w:t xml:space="preserve">Duplicate and redundant software identification</w:t>
      </w:r>
    </w:p>
    <w:p>
      <w:pPr>
        <w:pStyle w:val="ListParagraph"/>
        <w:numPr>
          <w:ilvl w:val="0"/>
          <w:numId w:val="2"/>
        </w:numPr>
        <w:spacing w:after="60"/>
      </w:pPr>
      <w:r>
        <w:rPr>
          <w:rFonts w:ascii="Arial" w:cs="Arial" w:eastAsia="Arial" w:hAnsi="Arial"/>
          <w:sz w:val="20"/>
          <w:szCs w:val="20"/>
        </w:rPr>
        <w:t xml:space="preserve">License verification (are you properly licensed for what’s installed?)</w:t>
      </w:r>
    </w:p>
    <w:p>
      <w:pPr>
        <w:pStyle w:val="ListParagraph"/>
        <w:numPr>
          <w:ilvl w:val="0"/>
          <w:numId w:val="2"/>
        </w:numPr>
        <w:spacing w:after="60"/>
      </w:pPr>
      <w:r>
        <w:rPr>
          <w:rFonts w:ascii="Arial" w:cs="Arial" w:eastAsia="Arial" w:hAnsi="Arial"/>
          <w:sz w:val="20"/>
          <w:szCs w:val="20"/>
        </w:rPr>
        <w:t xml:space="preserve">Cost savings report with projected annual savings</w:t>
      </w:r>
    </w:p>
    <w:p>
      <w:pPr>
        <w:pStyle w:val="ListParagraph"/>
        <w:numPr>
          <w:ilvl w:val="0"/>
          <w:numId w:val="2"/>
        </w:numPr>
        <w:spacing w:after="60"/>
      </w:pPr>
      <w:r>
        <w:rPr>
          <w:rFonts w:ascii="Arial" w:cs="Arial" w:eastAsia="Arial" w:hAnsi="Arial"/>
          <w:sz w:val="20"/>
          <w:szCs w:val="20"/>
        </w:rPr>
        <w:t xml:space="preserve">Recommendations for consolidation and vendor negotiation</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Pricing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License Optimization (up to 25 users)</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Full M365 and software license audit with cost savings report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$1,000–$2,000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License Optimization (25–100 users)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Comprehensive audit including third-party apps and vendor contracts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$2,000–$4,000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sz w:val="20"/>
                <w:szCs w:val="20"/>
              </w:rPr>
              <w:t xml:space="preserve">License Optimization (100+ users)</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Enterprise-scale audit with multi-tenant or multi-subscription environments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$4,000–$7,000</w:t>
            </w:r>
          </w:p>
        </w:tc>
      </w:tr>
    </w:tbl>
    <w:p>
      <w:pPr>
        <w:spacing w:before="200"/>
      </w:pPr>
    </w:p>
    <w:p>
      <w:pPr>
        <w:spacing w:after="120"/>
      </w:pPr>
      <w:r>
        <w:rPr>
          <w:rFonts w:ascii="Arial" w:cs="Arial" w:eastAsia="Arial" w:hAnsi="Arial"/>
          <w:sz w:val="20"/>
          <w:szCs w:val="20"/>
        </w:rPr>
        <w:t xml:space="preserve">Software license optimization is included quarterly for Professional and Enterprise tier managed services clients. Essentials tier clients and standalone engagements are priced per the table above. Clients typically recover 15–30% of annual software spend through a single optimization engagement.</w:t>
      </w:r>
    </w:p>
    <w:p>
      <w:r>
        <w:br w:type="page"/>
      </w:r>
    </w:p>
    <w:p>
      <w:pPr>
        <w:pStyle w:val="Heading1"/>
        <w:spacing w:before="360" w:after="200"/>
      </w:pPr>
      <w:r>
        <w:rPr>
          <w:rFonts w:ascii="Arial" w:cs="Arial" w:eastAsia="Arial" w:hAnsi="Arial"/>
          <w:b/>
          <w:bCs/>
          <w:color w:val="1B3A5C"/>
          <w:sz w:val="32"/>
          <w:szCs w:val="32"/>
        </w:rPr>
        <w:t xml:space="preserve">9. Consulting Rate Card</w:t>
      </w:r>
    </w:p>
    <w:p>
      <w:pPr>
        <w:spacing w:after="120"/>
      </w:pPr>
      <w:r>
        <w:rPr>
          <w:rFonts w:ascii="Arial" w:cs="Arial" w:eastAsia="Arial" w:hAnsi="Arial"/>
          <w:sz w:val="20"/>
          <w:szCs w:val="20"/>
        </w:rPr>
        <w:t xml:space="preserve">For ad-hoc consulting, break/fix support, or advisory services outside of a managed agreement, the following hourly rates apply.</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 Category</w:t>
            </w:r>
          </w:p>
        </w:tc>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Hourly Rate</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General IT Support &amp; Troubleshooting</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$100–$150/hr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Azure Administration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Microsoft 365 Administration</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Security Operations &amp; Threat Response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$150–$225/hr</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Network Design &amp; Configuration</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$150–$200/hr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Security Consulting &amp; Policy Development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$150–$225/hr</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IT Documentation &amp; SOP Development</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val="false"/>
                <w:bCs w:val="false"/>
                <w:sz w:val="20"/>
                <w:szCs w:val="20"/>
              </w:rPr>
              <w:t xml:space="preserve">Asset Management &amp; License Auditing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$125–$175/hr</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sz w:val="20"/>
                <w:szCs w:val="20"/>
              </w:rPr>
              <w:t xml:space="preserve">After-Hours Emergency Support</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right"/>
            </w:pPr>
            <w:r>
              <w:rPr>
                <w:rFonts w:ascii="Arial" w:cs="Arial" w:eastAsia="Arial" w:hAnsi="Arial"/>
                <w:b/>
                <w:bCs/>
                <w:color w:val="1B3A5C"/>
                <w:sz w:val="20"/>
                <w:szCs w:val="20"/>
              </w:rPr>
              <w:t xml:space="preserve">$200–$300/hr</w:t>
            </w:r>
          </w:p>
        </w:tc>
      </w:tr>
    </w:tbl>
    <w:p>
      <w:pPr>
        <w:spacing w:before="200"/>
      </w:pPr>
    </w:p>
    <w:p>
      <w:pPr>
        <w:spacing w:after="120"/>
      </w:pPr>
      <w:r>
        <w:rPr>
          <w:rFonts w:ascii="Arial" w:cs="Arial" w:eastAsia="Arial" w:hAnsi="Arial"/>
          <w:sz w:val="20"/>
          <w:szCs w:val="20"/>
        </w:rPr>
        <w:t xml:space="preserve">Minimum billing increment: 30 minutes. Travel time billed at 50% of the applicable hourly rate for on-site engagements beyond 30 miles from the Denver metro area.</w:t>
      </w:r>
    </w:p>
    <w:p>
      <w:pPr>
        <w:pStyle w:val="Heading1"/>
        <w:spacing w:before="360" w:after="200"/>
      </w:pPr>
      <w:r>
        <w:rPr>
          <w:rFonts w:ascii="Arial" w:cs="Arial" w:eastAsia="Arial" w:hAnsi="Arial"/>
          <w:b/>
          <w:bCs/>
          <w:color w:val="1B3A5C"/>
          <w:sz w:val="32"/>
          <w:szCs w:val="32"/>
        </w:rPr>
        <w:t xml:space="preserve">10. Pricing Methodology &amp; Market Context</w:t>
      </w:r>
    </w:p>
    <w:p>
      <w:pPr>
        <w:spacing w:after="120"/>
      </w:pPr>
      <w:r>
        <w:rPr>
          <w:rFonts w:ascii="Arial" w:cs="Arial" w:eastAsia="Arial" w:hAnsi="Arial"/>
          <w:sz w:val="20"/>
          <w:szCs w:val="20"/>
        </w:rPr>
        <w:t xml:space="preserve">BlueStrata pricing is benchmarked against current MSP and cybersecurity consulting market rates for the Colorado Front Range and national averages. Key data points informing our pricing:</w:t>
      </w:r>
    </w:p>
    <w:p>
      <w:pPr>
        <w:pStyle w:val="ListParagraph"/>
        <w:numPr>
          <w:ilvl w:val="0"/>
          <w:numId w:val="2"/>
        </w:numPr>
        <w:spacing w:after="60"/>
      </w:pPr>
      <w:r>
        <w:rPr>
          <w:rFonts w:ascii="Arial" w:cs="Arial" w:eastAsia="Arial" w:hAnsi="Arial"/>
          <w:b/>
          <w:bCs/>
          <w:sz w:val="20"/>
          <w:szCs w:val="20"/>
        </w:rPr>
        <w:t xml:space="preserve">Per-user managed services (national average): </w:t>
      </w:r>
      <w:r>
        <w:rPr>
          <w:rFonts w:ascii="Arial" w:cs="Arial" w:eastAsia="Arial" w:hAnsi="Arial"/>
          <w:sz w:val="20"/>
          <w:szCs w:val="20"/>
        </w:rPr>
        <w:t xml:space="preserve">$100–$250/user/month depending on scope and tier (MSP Association of America, Kaseya, Corsica Technologies)</w:t>
      </w:r>
    </w:p>
    <w:p>
      <w:pPr>
        <w:pStyle w:val="ListParagraph"/>
        <w:numPr>
          <w:ilvl w:val="0"/>
          <w:numId w:val="2"/>
        </w:numPr>
        <w:spacing w:after="60"/>
      </w:pPr>
      <w:r>
        <w:rPr>
          <w:rFonts w:ascii="Arial" w:cs="Arial" w:eastAsia="Arial" w:hAnsi="Arial"/>
          <w:b/>
          <w:bCs/>
          <w:sz w:val="20"/>
          <w:szCs w:val="20"/>
        </w:rPr>
        <w:t xml:space="preserve">IT security audit costs: </w:t>
      </w:r>
      <w:r>
        <w:rPr>
          <w:rFonts w:ascii="Arial" w:cs="Arial" w:eastAsia="Arial" w:hAnsi="Arial"/>
          <w:sz w:val="20"/>
          <w:szCs w:val="20"/>
        </w:rPr>
        <w:t xml:space="preserve">$3,000–$50,000 depending on scope and business size (Astra, QualySec, Help Net Security)</w:t>
      </w:r>
    </w:p>
    <w:p>
      <w:pPr>
        <w:pStyle w:val="ListParagraph"/>
        <w:numPr>
          <w:ilvl w:val="0"/>
          <w:numId w:val="2"/>
        </w:numPr>
        <w:spacing w:after="60"/>
      </w:pPr>
      <w:r>
        <w:rPr>
          <w:rFonts w:ascii="Arial" w:cs="Arial" w:eastAsia="Arial" w:hAnsi="Arial"/>
          <w:b/>
          <w:bCs/>
          <w:sz w:val="20"/>
          <w:szCs w:val="20"/>
        </w:rPr>
        <w:t xml:space="preserve">Cybersecurity risk assessments: </w:t>
      </w:r>
      <w:r>
        <w:rPr>
          <w:rFonts w:ascii="Arial" w:cs="Arial" w:eastAsia="Arial" w:hAnsi="Arial"/>
          <w:sz w:val="20"/>
          <w:szCs w:val="20"/>
        </w:rPr>
        <w:t xml:space="preserve">$5,000–$50,000 for SMBs with 10–250 employees (Cyber Wise Consulting, DeepStrike)</w:t>
      </w:r>
    </w:p>
    <w:p>
      <w:pPr>
        <w:pStyle w:val="ListParagraph"/>
        <w:numPr>
          <w:ilvl w:val="0"/>
          <w:numId w:val="2"/>
        </w:numPr>
        <w:spacing w:after="60"/>
      </w:pPr>
      <w:r>
        <w:rPr>
          <w:rFonts w:ascii="Arial" w:cs="Arial" w:eastAsia="Arial" w:hAnsi="Arial"/>
          <w:b/>
          <w:bCs/>
          <w:sz w:val="20"/>
          <w:szCs w:val="20"/>
        </w:rPr>
        <w:t xml:space="preserve">Microsoft 365 consultant rates: </w:t>
      </w:r>
      <w:r>
        <w:rPr>
          <w:rFonts w:ascii="Arial" w:cs="Arial" w:eastAsia="Arial" w:hAnsi="Arial"/>
          <w:sz w:val="20"/>
          <w:szCs w:val="20"/>
        </w:rPr>
        <w:t xml:space="preserve">$50–$80/hr salaried equivalent, translating to $125–$200/hr for independent consulting (ZipRecruiter, Glassdoor)</w:t>
      </w:r>
    </w:p>
    <w:p>
      <w:pPr>
        <w:pStyle w:val="ListParagraph"/>
        <w:numPr>
          <w:ilvl w:val="0"/>
          <w:numId w:val="2"/>
        </w:numPr>
        <w:spacing w:after="60"/>
      </w:pPr>
      <w:r>
        <w:rPr>
          <w:rFonts w:ascii="Arial" w:cs="Arial" w:eastAsia="Arial" w:hAnsi="Arial"/>
          <w:b/>
          <w:bCs/>
          <w:sz w:val="20"/>
          <w:szCs w:val="20"/>
        </w:rPr>
        <w:t xml:space="preserve">Azure consultant rates: </w:t>
      </w:r>
      <w:r>
        <w:rPr>
          <w:rFonts w:ascii="Arial" w:cs="Arial" w:eastAsia="Arial" w:hAnsi="Arial"/>
          <w:sz w:val="20"/>
          <w:szCs w:val="20"/>
        </w:rPr>
        <w:t xml:space="preserve">$55–$110/hr salaried equivalent, translating to $150–$200+/hr for independent consulting (ZipRecruiter)</w:t>
      </w:r>
    </w:p>
    <w:p>
      <w:pPr>
        <w:pStyle w:val="ListParagraph"/>
        <w:numPr>
          <w:ilvl w:val="0"/>
          <w:numId w:val="2"/>
        </w:numPr>
        <w:spacing w:after="60"/>
      </w:pPr>
      <w:r>
        <w:rPr>
          <w:rFonts w:ascii="Arial" w:cs="Arial" w:eastAsia="Arial" w:hAnsi="Arial"/>
          <w:b/>
          <w:bCs/>
          <w:sz w:val="20"/>
          <w:szCs w:val="20"/>
        </w:rPr>
        <w:t xml:space="preserve">Security-focused MSP premium: </w:t>
      </w:r>
      <w:r>
        <w:rPr>
          <w:rFonts w:ascii="Arial" w:cs="Arial" w:eastAsia="Arial" w:hAnsi="Arial"/>
          <w:sz w:val="20"/>
          <w:szCs w:val="20"/>
        </w:rPr>
        <w:t xml:space="preserve">15–20% above standard managed services pricing for businesses requiring advanced security controls (MSPAA)</w:t>
      </w:r>
    </w:p>
    <w:p>
      <w:pPr>
        <w:spacing w:before="120"/>
      </w:pPr>
    </w:p>
    <w:p>
      <w:pPr>
        <w:spacing w:after="120"/>
      </w:pPr>
      <w:r>
        <w:rPr>
          <w:rFonts w:ascii="Arial" w:cs="Arial" w:eastAsia="Arial" w:hAnsi="Arial"/>
          <w:sz w:val="20"/>
          <w:szCs w:val="20"/>
        </w:rPr>
        <w:t xml:space="preserve">BlueStrata positions pricing competitively within or slightly below market to attract initial clients while maintaining sustainable margins. As the client base grows and brand authority is established, rates will be adjusted upward to reflect expanded capabilities and certifications.</w:t>
      </w:r>
    </w:p>
    <w:p>
      <w:r>
        <w:br w:type="page"/>
      </w:r>
    </w:p>
    <w:p>
      <w:pPr>
        <w:pStyle w:val="Heading1"/>
        <w:spacing w:before="360" w:after="200"/>
      </w:pPr>
      <w:r>
        <w:rPr>
          <w:rFonts w:ascii="Arial" w:cs="Arial" w:eastAsia="Arial" w:hAnsi="Arial"/>
          <w:b/>
          <w:bCs/>
          <w:color w:val="1B3A5C"/>
          <w:sz w:val="32"/>
          <w:szCs w:val="32"/>
        </w:rPr>
        <w:t xml:space="preserve">11. Engagement Models</w:t>
      </w:r>
    </w:p>
    <w:p>
      <w:pPr>
        <w:pStyle w:val="Heading2"/>
        <w:spacing w:before="280" w:after="140"/>
      </w:pPr>
      <w:r>
        <w:rPr>
          <w:rFonts w:ascii="Arial" w:cs="Arial" w:eastAsia="Arial" w:hAnsi="Arial"/>
          <w:b/>
          <w:bCs/>
          <w:color w:val="2E75B6"/>
          <w:sz w:val="26"/>
          <w:szCs w:val="26"/>
        </w:rPr>
        <w:t xml:space="preserve">Monthly Retainer (Managed Services)</w:t>
      </w:r>
    </w:p>
    <w:p>
      <w:pPr>
        <w:pStyle w:val="ListParagraph"/>
        <w:numPr>
          <w:ilvl w:val="0"/>
          <w:numId w:val="2"/>
        </w:numPr>
        <w:spacing w:after="60"/>
      </w:pPr>
      <w:r>
        <w:rPr>
          <w:rFonts w:ascii="Arial" w:cs="Arial" w:eastAsia="Arial" w:hAnsi="Arial"/>
          <w:sz w:val="20"/>
          <w:szCs w:val="20"/>
        </w:rPr>
        <w:t xml:space="preserve">Fixed monthly fee based on user/device count and tier selection</w:t>
      </w:r>
    </w:p>
    <w:p>
      <w:pPr>
        <w:pStyle w:val="ListParagraph"/>
        <w:numPr>
          <w:ilvl w:val="0"/>
          <w:numId w:val="2"/>
        </w:numPr>
        <w:spacing w:after="60"/>
      </w:pPr>
      <w:r>
        <w:rPr>
          <w:rFonts w:ascii="Arial" w:cs="Arial" w:eastAsia="Arial" w:hAnsi="Arial"/>
          <w:sz w:val="20"/>
          <w:szCs w:val="20"/>
        </w:rPr>
        <w:t xml:space="preserve">Includes all services defined in the selected tier</w:t>
      </w:r>
    </w:p>
    <w:p>
      <w:pPr>
        <w:pStyle w:val="ListParagraph"/>
        <w:numPr>
          <w:ilvl w:val="0"/>
          <w:numId w:val="2"/>
        </w:numPr>
        <w:spacing w:after="60"/>
      </w:pPr>
      <w:r>
        <w:rPr>
          <w:rFonts w:ascii="Arial" w:cs="Arial" w:eastAsia="Arial" w:hAnsi="Arial"/>
          <w:sz w:val="20"/>
          <w:szCs w:val="20"/>
        </w:rPr>
        <w:t xml:space="preserve">12-month agreement recommended; month-to-month available at 15% premium</w:t>
      </w:r>
    </w:p>
    <w:p>
      <w:pPr>
        <w:pStyle w:val="ListParagraph"/>
        <w:numPr>
          <w:ilvl w:val="0"/>
          <w:numId w:val="2"/>
        </w:numPr>
        <w:spacing w:after="60"/>
      </w:pPr>
      <w:r>
        <w:rPr>
          <w:rFonts w:ascii="Arial" w:cs="Arial" w:eastAsia="Arial" w:hAnsi="Arial"/>
          <w:sz w:val="20"/>
          <w:szCs w:val="20"/>
        </w:rPr>
        <w:t xml:space="preserve">Quarterly business reviews included at Professional and Enterprise tiers</w:t>
      </w:r>
    </w:p>
    <w:p>
      <w:pPr>
        <w:pStyle w:val="Heading2"/>
        <w:spacing w:before="280" w:after="140"/>
      </w:pPr>
      <w:r>
        <w:rPr>
          <w:rFonts w:ascii="Arial" w:cs="Arial" w:eastAsia="Arial" w:hAnsi="Arial"/>
          <w:b/>
          <w:bCs/>
          <w:color w:val="2E75B6"/>
          <w:sz w:val="26"/>
          <w:szCs w:val="26"/>
        </w:rPr>
        <w:t xml:space="preserve">Project-Based (Fixed Fee)</w:t>
      </w:r>
    </w:p>
    <w:p>
      <w:pPr>
        <w:pStyle w:val="ListParagraph"/>
        <w:numPr>
          <w:ilvl w:val="0"/>
          <w:numId w:val="2"/>
        </w:numPr>
        <w:spacing w:after="60"/>
      </w:pPr>
      <w:r>
        <w:rPr>
          <w:rFonts w:ascii="Arial" w:cs="Arial" w:eastAsia="Arial" w:hAnsi="Arial"/>
          <w:sz w:val="20"/>
          <w:szCs w:val="20"/>
        </w:rPr>
        <w:t xml:space="preserve">Scoped and quoted per engagement with defined deliverables</w:t>
      </w:r>
    </w:p>
    <w:p>
      <w:pPr>
        <w:pStyle w:val="ListParagraph"/>
        <w:numPr>
          <w:ilvl w:val="0"/>
          <w:numId w:val="2"/>
        </w:numPr>
        <w:spacing w:after="60"/>
      </w:pPr>
      <w:r>
        <w:rPr>
          <w:rFonts w:ascii="Arial" w:cs="Arial" w:eastAsia="Arial" w:hAnsi="Arial"/>
          <w:sz w:val="20"/>
          <w:szCs w:val="20"/>
        </w:rPr>
        <w:t xml:space="preserve">50% due at project kickoff, 50% upon completion</w:t>
      </w:r>
    </w:p>
    <w:p>
      <w:pPr>
        <w:pStyle w:val="ListParagraph"/>
        <w:numPr>
          <w:ilvl w:val="0"/>
          <w:numId w:val="2"/>
        </w:numPr>
        <w:spacing w:after="60"/>
      </w:pPr>
      <w:r>
        <w:rPr>
          <w:rFonts w:ascii="Arial" w:cs="Arial" w:eastAsia="Arial" w:hAnsi="Arial"/>
          <w:sz w:val="20"/>
          <w:szCs w:val="20"/>
        </w:rPr>
        <w:t xml:space="preserve">Change orders for scope adjustments billed at consulting rate</w:t>
      </w:r>
    </w:p>
    <w:p>
      <w:pPr>
        <w:pStyle w:val="Heading2"/>
        <w:spacing w:before="280" w:after="140"/>
      </w:pPr>
      <w:r>
        <w:rPr>
          <w:rFonts w:ascii="Arial" w:cs="Arial" w:eastAsia="Arial" w:hAnsi="Arial"/>
          <w:b/>
          <w:bCs/>
          <w:color w:val="2E75B6"/>
          <w:sz w:val="26"/>
          <w:szCs w:val="26"/>
        </w:rPr>
        <w:t xml:space="preserve">Hourly Consulting (Ad-Hoc)</w:t>
      </w:r>
    </w:p>
    <w:p>
      <w:pPr>
        <w:pStyle w:val="ListParagraph"/>
        <w:numPr>
          <w:ilvl w:val="0"/>
          <w:numId w:val="2"/>
        </w:numPr>
        <w:spacing w:after="60"/>
      </w:pPr>
      <w:r>
        <w:rPr>
          <w:rFonts w:ascii="Arial" w:cs="Arial" w:eastAsia="Arial" w:hAnsi="Arial"/>
          <w:sz w:val="20"/>
          <w:szCs w:val="20"/>
        </w:rPr>
        <w:t xml:space="preserve">Billed in 30-minute increments</w:t>
      </w:r>
    </w:p>
    <w:p>
      <w:pPr>
        <w:pStyle w:val="ListParagraph"/>
        <w:numPr>
          <w:ilvl w:val="0"/>
          <w:numId w:val="2"/>
        </w:numPr>
        <w:spacing w:after="60"/>
      </w:pPr>
      <w:r>
        <w:rPr>
          <w:rFonts w:ascii="Arial" w:cs="Arial" w:eastAsia="Arial" w:hAnsi="Arial"/>
          <w:sz w:val="20"/>
          <w:szCs w:val="20"/>
        </w:rPr>
        <w:t xml:space="preserve">Prepaid block rates available: 10-hour block at 10% discount, 20-hour block at 15% discount</w:t>
      </w:r>
    </w:p>
    <w:p>
      <w:pPr>
        <w:pStyle w:val="ListParagraph"/>
        <w:numPr>
          <w:ilvl w:val="0"/>
          <w:numId w:val="2"/>
        </w:numPr>
        <w:spacing w:after="60"/>
      </w:pPr>
      <w:r>
        <w:rPr>
          <w:rFonts w:ascii="Arial" w:cs="Arial" w:eastAsia="Arial" w:hAnsi="Arial"/>
          <w:sz w:val="20"/>
          <w:szCs w:val="20"/>
        </w:rPr>
        <w:t xml:space="preserve">Ideal for businesses with existing IT staff needing specialized expertise</w:t>
      </w:r>
    </w:p>
    <w:p>
      <w:pPr>
        <w:pStyle w:val="Heading2"/>
        <w:spacing w:before="280" w:after="140"/>
      </w:pPr>
      <w:r>
        <w:rPr>
          <w:rFonts w:ascii="Arial" w:cs="Arial" w:eastAsia="Arial" w:hAnsi="Arial"/>
          <w:b/>
          <w:bCs/>
          <w:color w:val="2E75B6"/>
          <w:sz w:val="26"/>
          <w:szCs w:val="26"/>
        </w:rPr>
        <w:t xml:space="preserve">À La Carte / Custom Services</w:t>
      </w:r>
    </w:p>
    <w:p>
      <w:pPr>
        <w:pStyle w:val="ListParagraph"/>
        <w:numPr>
          <w:ilvl w:val="0"/>
          <w:numId w:val="2"/>
        </w:numPr>
        <w:spacing w:after="60"/>
      </w:pPr>
      <w:r>
        <w:rPr>
          <w:rFonts w:ascii="Arial" w:cs="Arial" w:eastAsia="Arial" w:hAnsi="Arial"/>
          <w:sz w:val="20"/>
          <w:szCs w:val="20"/>
        </w:rPr>
        <w:t xml:space="preserve">Clients select individual services from the catalog without committing to a managed tier</w:t>
      </w:r>
    </w:p>
    <w:p>
      <w:pPr>
        <w:pStyle w:val="ListParagraph"/>
        <w:numPr>
          <w:ilvl w:val="0"/>
          <w:numId w:val="2"/>
        </w:numPr>
        <w:spacing w:after="60"/>
      </w:pPr>
      <w:r>
        <w:rPr>
          <w:rFonts w:ascii="Arial" w:cs="Arial" w:eastAsia="Arial" w:hAnsi="Arial"/>
          <w:sz w:val="20"/>
          <w:szCs w:val="20"/>
        </w:rPr>
        <w:t xml:space="preserve">Minimum monthly engagement: $500/month for recurring services, $1,000 minimum for one-time projects</w:t>
      </w:r>
    </w:p>
    <w:p>
      <w:pPr>
        <w:pStyle w:val="ListParagraph"/>
        <w:numPr>
          <w:ilvl w:val="0"/>
          <w:numId w:val="2"/>
        </w:numPr>
        <w:spacing w:after="60"/>
      </w:pPr>
      <w:r>
        <w:rPr>
          <w:rFonts w:ascii="Arial" w:cs="Arial" w:eastAsia="Arial" w:hAnsi="Arial"/>
          <w:sz w:val="20"/>
          <w:szCs w:val="20"/>
        </w:rPr>
        <w:t xml:space="preserve">À la carte pricing carries a 10–15% premium over equivalent in-tier pricing, reflecting partial-environment management overhead</w:t>
      </w:r>
    </w:p>
    <w:p>
      <w:pPr>
        <w:pStyle w:val="ListParagraph"/>
        <w:numPr>
          <w:ilvl w:val="0"/>
          <w:numId w:val="2"/>
        </w:numPr>
        <w:spacing w:after="60"/>
      </w:pPr>
      <w:r>
        <w:rPr>
          <w:rFonts w:ascii="Arial" w:cs="Arial" w:eastAsia="Arial" w:hAnsi="Arial"/>
          <w:sz w:val="20"/>
          <w:szCs w:val="20"/>
        </w:rPr>
        <w:t xml:space="preserve">Remote support billed at consulting hourly rates (no unlimited support outside managed tiers)</w:t>
      </w:r>
    </w:p>
    <w:p>
      <w:pPr>
        <w:pStyle w:val="ListParagraph"/>
        <w:numPr>
          <w:ilvl w:val="0"/>
          <w:numId w:val="2"/>
        </w:numPr>
        <w:spacing w:after="60"/>
      </w:pPr>
      <w:r>
        <w:rPr>
          <w:rFonts w:ascii="Arial" w:cs="Arial" w:eastAsia="Arial" w:hAnsi="Arial"/>
          <w:sz w:val="20"/>
          <w:szCs w:val="20"/>
        </w:rPr>
        <w:t xml:space="preserve">Recurring à la carte services (e.g., quarterly phishing simulations, monthly Azure admin) billed on a fixed monthly or quarterly schedule</w:t>
      </w:r>
    </w:p>
    <w:p>
      <w:pPr>
        <w:pStyle w:val="ListParagraph"/>
        <w:numPr>
          <w:ilvl w:val="0"/>
          <w:numId w:val="2"/>
        </w:numPr>
        <w:spacing w:after="60"/>
      </w:pPr>
      <w:r>
        <w:rPr>
          <w:rFonts w:ascii="Arial" w:cs="Arial" w:eastAsia="Arial" w:hAnsi="Arial"/>
          <w:sz w:val="20"/>
          <w:szCs w:val="20"/>
        </w:rPr>
        <w:t xml:space="preserve">Ideal for businesses that want to address specific pain points before committing to a full managed relationship</w:t>
      </w:r>
    </w:p>
    <w:p>
      <w:pPr>
        <w:pStyle w:val="Heading1"/>
        <w:spacing w:before="360" w:after="200"/>
      </w:pPr>
      <w:r>
        <w:rPr>
          <w:rFonts w:ascii="Arial" w:cs="Arial" w:eastAsia="Arial" w:hAnsi="Arial"/>
          <w:b/>
          <w:bCs/>
          <w:color w:val="1B3A5C"/>
          <w:sz w:val="32"/>
          <w:szCs w:val="32"/>
        </w:rPr>
        <w:t xml:space="preserve">12. Next Steps</w:t>
      </w:r>
    </w:p>
    <w:p>
      <w:pPr>
        <w:spacing w:after="120"/>
      </w:pPr>
      <w:r>
        <w:rPr>
          <w:rFonts w:ascii="Arial" w:cs="Arial" w:eastAsia="Arial" w:hAnsi="Arial"/>
          <w:sz w:val="20"/>
          <w:szCs w:val="20"/>
        </w:rPr>
        <w:t xml:space="preserve">BlueStrata offers a complimentary 30-minute discovery call to understand your business needs, assess your current IT and security posture, and recommend the right service tier or project engagement.</w:t>
      </w:r>
    </w:p>
    <w:p>
      <w:pPr>
        <w:pStyle w:val="ListParagraph"/>
        <w:numPr>
          <w:ilvl w:val="0"/>
          <w:numId w:val="3"/>
        </w:numPr>
        <w:spacing w:after="60"/>
      </w:pPr>
      <w:r>
        <w:rPr>
          <w:rFonts w:ascii="Arial" w:cs="Arial" w:eastAsia="Arial" w:hAnsi="Arial"/>
          <w:sz w:val="20"/>
          <w:szCs w:val="20"/>
        </w:rPr>
        <w:t xml:space="preserve">Schedule a discovery call at bluestrata.io</w:t>
      </w:r>
    </w:p>
    <w:p>
      <w:pPr>
        <w:pStyle w:val="ListParagraph"/>
        <w:numPr>
          <w:ilvl w:val="0"/>
          <w:numId w:val="3"/>
        </w:numPr>
        <w:spacing w:after="60"/>
      </w:pPr>
      <w:r>
        <w:rPr>
          <w:rFonts w:ascii="Arial" w:cs="Arial" w:eastAsia="Arial" w:hAnsi="Arial"/>
          <w:sz w:val="20"/>
          <w:szCs w:val="20"/>
        </w:rPr>
        <w:t xml:space="preserve">Receive a tailored proposal with scope and pricing</w:t>
      </w:r>
    </w:p>
    <w:p>
      <w:pPr>
        <w:pStyle w:val="ListParagraph"/>
        <w:numPr>
          <w:ilvl w:val="0"/>
          <w:numId w:val="3"/>
        </w:numPr>
        <w:spacing w:after="60"/>
      </w:pPr>
      <w:r>
        <w:rPr>
          <w:rFonts w:ascii="Arial" w:cs="Arial" w:eastAsia="Arial" w:hAnsi="Arial"/>
          <w:sz w:val="20"/>
          <w:szCs w:val="20"/>
        </w:rPr>
        <w:t xml:space="preserve">Onboard with minimal disruption to your operations</w:t>
      </w:r>
    </w:p>
    <w:p>
      <w:pPr>
        <w:spacing w:before="300"/>
      </w:pPr>
    </w:p>
    <w:p>
      <w:pPr>
        <w:pBdr>
          <w:top w:val="single" w:color="2E75B6" w:sz="2" w:space="8"/>
          <w:bottom w:val="single" w:color="2E75B6" w:sz="2" w:space="8"/>
        </w:pBdr>
        <w:spacing w:after="80"/>
        <w:jc w:val="center"/>
      </w:pPr>
      <w:r>
        <w:rPr>
          <w:rFonts w:ascii="Arial" w:cs="Arial" w:eastAsia="Arial" w:hAnsi="Arial"/>
          <w:b/>
          <w:bCs/>
          <w:color w:val="1B3A5C"/>
          <w:sz w:val="22"/>
          <w:szCs w:val="22"/>
        </w:rPr>
        <w:t xml:space="preserve">BlueStrata LLC  |  bluestrata.io  |  Veteran-Owned  |  Colorado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55555"/>
        <w:sz w:val="16"/>
        <w:szCs w:val="16"/>
      </w:rPr>
      <w:t xml:space="preserve">BlueStrata LLC | Service Catalog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40"/>
      <w:outlineLvl w:val="1"/>
    </w:pPr>
    <w:rPr>
      <w:rFonts w:ascii="Arial" w:cs="Arial" w:eastAsia="Arial" w:hAnsi="Arial"/>
      <w:b/>
      <w:bCs/>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2026-02-24T23:15:43.568Z</dcterms:created>
  <dcterms:modified xsi:type="dcterms:W3CDTF">2026-02-24T23:15:43.568Z</dcterms:modified>
</cp:coreProperties>
</file>

<file path=docProps/custom.xml><?xml version="1.0" encoding="utf-8"?>
<Properties xmlns="http://schemas.openxmlformats.org/officeDocument/2006/custom-properties" xmlns:vt="http://schemas.openxmlformats.org/officeDocument/2006/docPropsVTypes"/>
</file>