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widowControl/>
        <w:numPr>
          <w:ilvl w:val="0"/>
          <w:numId w:val="1"/>
        </w:numPr>
        <w:suppressLineNumbers w:val="0"/>
        <w:jc w:val="left"/>
        <w:rPr>
          <w:rFonts w:ascii="SimSun" w:hAnsi="SimSun" w:eastAsia="SimSun" w:cs="SimSun"/>
          <w:kern w:val="0"/>
          <w:sz w:val="32"/>
          <w:szCs w:val="32"/>
          <w:lang w:val="en-US" w:eastAsia="zh-CN" w:bidi="ar"/>
        </w:rPr>
      </w:pPr>
      <w:r>
        <w:rPr>
          <w:rFonts w:ascii="SimSun" w:hAnsi="SimSun" w:eastAsia="SimSun" w:cs="SimSun"/>
          <w:kern w:val="0"/>
          <w:sz w:val="32"/>
          <w:szCs w:val="32"/>
          <w:lang w:val="en-US" w:eastAsia="zh-CN" w:bidi="ar"/>
        </w:rPr>
        <w:t>Use ping on your workstations to familiarize yourself with these commands. List a few of the flags that are used with these two commands.</w:t>
      </w:r>
    </w:p>
    <w:p>
      <w:pPr>
        <w:keepNext w:val="0"/>
        <w:keepLines w:val="0"/>
        <w:widowControl/>
        <w:numPr>
          <w:ilvl w:val="0"/>
          <w:numId w:val="0"/>
        </w:numPr>
        <w:suppressLineNumbers w:val="0"/>
        <w:jc w:val="left"/>
        <w:rPr>
          <w:rFonts w:ascii="SimSun" w:hAnsi="SimSun" w:eastAsia="SimSun" w:cs="SimSun"/>
          <w:kern w:val="0"/>
          <w:sz w:val="32"/>
          <w:szCs w:val="32"/>
          <w:lang w:eastAsia="zh-CN" w:bidi="ar"/>
        </w:rPr>
      </w:pPr>
      <w:r>
        <w:rPr>
          <w:rFonts w:ascii="SimSun" w:hAnsi="SimSun" w:eastAsia="SimSun" w:cs="SimSun"/>
          <w:kern w:val="0"/>
          <w:sz w:val="32"/>
          <w:szCs w:val="32"/>
          <w:lang w:eastAsia="zh-CN" w:bidi="ar"/>
        </w:rPr>
        <w:t>-s determine the size of the packets</w:t>
      </w:r>
    </w:p>
    <w:p>
      <w:pPr>
        <w:keepNext w:val="0"/>
        <w:keepLines w:val="0"/>
        <w:widowControl/>
        <w:numPr>
          <w:ilvl w:val="0"/>
          <w:numId w:val="0"/>
        </w:numPr>
        <w:suppressLineNumbers w:val="0"/>
        <w:jc w:val="left"/>
        <w:rPr>
          <w:rFonts w:ascii="SimSun" w:hAnsi="SimSun" w:eastAsia="SimSun" w:cs="SimSun"/>
          <w:kern w:val="0"/>
          <w:sz w:val="32"/>
          <w:szCs w:val="32"/>
          <w:lang w:eastAsia="zh-CN" w:bidi="ar"/>
        </w:rPr>
      </w:pPr>
      <w:r>
        <w:rPr>
          <w:rFonts w:ascii="SimSun" w:hAnsi="SimSun" w:eastAsia="SimSun" w:cs="SimSun"/>
          <w:kern w:val="0"/>
          <w:sz w:val="32"/>
          <w:szCs w:val="32"/>
          <w:lang w:eastAsia="zh-CN" w:bidi="ar"/>
        </w:rPr>
        <w:t>-c determine how many packets to send</w:t>
      </w:r>
    </w:p>
    <w:p>
      <w:pPr>
        <w:keepNext w:val="0"/>
        <w:keepLines w:val="0"/>
        <w:widowControl/>
        <w:numPr>
          <w:ilvl w:val="0"/>
          <w:numId w:val="0"/>
        </w:numPr>
        <w:suppressLineNumbers w:val="0"/>
        <w:jc w:val="left"/>
        <w:rPr>
          <w:rFonts w:ascii="SimSun" w:hAnsi="SimSun" w:eastAsia="SimSun" w:cs="SimSun"/>
          <w:kern w:val="0"/>
          <w:sz w:val="32"/>
          <w:szCs w:val="32"/>
          <w:lang w:eastAsia="zh-CN" w:bidi="ar"/>
        </w:rPr>
      </w:pPr>
      <w:r>
        <w:rPr>
          <w:rFonts w:ascii="SimSun" w:hAnsi="SimSun" w:eastAsia="SimSun" w:cs="SimSun"/>
          <w:kern w:val="0"/>
          <w:sz w:val="32"/>
          <w:szCs w:val="32"/>
          <w:lang w:eastAsia="zh-CN" w:bidi="ar"/>
        </w:rPr>
        <w:t xml:space="preserve">-M </w:t>
      </w:r>
      <w:r>
        <w:rPr>
          <w:rFonts w:hint="eastAsia" w:ascii="SimSun" w:hAnsi="SimSun" w:eastAsia="SimSun" w:cs="SimSun"/>
          <w:kern w:val="0"/>
          <w:sz w:val="32"/>
          <w:szCs w:val="32"/>
          <w:lang w:val="en-US" w:eastAsia="zh-CN" w:bidi="ar"/>
        </w:rPr>
        <w:t xml:space="preserve">(do/want/dont) </w:t>
      </w:r>
      <w:r>
        <w:rPr>
          <w:rFonts w:ascii="SimSun" w:hAnsi="SimSun" w:eastAsia="SimSun" w:cs="SimSun"/>
          <w:kern w:val="0"/>
          <w:sz w:val="32"/>
          <w:szCs w:val="32"/>
          <w:lang w:eastAsia="zh-CN" w:bidi="ar"/>
        </w:rPr>
        <w:t>Select path MTU Discovery strategy</w:t>
      </w:r>
    </w:p>
    <w:p>
      <w:pPr>
        <w:keepNext w:val="0"/>
        <w:keepLines w:val="0"/>
        <w:widowControl/>
        <w:numPr>
          <w:ilvl w:val="0"/>
          <w:numId w:val="0"/>
        </w:numPr>
        <w:suppressLineNumbers w:val="0"/>
        <w:jc w:val="left"/>
        <w:rPr>
          <w:rFonts w:ascii="SimSun" w:hAnsi="SimSun" w:eastAsia="SimSun" w:cs="SimSun"/>
          <w:kern w:val="0"/>
          <w:sz w:val="32"/>
          <w:szCs w:val="32"/>
          <w:lang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 Ping your workstation’s loopback interface (localhost). What command did you use? Was the ping successful? If the ping is successful, then TCP/IP is properly ECE 9303 – Assignment # 1 2 installed and functioning on this workstation.</w:t>
      </w:r>
    </w:p>
    <w:p>
      <w:pPr>
        <w:keepNext w:val="0"/>
        <w:keepLines w:val="0"/>
        <w:widowControl/>
        <w:suppressLineNumbers w:val="0"/>
        <w:jc w:val="left"/>
        <w:rPr>
          <w:rFonts w:ascii="SimSun" w:hAnsi="SimSun" w:eastAsia="SimSun" w:cs="SimSun"/>
          <w:kern w:val="0"/>
          <w:sz w:val="24"/>
          <w:szCs w:val="24"/>
          <w:lang w:val="en-US" w:eastAsia="zh-CN" w:bidi="ar"/>
        </w:rPr>
      </w:pPr>
      <w:r>
        <w:drawing>
          <wp:inline distT="0" distB="0" distL="114300" distR="114300">
            <wp:extent cx="5271135" cy="2182495"/>
            <wp:effectExtent l="0" t="0" r="571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
                    <a:stretch>
                      <a:fillRect/>
                    </a:stretch>
                  </pic:blipFill>
                  <pic:spPr>
                    <a:xfrm>
                      <a:off x="0" y="0"/>
                      <a:ext cx="5271135" cy="2182495"/>
                    </a:xfrm>
                    <a:prstGeom prst="rect">
                      <a:avLst/>
                    </a:prstGeom>
                    <a:noFill/>
                    <a:ln w="9525">
                      <a:noFill/>
                      <a:miter/>
                    </a:ln>
                  </pic:spPr>
                </pic:pic>
              </a:graphicData>
            </a:graphic>
          </wp:inline>
        </w:drawing>
      </w:r>
    </w:p>
    <w:p>
      <w:pPr>
        <w:keepNext w:val="0"/>
        <w:keepLines w:val="0"/>
        <w:widowControl/>
        <w:suppressLineNumbers w:val="0"/>
        <w:ind w:firstLine="420" w:firstLineChars="0"/>
        <w:jc w:val="left"/>
        <w:rPr>
          <w:rFonts w:ascii="SimSun" w:hAnsi="SimSun" w:eastAsia="SimSun" w:cs="SimSun"/>
          <w:b/>
          <w:bCs/>
          <w:kern w:val="0"/>
          <w:sz w:val="24"/>
          <w:szCs w:val="24"/>
          <w:lang w:eastAsia="zh-CN" w:bidi="ar"/>
        </w:rPr>
      </w:pPr>
      <w:r>
        <w:rPr>
          <w:rFonts w:ascii="SimSun" w:hAnsi="SimSun" w:eastAsia="SimSun" w:cs="SimSun"/>
          <w:b/>
          <w:bCs/>
          <w:kern w:val="0"/>
          <w:sz w:val="24"/>
          <w:szCs w:val="24"/>
          <w:lang w:eastAsia="zh-CN" w:bidi="ar"/>
        </w:rPr>
        <w:t>Answer: Yes. Ping 0.0.0.0（or127.0.0.1）</w:t>
      </w:r>
    </w:p>
    <w:p>
      <w:pPr>
        <w:keepNext w:val="0"/>
        <w:keepLines w:val="0"/>
        <w:widowControl/>
        <w:suppressLineNumbers w:val="0"/>
        <w:jc w:val="left"/>
      </w:pPr>
      <w:r>
        <w:rPr>
          <w:rFonts w:ascii="SimSun" w:hAnsi="SimSun" w:eastAsia="SimSun" w:cs="SimSun"/>
          <w:kern w:val="0"/>
          <w:sz w:val="24"/>
          <w:szCs w:val="24"/>
          <w:lang w:val="en-US" w:eastAsia="zh-CN" w:bidi="ar"/>
        </w:rPr>
        <w:t xml:space="preserve">ii) Ping your default gateway and your DNS server. What command did you use? </w:t>
      </w:r>
    </w:p>
    <w:p>
      <w:pPr>
        <w:keepNext w:val="0"/>
        <w:keepLines w:val="0"/>
        <w:widowControl/>
        <w:numPr>
          <w:ilvl w:val="0"/>
          <w:numId w:val="0"/>
        </w:numPr>
        <w:suppressLineNumbers w:val="0"/>
        <w:ind w:left="420" w:left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 xml:space="preserve">Answer: </w:t>
      </w:r>
    </w:p>
    <w:p>
      <w:pPr>
        <w:keepNext w:val="0"/>
        <w:keepLines w:val="0"/>
        <w:widowControl/>
        <w:numPr>
          <w:ilvl w:val="0"/>
          <w:numId w:val="0"/>
        </w:numPr>
        <w:suppressLineNumbers w:val="0"/>
        <w:ind w:left="42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In Linux:</w:t>
      </w:r>
    </w:p>
    <w:p>
      <w:pPr>
        <w:keepNext w:val="0"/>
        <w:keepLines w:val="0"/>
        <w:widowControl/>
        <w:numPr>
          <w:ilvl w:val="0"/>
          <w:numId w:val="0"/>
        </w:numPr>
        <w:suppressLineNumbers w:val="0"/>
        <w:ind w:left="84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 xml:space="preserve">&gt;&gt;nmcli device show | grep GATEWAY </w:t>
      </w:r>
    </w:p>
    <w:p>
      <w:pPr>
        <w:keepNext w:val="0"/>
        <w:keepLines w:val="0"/>
        <w:widowControl/>
        <w:numPr>
          <w:ilvl w:val="0"/>
          <w:numId w:val="0"/>
        </w:numPr>
        <w:suppressLineNumbers w:val="0"/>
        <w:ind w:left="84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&gt;&gt;IP4.GATEWAY 172.30.72.1</w:t>
      </w:r>
    </w:p>
    <w:p>
      <w:pPr>
        <w:keepNext w:val="0"/>
        <w:keepLines w:val="0"/>
        <w:widowControl/>
        <w:numPr>
          <w:ilvl w:val="0"/>
          <w:numId w:val="0"/>
        </w:numPr>
        <w:suppressLineNumbers w:val="0"/>
        <w:ind w:left="84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&gt;&gt;ping 172.30.72.1</w:t>
      </w:r>
    </w:p>
    <w:p>
      <w:pPr>
        <w:keepNext w:val="0"/>
        <w:keepLines w:val="0"/>
        <w:widowControl/>
        <w:numPr>
          <w:ilvl w:val="0"/>
          <w:numId w:val="0"/>
        </w:numPr>
        <w:suppressLineNumbers w:val="0"/>
        <w:ind w:left="84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&gt;&gt;nmcli device show| grep DNS</w:t>
      </w:r>
    </w:p>
    <w:p>
      <w:pPr>
        <w:keepNext w:val="0"/>
        <w:keepLines w:val="0"/>
        <w:widowControl/>
        <w:numPr>
          <w:ilvl w:val="0"/>
          <w:numId w:val="0"/>
        </w:numPr>
        <w:suppressLineNumbers w:val="0"/>
        <w:ind w:left="84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&gt;&gt;IP4.DNS[1]: 129.100.74.79</w:t>
      </w:r>
    </w:p>
    <w:p>
      <w:pPr>
        <w:keepNext w:val="0"/>
        <w:keepLines w:val="0"/>
        <w:widowControl/>
        <w:numPr>
          <w:ilvl w:val="0"/>
          <w:numId w:val="0"/>
        </w:numPr>
        <w:suppressLineNumbers w:val="0"/>
        <w:ind w:left="84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&gt;&gt;ping 129.100.74.79</w:t>
      </w:r>
    </w:p>
    <w:p>
      <w:pPr>
        <w:keepNext w:val="0"/>
        <w:keepLines w:val="0"/>
        <w:widowControl/>
        <w:suppressLineNumbers w:val="0"/>
        <w:jc w:val="left"/>
        <w:rPr>
          <w:rFonts w:ascii="SimSun" w:hAnsi="SimSun" w:eastAsia="SimSun" w:cs="SimSun"/>
          <w:kern w:val="0"/>
          <w:sz w:val="32"/>
          <w:szCs w:val="32"/>
          <w:lang w:val="en-US" w:eastAsia="zh-CN" w:bidi="ar"/>
        </w:rPr>
      </w:pPr>
      <w:r>
        <w:rPr>
          <w:rFonts w:ascii="SimSun" w:hAnsi="SimSun" w:eastAsia="SimSun" w:cs="SimSun"/>
          <w:kern w:val="0"/>
          <w:sz w:val="32"/>
          <w:szCs w:val="32"/>
          <w:lang w:val="en-US" w:eastAsia="zh-CN" w:bidi="ar"/>
        </w:rPr>
        <w:t>b) Ping www.telecom-paristech.fr . What is the IP address of the computer you pinged (2 Points)? What are the minimum (2 Points), average (2 Points) and maximum (2 Points) round trip times?</w:t>
      </w:r>
    </w:p>
    <w:p>
      <w:pPr>
        <w:keepNext w:val="0"/>
        <w:keepLines w:val="0"/>
        <w:widowControl/>
        <w:suppressLineNumbers w:val="0"/>
        <w:ind w:firstLine="420" w:firstLineChars="0"/>
        <w:jc w:val="left"/>
        <w:rPr>
          <w:rFonts w:ascii="SimSun" w:hAnsi="SimSun" w:eastAsia="SimSun" w:cs="SimSun"/>
          <w:kern w:val="0"/>
          <w:sz w:val="32"/>
          <w:szCs w:val="32"/>
          <w:lang w:eastAsia="zh-CN" w:bidi="ar"/>
        </w:rPr>
      </w:pPr>
      <w:r>
        <w:rPr>
          <w:rFonts w:ascii="SimSun" w:hAnsi="SimSun" w:eastAsia="SimSun" w:cs="SimSun"/>
          <w:kern w:val="0"/>
          <w:sz w:val="32"/>
          <w:szCs w:val="32"/>
          <w:lang w:eastAsia="zh-CN" w:bidi="ar"/>
        </w:rPr>
        <w:t xml:space="preserve">Answer: </w:t>
      </w:r>
    </w:p>
    <w:p>
      <w:pPr>
        <w:keepNext w:val="0"/>
        <w:keepLines w:val="0"/>
        <w:widowControl/>
        <w:suppressLineNumbers w:val="0"/>
        <w:ind w:firstLine="420" w:firstLineChars="0"/>
        <w:jc w:val="left"/>
        <w:rPr>
          <w:rFonts w:ascii="SimSun" w:hAnsi="SimSun" w:eastAsia="SimSun" w:cs="SimSun"/>
          <w:kern w:val="0"/>
          <w:sz w:val="32"/>
          <w:szCs w:val="32"/>
          <w:lang w:eastAsia="zh-CN" w:bidi="ar"/>
        </w:rPr>
      </w:pPr>
      <w:r>
        <w:drawing>
          <wp:inline distT="0" distB="0" distL="114300" distR="114300">
            <wp:extent cx="5271135" cy="2671445"/>
            <wp:effectExtent l="0" t="0" r="571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
                    <a:stretch>
                      <a:fillRect/>
                    </a:stretch>
                  </pic:blipFill>
                  <pic:spPr>
                    <a:xfrm>
                      <a:off x="0" y="0"/>
                      <a:ext cx="5271135" cy="2671445"/>
                    </a:xfrm>
                    <a:prstGeom prst="rect">
                      <a:avLst/>
                    </a:prstGeom>
                    <a:noFill/>
                    <a:ln w="9525">
                      <a:noFill/>
                      <a:miter/>
                    </a:ln>
                  </pic:spPr>
                </pic:pic>
              </a:graphicData>
            </a:graphic>
          </wp:inline>
        </w:drawing>
      </w:r>
    </w:p>
    <w:p>
      <w:pPr>
        <w:keepNext w:val="0"/>
        <w:keepLines w:val="0"/>
        <w:widowControl/>
        <w:suppressLineNumbers w:val="0"/>
        <w:ind w:left="42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IP Address-137.194.52.7</w:t>
      </w:r>
    </w:p>
    <w:p>
      <w:pPr>
        <w:keepNext w:val="0"/>
        <w:keepLines w:val="0"/>
        <w:widowControl/>
        <w:suppressLineNumbers w:val="0"/>
        <w:ind w:left="42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Min-97.887ms</w:t>
      </w:r>
    </w:p>
    <w:p>
      <w:pPr>
        <w:keepNext w:val="0"/>
        <w:keepLines w:val="0"/>
        <w:widowControl/>
        <w:suppressLineNumbers w:val="0"/>
        <w:ind w:left="42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Avg-101.301ms</w:t>
      </w:r>
    </w:p>
    <w:p>
      <w:pPr>
        <w:keepNext w:val="0"/>
        <w:keepLines w:val="0"/>
        <w:widowControl/>
        <w:suppressLineNumbers w:val="0"/>
        <w:ind w:left="42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Max-111.955ms</w:t>
      </w:r>
    </w:p>
    <w:p>
      <w:pPr>
        <w:keepNext w:val="0"/>
        <w:keepLines w:val="0"/>
        <w:widowControl/>
        <w:suppressLineNumbers w:val="0"/>
        <w:ind w:left="420" w:leftChars="0" w:firstLine="420" w:firstLineChars="0"/>
        <w:jc w:val="left"/>
        <w:rPr>
          <w:rFonts w:ascii="SimSun" w:hAnsi="SimSun" w:eastAsia="SimSun" w:cs="SimSun"/>
          <w:kern w:val="0"/>
          <w:sz w:val="24"/>
          <w:szCs w:val="24"/>
          <w:lang w:eastAsia="zh-CN" w:bidi="ar"/>
        </w:rPr>
      </w:pPr>
    </w:p>
    <w:p>
      <w:pPr>
        <w:keepNext w:val="0"/>
        <w:keepLines w:val="0"/>
        <w:widowControl/>
        <w:numPr>
          <w:ilvl w:val="0"/>
          <w:numId w:val="0"/>
        </w:numPr>
        <w:suppressLineNumbers w:val="0"/>
        <w:ind w:firstLine="420" w:firstLineChars="0"/>
        <w:jc w:val="left"/>
        <w:rPr>
          <w:rFonts w:hint="default" w:ascii="SimSun" w:hAnsi="SimSun" w:eastAsia="SimSun" w:cs="SimSun"/>
          <w:kern w:val="0"/>
          <w:sz w:val="32"/>
          <w:szCs w:val="32"/>
          <w:lang w:eastAsia="zh-CN" w:bidi="ar"/>
        </w:rPr>
      </w:pPr>
      <w:r>
        <w:rPr>
          <w:rFonts w:hint="default" w:ascii="SimSun" w:hAnsi="SimSun" w:eastAsia="SimSun" w:cs="SimSun"/>
          <w:kern w:val="0"/>
          <w:sz w:val="32"/>
          <w:szCs w:val="32"/>
          <w:lang w:eastAsia="zh-CN" w:bidi="ar"/>
        </w:rPr>
        <w:t>c) Use ping to measure Round Trip Time (RTT) for 10 messages of size 512, 724,1024, and 4072 bytes. Use the "-f" configuration switch to make sure that the message is not fragmented. Graph the message size versus RTT for:</w:t>
      </w:r>
    </w:p>
    <w:p>
      <w:pPr>
        <w:keepNext w:val="0"/>
        <w:keepLines w:val="0"/>
        <w:widowControl/>
        <w:numPr>
          <w:ilvl w:val="0"/>
          <w:numId w:val="0"/>
        </w:numPr>
        <w:suppressLineNumbers w:val="0"/>
        <w:ind w:firstLine="420" w:firstLineChars="0"/>
        <w:jc w:val="left"/>
        <w:rPr>
          <w:rFonts w:hint="default" w:ascii="SimSun" w:hAnsi="SimSun" w:eastAsia="SimSun" w:cs="SimSun"/>
          <w:kern w:val="0"/>
          <w:sz w:val="32"/>
          <w:szCs w:val="32"/>
          <w:lang w:eastAsia="zh-CN" w:bidi="ar"/>
        </w:rPr>
      </w:pPr>
      <w:r>
        <w:rPr>
          <w:rFonts w:hint="default" w:ascii="SimSun" w:hAnsi="SimSun" w:eastAsia="SimSun" w:cs="SimSun"/>
          <w:kern w:val="0"/>
          <w:sz w:val="32"/>
          <w:szCs w:val="32"/>
          <w:lang w:eastAsia="zh-CN" w:bidi="ar"/>
        </w:rPr>
        <w:t>i) Two hosts on a LAN (two workstations in the lab or in your house)</w:t>
      </w:r>
    </w:p>
    <w:p>
      <w:pPr>
        <w:keepNext w:val="0"/>
        <w:keepLines w:val="0"/>
        <w:widowControl/>
        <w:numPr>
          <w:ilvl w:val="0"/>
          <w:numId w:val="0"/>
        </w:numPr>
        <w:suppressLineNumbers w:val="0"/>
        <w:ind w:firstLine="420" w:firstLineChars="0"/>
        <w:jc w:val="left"/>
      </w:pPr>
      <w:r>
        <w:rPr>
          <w:rFonts w:hint="default" w:ascii="SimSun" w:hAnsi="SimSun" w:eastAsia="SimSun" w:cs="SimSun"/>
          <w:kern w:val="0"/>
          <w:sz w:val="32"/>
          <w:szCs w:val="32"/>
          <w:lang w:eastAsia="zh-CN" w:bidi="ar"/>
        </w:rPr>
        <w:drawing>
          <wp:inline distT="0" distB="0" distL="114300" distR="114300">
            <wp:extent cx="3048000" cy="2143125"/>
            <wp:effectExtent l="4445" t="4445" r="14605" b="508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pPr>
        <w:ind w:firstLine="420" w:firstLineChars="0"/>
      </w:pPr>
      <w:r>
        <w:rPr>
          <w:rFonts w:hint="default" w:ascii="SimSun" w:hAnsi="SimSun" w:eastAsia="SimSun" w:cs="SimSun"/>
          <w:kern w:val="0"/>
          <w:sz w:val="32"/>
          <w:szCs w:val="32"/>
          <w:lang w:eastAsia="zh-CN" w:bidi="ar"/>
        </w:rPr>
        <w:drawing>
          <wp:inline distT="0" distB="0" distL="114300" distR="114300">
            <wp:extent cx="3079750" cy="2112010"/>
            <wp:effectExtent l="4445" t="4445" r="20955" b="1714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r>
        <w:t xml:space="preserve">Answer: </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712"/>
        <w:gridCol w:w="1538"/>
        <w:gridCol w:w="1862"/>
        <w:gridCol w:w="2135"/>
      </w:tblGrid>
      <w:tr>
        <w:tc>
          <w:tcPr>
            <w:tcW w:w="1275" w:type="dxa"/>
          </w:tcPr>
          <w:p>
            <w:pPr>
              <w:rPr>
                <w:vertAlign w:val="baseline"/>
              </w:rPr>
            </w:pPr>
          </w:p>
        </w:tc>
        <w:tc>
          <w:tcPr>
            <w:tcW w:w="3250" w:type="dxa"/>
            <w:gridSpan w:val="2"/>
          </w:tcPr>
          <w:p>
            <w:pPr>
              <w:rPr>
                <w:vertAlign w:val="baseline"/>
              </w:rPr>
            </w:pPr>
            <w:r>
              <w:rPr>
                <w:vertAlign w:val="baseline"/>
              </w:rPr>
              <w:t>192.168.2.1</w:t>
            </w:r>
            <w:r>
              <w:rPr>
                <w:vertAlign w:val="baseline"/>
              </w:rPr>
              <w:t>25</w:t>
            </w:r>
          </w:p>
        </w:tc>
        <w:tc>
          <w:tcPr>
            <w:tcW w:w="3997" w:type="dxa"/>
            <w:gridSpan w:val="2"/>
          </w:tcPr>
          <w:p>
            <w:pPr>
              <w:rPr>
                <w:vertAlign w:val="baseline"/>
              </w:rPr>
            </w:pPr>
            <w:r>
              <w:rPr>
                <w:vertAlign w:val="baseline"/>
              </w:rPr>
              <w:t>192.168.2.14</w:t>
            </w:r>
          </w:p>
        </w:tc>
      </w:tr>
      <w:tr>
        <w:tc>
          <w:tcPr>
            <w:tcW w:w="1275" w:type="dxa"/>
          </w:tcPr>
          <w:p>
            <w:pPr>
              <w:rPr>
                <w:vertAlign w:val="baseline"/>
              </w:rPr>
            </w:pPr>
          </w:p>
        </w:tc>
        <w:tc>
          <w:tcPr>
            <w:tcW w:w="1712" w:type="dxa"/>
          </w:tcPr>
          <w:p>
            <w:pPr>
              <w:rPr>
                <w:vertAlign w:val="baseline"/>
              </w:rPr>
            </w:pPr>
            <w:r>
              <w:rPr>
                <w:vertAlign w:val="baseline"/>
              </w:rPr>
              <w:t>Average</w:t>
            </w:r>
          </w:p>
        </w:tc>
        <w:tc>
          <w:tcPr>
            <w:tcW w:w="1538" w:type="dxa"/>
          </w:tcPr>
          <w:p>
            <w:pPr>
              <w:rPr>
                <w:vertAlign w:val="baseline"/>
              </w:rPr>
            </w:pPr>
            <w:r>
              <w:rPr>
                <w:vertAlign w:val="baseline"/>
              </w:rPr>
              <w:t>Standard Deviation</w:t>
            </w:r>
          </w:p>
        </w:tc>
        <w:tc>
          <w:tcPr>
            <w:tcW w:w="1862" w:type="dxa"/>
            <w:vAlign w:val="top"/>
          </w:tcPr>
          <w:p>
            <w:pPr>
              <w:rPr>
                <w:vertAlign w:val="baseline"/>
              </w:rPr>
            </w:pPr>
            <w:r>
              <w:rPr>
                <w:vertAlign w:val="baseline"/>
              </w:rPr>
              <w:t>Average</w:t>
            </w:r>
          </w:p>
        </w:tc>
        <w:tc>
          <w:tcPr>
            <w:tcW w:w="2135" w:type="dxa"/>
            <w:vAlign w:val="top"/>
          </w:tcPr>
          <w:p>
            <w:pPr>
              <w:rPr>
                <w:vertAlign w:val="baseline"/>
              </w:rPr>
            </w:pPr>
            <w:r>
              <w:rPr>
                <w:vertAlign w:val="baseline"/>
              </w:rPr>
              <w:t>Standard Deviation</w:t>
            </w:r>
          </w:p>
        </w:tc>
      </w:tr>
      <w:tr>
        <w:tc>
          <w:tcPr>
            <w:tcW w:w="1275" w:type="dxa"/>
          </w:tcPr>
          <w:p>
            <w:pPr>
              <w:rPr>
                <w:vertAlign w:val="baseline"/>
              </w:rPr>
            </w:pPr>
            <w:r>
              <w:rPr>
                <w:vertAlign w:val="baseline"/>
              </w:rPr>
              <w:t>512</w:t>
            </w:r>
          </w:p>
        </w:tc>
        <w:tc>
          <w:tcPr>
            <w:tcW w:w="1712" w:type="dxa"/>
          </w:tcPr>
          <w:p>
            <w:pPr>
              <w:rPr>
                <w:vertAlign w:val="baseline"/>
              </w:rPr>
            </w:pPr>
            <w:r>
              <w:rPr>
                <w:vertAlign w:val="baseline"/>
              </w:rPr>
              <w:t>29.31</w:t>
            </w:r>
          </w:p>
        </w:tc>
        <w:tc>
          <w:tcPr>
            <w:tcW w:w="1538" w:type="dxa"/>
          </w:tcPr>
          <w:p>
            <w:pPr>
              <w:rPr>
                <w:vertAlign w:val="baseline"/>
              </w:rPr>
            </w:pPr>
            <w:r>
              <w:rPr>
                <w:vertAlign w:val="baseline"/>
              </w:rPr>
              <w:t>23.49</w:t>
            </w:r>
          </w:p>
        </w:tc>
        <w:tc>
          <w:tcPr>
            <w:tcW w:w="1862" w:type="dxa"/>
          </w:tcPr>
          <w:p>
            <w:pPr>
              <w:rPr>
                <w:vertAlign w:val="baseline"/>
              </w:rPr>
            </w:pPr>
            <w:r>
              <w:rPr>
                <w:vertAlign w:val="baseline"/>
              </w:rPr>
              <w:t>12.340</w:t>
            </w:r>
          </w:p>
        </w:tc>
        <w:tc>
          <w:tcPr>
            <w:tcW w:w="2135" w:type="dxa"/>
          </w:tcPr>
          <w:p>
            <w:pPr>
              <w:rPr>
                <w:vertAlign w:val="baseline"/>
              </w:rPr>
            </w:pPr>
            <w:r>
              <w:rPr>
                <w:vertAlign w:val="baseline"/>
              </w:rPr>
              <w:t>8.297</w:t>
            </w:r>
          </w:p>
        </w:tc>
      </w:tr>
      <w:tr>
        <w:tc>
          <w:tcPr>
            <w:tcW w:w="1275" w:type="dxa"/>
          </w:tcPr>
          <w:p>
            <w:pPr>
              <w:rPr>
                <w:vertAlign w:val="baseline"/>
              </w:rPr>
            </w:pPr>
            <w:r>
              <w:rPr>
                <w:vertAlign w:val="baseline"/>
              </w:rPr>
              <w:t>724</w:t>
            </w:r>
          </w:p>
        </w:tc>
        <w:tc>
          <w:tcPr>
            <w:tcW w:w="1712" w:type="dxa"/>
          </w:tcPr>
          <w:p>
            <w:pPr>
              <w:rPr>
                <w:vertAlign w:val="baseline"/>
              </w:rPr>
            </w:pPr>
            <w:r>
              <w:rPr>
                <w:vertAlign w:val="baseline"/>
              </w:rPr>
              <w:t>18.25</w:t>
            </w:r>
          </w:p>
        </w:tc>
        <w:tc>
          <w:tcPr>
            <w:tcW w:w="1538" w:type="dxa"/>
          </w:tcPr>
          <w:p>
            <w:pPr>
              <w:rPr>
                <w:vertAlign w:val="baseline"/>
              </w:rPr>
            </w:pPr>
            <w:r>
              <w:rPr>
                <w:vertAlign w:val="baseline"/>
              </w:rPr>
              <w:t>20.44</w:t>
            </w:r>
          </w:p>
        </w:tc>
        <w:tc>
          <w:tcPr>
            <w:tcW w:w="1862" w:type="dxa"/>
          </w:tcPr>
          <w:p>
            <w:pPr>
              <w:rPr>
                <w:vertAlign w:val="baseline"/>
              </w:rPr>
            </w:pPr>
            <w:r>
              <w:rPr>
                <w:vertAlign w:val="baseline"/>
              </w:rPr>
              <w:t>10.101</w:t>
            </w:r>
          </w:p>
        </w:tc>
        <w:tc>
          <w:tcPr>
            <w:tcW w:w="2135" w:type="dxa"/>
          </w:tcPr>
          <w:p>
            <w:pPr>
              <w:rPr>
                <w:vertAlign w:val="baseline"/>
              </w:rPr>
            </w:pPr>
            <w:r>
              <w:rPr>
                <w:vertAlign w:val="baseline"/>
              </w:rPr>
              <w:t>2.602</w:t>
            </w:r>
          </w:p>
        </w:tc>
      </w:tr>
      <w:tr>
        <w:tc>
          <w:tcPr>
            <w:tcW w:w="1275" w:type="dxa"/>
          </w:tcPr>
          <w:p>
            <w:pPr>
              <w:rPr>
                <w:vertAlign w:val="baseline"/>
              </w:rPr>
            </w:pPr>
            <w:r>
              <w:rPr>
                <w:vertAlign w:val="baseline"/>
              </w:rPr>
              <w:t>1024</w:t>
            </w:r>
          </w:p>
        </w:tc>
        <w:tc>
          <w:tcPr>
            <w:tcW w:w="1712" w:type="dxa"/>
          </w:tcPr>
          <w:p>
            <w:pPr>
              <w:rPr>
                <w:vertAlign w:val="baseline"/>
              </w:rPr>
            </w:pPr>
            <w:r>
              <w:rPr>
                <w:vertAlign w:val="baseline"/>
              </w:rPr>
              <w:t>73.24</w:t>
            </w:r>
          </w:p>
        </w:tc>
        <w:tc>
          <w:tcPr>
            <w:tcW w:w="1538" w:type="dxa"/>
          </w:tcPr>
          <w:p>
            <w:pPr>
              <w:rPr>
                <w:vertAlign w:val="baseline"/>
              </w:rPr>
            </w:pPr>
            <w:r>
              <w:rPr>
                <w:vertAlign w:val="baseline"/>
              </w:rPr>
              <w:t>49.51</w:t>
            </w:r>
          </w:p>
        </w:tc>
        <w:tc>
          <w:tcPr>
            <w:tcW w:w="1862" w:type="dxa"/>
          </w:tcPr>
          <w:p>
            <w:pPr>
              <w:rPr>
                <w:vertAlign w:val="baseline"/>
              </w:rPr>
            </w:pPr>
            <w:r>
              <w:rPr>
                <w:vertAlign w:val="baseline"/>
              </w:rPr>
              <w:t>10.314</w:t>
            </w:r>
          </w:p>
        </w:tc>
        <w:tc>
          <w:tcPr>
            <w:tcW w:w="2135" w:type="dxa"/>
          </w:tcPr>
          <w:p>
            <w:pPr>
              <w:rPr>
                <w:vertAlign w:val="baseline"/>
              </w:rPr>
            </w:pPr>
            <w:r>
              <w:rPr>
                <w:vertAlign w:val="baseline"/>
              </w:rPr>
              <w:t>2.357</w:t>
            </w:r>
          </w:p>
        </w:tc>
      </w:tr>
      <w:tr>
        <w:tc>
          <w:tcPr>
            <w:tcW w:w="1275" w:type="dxa"/>
          </w:tcPr>
          <w:p>
            <w:pPr>
              <w:rPr>
                <w:vertAlign w:val="baseline"/>
              </w:rPr>
            </w:pPr>
            <w:r>
              <w:rPr>
                <w:vertAlign w:val="baseline"/>
              </w:rPr>
              <w:t>4012</w:t>
            </w:r>
          </w:p>
        </w:tc>
        <w:tc>
          <w:tcPr>
            <w:tcW w:w="1712" w:type="dxa"/>
          </w:tcPr>
          <w:p>
            <w:pPr>
              <w:rPr>
                <w:vertAlign w:val="baseline"/>
              </w:rPr>
            </w:pPr>
            <w:r>
              <w:rPr>
                <w:vertAlign w:val="baseline"/>
              </w:rPr>
              <w:t>N/A</w:t>
            </w:r>
          </w:p>
        </w:tc>
        <w:tc>
          <w:tcPr>
            <w:tcW w:w="1538" w:type="dxa"/>
          </w:tcPr>
          <w:p>
            <w:pPr>
              <w:rPr>
                <w:vertAlign w:val="baseline"/>
              </w:rPr>
            </w:pPr>
            <w:r>
              <w:rPr>
                <w:vertAlign w:val="baseline"/>
              </w:rPr>
              <w:t>N/A</w:t>
            </w:r>
          </w:p>
        </w:tc>
        <w:tc>
          <w:tcPr>
            <w:tcW w:w="1862" w:type="dxa"/>
          </w:tcPr>
          <w:p>
            <w:pPr>
              <w:rPr>
                <w:vertAlign w:val="baseline"/>
              </w:rPr>
            </w:pPr>
            <w:r>
              <w:rPr>
                <w:vertAlign w:val="baseline"/>
              </w:rPr>
              <w:t>N/A</w:t>
            </w:r>
          </w:p>
        </w:tc>
        <w:tc>
          <w:tcPr>
            <w:tcW w:w="2135" w:type="dxa"/>
          </w:tcPr>
          <w:p>
            <w:pPr>
              <w:rPr>
                <w:vertAlign w:val="baseline"/>
              </w:rPr>
            </w:pPr>
            <w:r>
              <w:rPr>
                <w:vertAlign w:val="baseline"/>
              </w:rPr>
              <w:t>N/A</w:t>
            </w:r>
          </w:p>
        </w:tc>
      </w:tr>
    </w:tbl>
    <w:p>
      <w:pPr>
        <w:ind w:left="420" w:leftChars="0" w:firstLine="420" w:firstLineChars="0"/>
      </w:pPr>
      <w:r>
        <w:t xml:space="preserve"> </w:t>
      </w:r>
    </w:p>
    <w:p>
      <w:pPr>
        <w:keepNext w:val="0"/>
        <w:keepLines w:val="0"/>
        <w:widowControl/>
        <w:suppressLineNumbers w:val="0"/>
        <w:jc w:val="left"/>
      </w:pPr>
      <w:r>
        <w:rPr>
          <w:rFonts w:ascii="SimSun" w:hAnsi="SimSun" w:eastAsia="SimSun" w:cs="SimSun"/>
          <w:kern w:val="0"/>
          <w:sz w:val="24"/>
          <w:szCs w:val="24"/>
          <w:lang w:val="en-US" w:eastAsia="zh-CN" w:bidi="ar"/>
        </w:rPr>
        <w:t xml:space="preserve">ii) Two nodes on a WAN (for instance, your workstation and a host in China) </w:t>
      </w:r>
    </w:p>
    <w:p>
      <w:pPr>
        <w:ind w:firstLine="420" w:firstLineChars="0"/>
        <w:rPr>
          <w:rFonts w:hint="default" w:ascii="SimSun" w:hAnsi="SimSun" w:eastAsia="SimSun" w:cs="SimSun"/>
          <w:kern w:val="0"/>
          <w:sz w:val="32"/>
          <w:szCs w:val="32"/>
          <w:lang w:eastAsia="zh-CN" w:bidi="ar"/>
        </w:rPr>
      </w:pPr>
      <w:r>
        <w:rPr>
          <w:rFonts w:hint="default" w:ascii="SimSun" w:hAnsi="SimSun" w:eastAsia="SimSun" w:cs="SimSun"/>
          <w:kern w:val="0"/>
          <w:sz w:val="32"/>
          <w:szCs w:val="32"/>
          <w:lang w:eastAsia="zh-CN" w:bidi="ar"/>
        </w:rPr>
        <w:drawing>
          <wp:inline distT="0" distB="0" distL="114300" distR="114300">
            <wp:extent cx="3056255" cy="2120900"/>
            <wp:effectExtent l="4445" t="4445" r="6350" b="825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pPr>
        <w:ind w:firstLine="420" w:firstLineChars="0"/>
        <w:rPr>
          <w:rFonts w:hint="default" w:ascii="SimSun" w:hAnsi="SimSun" w:eastAsia="SimSun" w:cs="SimSun"/>
          <w:kern w:val="0"/>
          <w:sz w:val="32"/>
          <w:szCs w:val="32"/>
          <w:lang w:eastAsia="zh-CN" w:bidi="ar"/>
        </w:rPr>
      </w:pPr>
      <w:r>
        <w:rPr>
          <w:rFonts w:hint="default" w:ascii="SimSun" w:hAnsi="SimSun" w:eastAsia="SimSun" w:cs="SimSun"/>
          <w:kern w:val="0"/>
          <w:sz w:val="32"/>
          <w:szCs w:val="32"/>
          <w:lang w:eastAsia="zh-CN" w:bidi="ar"/>
        </w:rPr>
        <w:drawing>
          <wp:inline distT="0" distB="0" distL="114300" distR="114300">
            <wp:extent cx="3056255" cy="2120900"/>
            <wp:effectExtent l="4445" t="4445" r="6350" b="825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ind w:firstLine="420" w:firstLineChars="0"/>
      </w:pP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712"/>
        <w:gridCol w:w="1538"/>
        <w:gridCol w:w="1862"/>
        <w:gridCol w:w="2135"/>
      </w:tblGrid>
      <w:tr>
        <w:tc>
          <w:tcPr>
            <w:tcW w:w="1275" w:type="dxa"/>
          </w:tcPr>
          <w:p>
            <w:pPr>
              <w:rPr>
                <w:vertAlign w:val="baseline"/>
              </w:rPr>
            </w:pPr>
          </w:p>
        </w:tc>
        <w:tc>
          <w:tcPr>
            <w:tcW w:w="3250" w:type="dxa"/>
            <w:gridSpan w:val="2"/>
          </w:tcPr>
          <w:p>
            <w:pPr>
              <w:rPr>
                <w:vertAlign w:val="baseline"/>
              </w:rPr>
            </w:pPr>
            <w:r>
              <w:rPr>
                <w:vertAlign w:val="baseline"/>
              </w:rPr>
              <w:t>www.baidu.com</w:t>
            </w:r>
          </w:p>
        </w:tc>
        <w:tc>
          <w:tcPr>
            <w:tcW w:w="3997" w:type="dxa"/>
            <w:gridSpan w:val="2"/>
          </w:tcPr>
          <w:p>
            <w:pPr>
              <w:rPr>
                <w:vertAlign w:val="baseline"/>
              </w:rPr>
            </w:pPr>
            <w:r>
              <w:rPr>
                <w:vertAlign w:val="baseline"/>
              </w:rPr>
              <w:t>www.sina.cn</w:t>
            </w:r>
          </w:p>
        </w:tc>
      </w:tr>
      <w:tr>
        <w:tc>
          <w:tcPr>
            <w:tcW w:w="1275" w:type="dxa"/>
          </w:tcPr>
          <w:p>
            <w:pPr>
              <w:rPr>
                <w:vertAlign w:val="baseline"/>
              </w:rPr>
            </w:pPr>
          </w:p>
        </w:tc>
        <w:tc>
          <w:tcPr>
            <w:tcW w:w="1712" w:type="dxa"/>
          </w:tcPr>
          <w:p>
            <w:pPr>
              <w:rPr>
                <w:vertAlign w:val="baseline"/>
              </w:rPr>
            </w:pPr>
            <w:r>
              <w:rPr>
                <w:vertAlign w:val="baseline"/>
              </w:rPr>
              <w:t>Average</w:t>
            </w:r>
          </w:p>
          <w:p>
            <w:pPr>
              <w:rPr>
                <w:vertAlign w:val="baseline"/>
              </w:rPr>
            </w:pPr>
          </w:p>
        </w:tc>
        <w:tc>
          <w:tcPr>
            <w:tcW w:w="1538" w:type="dxa"/>
          </w:tcPr>
          <w:p>
            <w:pPr>
              <w:rPr>
                <w:vertAlign w:val="baseline"/>
              </w:rPr>
            </w:pPr>
            <w:r>
              <w:rPr>
                <w:vertAlign w:val="baseline"/>
              </w:rPr>
              <w:t>Standard Deviation</w:t>
            </w:r>
          </w:p>
        </w:tc>
        <w:tc>
          <w:tcPr>
            <w:tcW w:w="1862" w:type="dxa"/>
            <w:vAlign w:val="top"/>
          </w:tcPr>
          <w:p>
            <w:pPr>
              <w:rPr>
                <w:vertAlign w:val="baseline"/>
              </w:rPr>
            </w:pPr>
            <w:r>
              <w:rPr>
                <w:vertAlign w:val="baseline"/>
              </w:rPr>
              <w:t>A</w:t>
            </w:r>
            <w:r>
              <w:rPr>
                <w:vertAlign w:val="baseline"/>
              </w:rPr>
              <w:t xml:space="preserve">verage </w:t>
            </w:r>
          </w:p>
          <w:p>
            <w:pPr>
              <w:rPr>
                <w:vertAlign w:val="baseline"/>
              </w:rPr>
            </w:pPr>
          </w:p>
        </w:tc>
        <w:tc>
          <w:tcPr>
            <w:tcW w:w="2135" w:type="dxa"/>
            <w:vAlign w:val="top"/>
          </w:tcPr>
          <w:p>
            <w:pPr>
              <w:rPr>
                <w:vertAlign w:val="baseline"/>
              </w:rPr>
            </w:pPr>
            <w:r>
              <w:rPr>
                <w:vertAlign w:val="baseline"/>
              </w:rPr>
              <w:t>Standard Deviation</w:t>
            </w:r>
          </w:p>
        </w:tc>
      </w:tr>
      <w:tr>
        <w:tc>
          <w:tcPr>
            <w:tcW w:w="1275" w:type="dxa"/>
          </w:tcPr>
          <w:p>
            <w:pPr>
              <w:rPr>
                <w:vertAlign w:val="baseline"/>
              </w:rPr>
            </w:pPr>
            <w:r>
              <w:rPr>
                <w:vertAlign w:val="baseline"/>
              </w:rPr>
              <w:t>512</w:t>
            </w:r>
          </w:p>
        </w:tc>
        <w:tc>
          <w:tcPr>
            <w:tcW w:w="1712" w:type="dxa"/>
          </w:tcPr>
          <w:p>
            <w:pPr>
              <w:rPr>
                <w:vertAlign w:val="baseline"/>
              </w:rPr>
            </w:pPr>
            <w:r>
              <w:rPr>
                <w:vertAlign w:val="baseline"/>
              </w:rPr>
              <w:t>275.50</w:t>
            </w:r>
          </w:p>
        </w:tc>
        <w:tc>
          <w:tcPr>
            <w:tcW w:w="1538" w:type="dxa"/>
          </w:tcPr>
          <w:p>
            <w:pPr>
              <w:rPr>
                <w:vertAlign w:val="baseline"/>
              </w:rPr>
            </w:pPr>
            <w:r>
              <w:rPr>
                <w:vertAlign w:val="baseline"/>
              </w:rPr>
              <w:t>46.62</w:t>
            </w:r>
          </w:p>
        </w:tc>
        <w:tc>
          <w:tcPr>
            <w:tcW w:w="1862" w:type="dxa"/>
          </w:tcPr>
          <w:p>
            <w:pPr>
              <w:rPr>
                <w:vertAlign w:val="baseline"/>
              </w:rPr>
            </w:pPr>
            <w:r>
              <w:rPr>
                <w:vertAlign w:val="baseline"/>
              </w:rPr>
              <w:t>219.02</w:t>
            </w:r>
          </w:p>
        </w:tc>
        <w:tc>
          <w:tcPr>
            <w:tcW w:w="2135" w:type="dxa"/>
          </w:tcPr>
          <w:p>
            <w:pPr>
              <w:rPr>
                <w:vertAlign w:val="baseline"/>
              </w:rPr>
            </w:pPr>
            <w:r>
              <w:rPr>
                <w:vertAlign w:val="baseline"/>
              </w:rPr>
              <w:t>6.81</w:t>
            </w:r>
          </w:p>
        </w:tc>
      </w:tr>
      <w:tr>
        <w:tc>
          <w:tcPr>
            <w:tcW w:w="1275" w:type="dxa"/>
          </w:tcPr>
          <w:p>
            <w:pPr>
              <w:rPr>
                <w:vertAlign w:val="baseline"/>
              </w:rPr>
            </w:pPr>
            <w:r>
              <w:rPr>
                <w:vertAlign w:val="baseline"/>
              </w:rPr>
              <w:t>724</w:t>
            </w:r>
          </w:p>
        </w:tc>
        <w:tc>
          <w:tcPr>
            <w:tcW w:w="1712" w:type="dxa"/>
          </w:tcPr>
          <w:p>
            <w:pPr>
              <w:rPr>
                <w:vertAlign w:val="baseline"/>
              </w:rPr>
            </w:pPr>
            <w:r>
              <w:rPr>
                <w:vertAlign w:val="baseline"/>
              </w:rPr>
              <w:t>256.05</w:t>
            </w:r>
          </w:p>
        </w:tc>
        <w:tc>
          <w:tcPr>
            <w:tcW w:w="1538" w:type="dxa"/>
          </w:tcPr>
          <w:p>
            <w:pPr>
              <w:rPr>
                <w:vertAlign w:val="baseline"/>
              </w:rPr>
            </w:pPr>
            <w:r>
              <w:rPr>
                <w:vertAlign w:val="baseline"/>
              </w:rPr>
              <w:t>8.418</w:t>
            </w:r>
          </w:p>
        </w:tc>
        <w:tc>
          <w:tcPr>
            <w:tcW w:w="1862" w:type="dxa"/>
          </w:tcPr>
          <w:p>
            <w:pPr>
              <w:rPr>
                <w:vertAlign w:val="baseline"/>
              </w:rPr>
            </w:pPr>
            <w:r>
              <w:rPr>
                <w:vertAlign w:val="baseline"/>
              </w:rPr>
              <w:t>236.23</w:t>
            </w:r>
          </w:p>
        </w:tc>
        <w:tc>
          <w:tcPr>
            <w:tcW w:w="2135" w:type="dxa"/>
          </w:tcPr>
          <w:p>
            <w:pPr>
              <w:rPr>
                <w:vertAlign w:val="baseline"/>
              </w:rPr>
            </w:pPr>
            <w:r>
              <w:rPr>
                <w:vertAlign w:val="baseline"/>
              </w:rPr>
              <w:t>6.68</w:t>
            </w:r>
          </w:p>
        </w:tc>
      </w:tr>
      <w:tr>
        <w:tc>
          <w:tcPr>
            <w:tcW w:w="1275" w:type="dxa"/>
          </w:tcPr>
          <w:p>
            <w:pPr>
              <w:rPr>
                <w:vertAlign w:val="baseline"/>
              </w:rPr>
            </w:pPr>
            <w:r>
              <w:rPr>
                <w:vertAlign w:val="baseline"/>
              </w:rPr>
              <w:t>1024</w:t>
            </w:r>
          </w:p>
        </w:tc>
        <w:tc>
          <w:tcPr>
            <w:tcW w:w="1712" w:type="dxa"/>
          </w:tcPr>
          <w:p>
            <w:pPr>
              <w:rPr>
                <w:vertAlign w:val="baseline"/>
              </w:rPr>
            </w:pPr>
            <w:r>
              <w:rPr>
                <w:vertAlign w:val="baseline"/>
              </w:rPr>
              <w:t>253.79</w:t>
            </w:r>
          </w:p>
        </w:tc>
        <w:tc>
          <w:tcPr>
            <w:tcW w:w="1538" w:type="dxa"/>
          </w:tcPr>
          <w:p>
            <w:pPr>
              <w:rPr>
                <w:vertAlign w:val="baseline"/>
              </w:rPr>
            </w:pPr>
            <w:r>
              <w:rPr>
                <w:vertAlign w:val="baseline"/>
              </w:rPr>
              <w:t>1.275</w:t>
            </w:r>
          </w:p>
        </w:tc>
        <w:tc>
          <w:tcPr>
            <w:tcW w:w="1862" w:type="dxa"/>
          </w:tcPr>
          <w:p>
            <w:pPr>
              <w:rPr>
                <w:vertAlign w:val="baseline"/>
              </w:rPr>
            </w:pPr>
            <w:r>
              <w:rPr>
                <w:vertAlign w:val="baseline"/>
              </w:rPr>
              <w:t>221.99</w:t>
            </w:r>
          </w:p>
        </w:tc>
        <w:tc>
          <w:tcPr>
            <w:tcW w:w="2135" w:type="dxa"/>
          </w:tcPr>
          <w:p>
            <w:pPr>
              <w:rPr>
                <w:vertAlign w:val="baseline"/>
              </w:rPr>
            </w:pPr>
            <w:r>
              <w:rPr>
                <w:vertAlign w:val="baseline"/>
              </w:rPr>
              <w:t>9.482</w:t>
            </w:r>
          </w:p>
        </w:tc>
      </w:tr>
      <w:tr>
        <w:tc>
          <w:tcPr>
            <w:tcW w:w="1275" w:type="dxa"/>
          </w:tcPr>
          <w:p>
            <w:pPr>
              <w:rPr>
                <w:vertAlign w:val="baseline"/>
              </w:rPr>
            </w:pPr>
            <w:r>
              <w:rPr>
                <w:vertAlign w:val="baseline"/>
              </w:rPr>
              <w:t>4012</w:t>
            </w:r>
          </w:p>
        </w:tc>
        <w:tc>
          <w:tcPr>
            <w:tcW w:w="1712" w:type="dxa"/>
          </w:tcPr>
          <w:p>
            <w:pPr>
              <w:rPr>
                <w:vertAlign w:val="baseline"/>
              </w:rPr>
            </w:pPr>
            <w:r>
              <w:rPr>
                <w:vertAlign w:val="baseline"/>
              </w:rPr>
              <w:t>N/A</w:t>
            </w:r>
          </w:p>
        </w:tc>
        <w:tc>
          <w:tcPr>
            <w:tcW w:w="1538" w:type="dxa"/>
          </w:tcPr>
          <w:p>
            <w:pPr>
              <w:rPr>
                <w:vertAlign w:val="baseline"/>
              </w:rPr>
            </w:pPr>
            <w:r>
              <w:rPr>
                <w:vertAlign w:val="baseline"/>
              </w:rPr>
              <w:t>N/A</w:t>
            </w:r>
          </w:p>
        </w:tc>
        <w:tc>
          <w:tcPr>
            <w:tcW w:w="1862" w:type="dxa"/>
          </w:tcPr>
          <w:p>
            <w:pPr>
              <w:rPr>
                <w:vertAlign w:val="baseline"/>
              </w:rPr>
            </w:pPr>
            <w:r>
              <w:rPr>
                <w:vertAlign w:val="baseline"/>
              </w:rPr>
              <w:t>N/A</w:t>
            </w:r>
          </w:p>
        </w:tc>
        <w:tc>
          <w:tcPr>
            <w:tcW w:w="2135" w:type="dxa"/>
          </w:tcPr>
          <w:p>
            <w:pPr>
              <w:rPr>
                <w:vertAlign w:val="baseline"/>
              </w:rPr>
            </w:pPr>
            <w:r>
              <w:rPr>
                <w:vertAlign w:val="baseline"/>
              </w:rPr>
              <w:t>N/A</w:t>
            </w:r>
          </w:p>
        </w:tc>
      </w:tr>
    </w:tbl>
    <w:p>
      <w:pPr>
        <w:ind w:firstLine="420" w:firstLineChars="0"/>
      </w:pPr>
    </w:p>
    <w:p>
      <w:pPr>
        <w:ind w:firstLine="420" w:firstLineChars="0"/>
      </w:pPr>
    </w:p>
    <w:p>
      <w:pPr>
        <w:ind w:firstLine="420" w:firstLineChars="0"/>
      </w:pPr>
    </w:p>
    <w:p>
      <w:pPr>
        <w:ind w:firstLine="420" w:firstLineChars="0"/>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Analyze your results. Calculate the average and standard deviation for every destination.(4 Points) Discuss the effects of distance, message size, and their relationship with bandwidth and latency. (3 Points)</w:t>
      </w:r>
    </w:p>
    <w:p>
      <w:pPr>
        <w:keepNext w:val="0"/>
        <w:keepLines w:val="0"/>
        <w:widowControl/>
        <w:suppressLineNumbers w:val="0"/>
        <w:jc w:val="left"/>
        <w:rPr>
          <w:rFonts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Answer:</w:t>
      </w:r>
    </w:p>
    <w:p>
      <w:pPr>
        <w:keepNext w:val="0"/>
        <w:keepLines w:val="0"/>
        <w:widowControl/>
        <w:suppressLineNumbers w:val="0"/>
        <w:ind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 xml:space="preserve">Because of MTU = 1500, sending unfragmented data with 4072 bytes is restricted.   </w:t>
      </w:r>
      <w:r>
        <w:rPr>
          <w:rFonts w:ascii="SimSun" w:hAnsi="SimSun" w:eastAsia="SimSun" w:cs="SimSun"/>
          <w:kern w:val="0"/>
          <w:sz w:val="24"/>
          <w:szCs w:val="24"/>
          <w:lang w:eastAsia="zh-CN" w:bidi="ar"/>
        </w:rPr>
        <w:t xml:space="preserve"> </w:t>
      </w:r>
    </w:p>
    <w:p>
      <w:pPr>
        <w:keepNext w:val="0"/>
        <w:keepLines w:val="0"/>
        <w:widowControl/>
        <w:suppressLineNumbers w:val="0"/>
        <w:ind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 xml:space="preserve">The distance will significantly affect the latency of the data transmission, which is called propagation delay. The equation of the propagation delay is </w:t>
      </w:r>
      <w:r>
        <w:rPr>
          <w:rFonts w:hint="default" w:ascii="SimSun" w:hAnsi="SimSun" w:eastAsia="SimSun" w:cs="SimSun"/>
          <w:kern w:val="0"/>
          <w:sz w:val="24"/>
          <w:szCs w:val="24"/>
          <w:lang w:eastAsia="zh-CN" w:bidi="ar"/>
        </w:rPr>
        <w:t xml:space="preserve">d prop = d(distance)/s(speed). </w:t>
      </w:r>
      <w:r>
        <w:rPr>
          <w:rFonts w:ascii="SimSun" w:hAnsi="SimSun" w:eastAsia="SimSun" w:cs="SimSun"/>
          <w:kern w:val="0"/>
          <w:sz w:val="24"/>
          <w:szCs w:val="24"/>
          <w:lang w:eastAsia="zh-CN" w:bidi="ar"/>
        </w:rPr>
        <w:t xml:space="preserve">According to the data above, the delay to the Chinese hosts are much larger than that of the LAN hosts because of the distance. </w:t>
      </w:r>
    </w:p>
    <w:p>
      <w:pPr>
        <w:keepNext w:val="0"/>
        <w:keepLines w:val="0"/>
        <w:widowControl/>
        <w:suppressLineNumbers w:val="0"/>
        <w:ind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 xml:space="preserve">The transmission delay can be described by </w:t>
      </w:r>
      <w:r>
        <w:rPr>
          <w:rFonts w:hint="default" w:ascii="SimSun" w:hAnsi="SimSun" w:eastAsia="SimSun" w:cs="SimSun"/>
          <w:kern w:val="0"/>
          <w:sz w:val="24"/>
          <w:szCs w:val="24"/>
          <w:lang w:eastAsia="zh-CN" w:bidi="ar"/>
        </w:rPr>
        <w:t xml:space="preserve">d trans = L(packet length)/R(rate). We could see that the larger the packets or the smaller the bandwidth is, the bigger the transmission delay will be. </w:t>
      </w:r>
    </w:p>
    <w:p>
      <w:pPr>
        <w:keepNext w:val="0"/>
        <w:keepLines w:val="0"/>
        <w:widowControl/>
        <w:suppressLineNumbers w:val="0"/>
        <w:ind w:firstLine="420" w:firstLineChars="0"/>
        <w:jc w:val="left"/>
        <w:rPr>
          <w:rFonts w:ascii="SimSun" w:hAnsi="SimSun" w:eastAsia="SimSun" w:cs="SimSun"/>
          <w:kern w:val="0"/>
          <w:sz w:val="24"/>
          <w:szCs w:val="24"/>
          <w:lang w:eastAsia="zh-CN" w:bidi="ar"/>
        </w:rPr>
      </w:pPr>
    </w:p>
    <w:p>
      <w:pPr/>
    </w:p>
    <w:p>
      <w:pPr/>
    </w:p>
    <w:p>
      <w:pPr>
        <w:keepNext w:val="0"/>
        <w:keepLines w:val="0"/>
        <w:widowControl/>
        <w:suppressLineNumbers w:val="0"/>
        <w:jc w:val="left"/>
        <w:rPr>
          <w:sz w:val="22"/>
          <w:szCs w:val="22"/>
        </w:rPr>
      </w:pPr>
      <w:r>
        <w:rPr>
          <w:rFonts w:ascii="SimSun" w:hAnsi="SimSun" w:eastAsia="SimSun" w:cs="SimSun"/>
          <w:kern w:val="0"/>
          <w:sz w:val="32"/>
          <w:szCs w:val="32"/>
          <w:lang w:val="en-US" w:eastAsia="zh-CN" w:bidi="ar"/>
        </w:rPr>
        <w:t>d) Use the tracert utility on your workstation to find the route to a host:</w:t>
      </w:r>
    </w:p>
    <w:p>
      <w:pPr>
        <w:keepNext w:val="0"/>
        <w:keepLines w:val="0"/>
        <w:widowControl/>
        <w:suppressLineNumbers w:val="0"/>
        <w:jc w:val="left"/>
      </w:pPr>
      <w:r>
        <w:rPr>
          <w:rFonts w:ascii="SimSun" w:hAnsi="SimSun" w:eastAsia="SimSun" w:cs="SimSun"/>
          <w:kern w:val="0"/>
          <w:sz w:val="24"/>
          <w:szCs w:val="24"/>
          <w:lang w:val="en-US" w:eastAsia="zh-CN" w:bidi="ar"/>
        </w:rPr>
        <w:t>i) In Toronto: How many hops did it take to reach the destination host? (3 Points) How many ISPs did you traverse? (3 Points)</w:t>
      </w:r>
    </w:p>
    <w:p>
      <w:pPr>
        <w:ind w:firstLine="420" w:firstLineChars="0"/>
        <w:rPr>
          <w:sz w:val="18"/>
          <w:szCs w:val="21"/>
        </w:rPr>
      </w:pPr>
      <w:r>
        <w:rPr>
          <w:sz w:val="18"/>
          <w:szCs w:val="21"/>
        </w:rPr>
        <w:t>Answer:</w:t>
      </w:r>
    </w:p>
    <w:p>
      <w:pPr>
        <w:ind w:left="420" w:leftChars="0" w:firstLine="420" w:firstLineChars="0"/>
        <w:rPr>
          <w:sz w:val="18"/>
          <w:szCs w:val="21"/>
        </w:rPr>
      </w:pPr>
      <w:r>
        <w:rPr>
          <w:sz w:val="18"/>
          <w:szCs w:val="21"/>
        </w:rPr>
        <w:t xml:space="preserve">Typing traceroute </w:t>
      </w:r>
      <w:r>
        <w:rPr>
          <w:rFonts w:hint="default"/>
          <w:sz w:val="18"/>
          <w:szCs w:val="21"/>
        </w:rPr>
        <w:t>https://www.utoronto.ca/</w:t>
      </w:r>
      <w:r>
        <w:rPr>
          <w:sz w:val="18"/>
          <w:szCs w:val="21"/>
        </w:rPr>
        <w:t xml:space="preserve"> in the Terminal</w:t>
      </w:r>
    </w:p>
    <w:p>
      <w:pPr>
        <w:ind w:left="420" w:leftChars="0" w:firstLine="420" w:firstLineChars="0"/>
        <w:rPr>
          <w:sz w:val="18"/>
          <w:szCs w:val="21"/>
        </w:rPr>
      </w:pPr>
      <w:r>
        <w:rPr>
          <w:sz w:val="18"/>
          <w:szCs w:val="21"/>
        </w:rPr>
        <w:t>The result is the picture below</w:t>
      </w:r>
    </w:p>
    <w:p>
      <w:pPr>
        <w:ind w:left="420" w:leftChars="0" w:firstLine="420" w:firstLineChars="0"/>
      </w:pPr>
      <w:r>
        <w:drawing>
          <wp:inline distT="0" distB="0" distL="114300" distR="114300">
            <wp:extent cx="5271135" cy="5342890"/>
            <wp:effectExtent l="0" t="0" r="571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271135" cy="5342890"/>
                    </a:xfrm>
                    <a:prstGeom prst="rect">
                      <a:avLst/>
                    </a:prstGeom>
                    <a:noFill/>
                    <a:ln w="9525">
                      <a:noFill/>
                      <a:miter/>
                    </a:ln>
                  </pic:spPr>
                </pic:pic>
              </a:graphicData>
            </a:graphic>
          </wp:inline>
        </w:drawing>
      </w:r>
    </w:p>
    <w:p>
      <w:pPr>
        <w:ind w:left="420" w:leftChars="0" w:firstLine="420" w:firstLineChars="0"/>
      </w:pPr>
    </w:p>
    <w:p>
      <w:pPr>
        <w:ind w:left="420" w:leftChars="0" w:firstLine="420" w:firstLineChars="0"/>
      </w:pPr>
      <w:r>
        <w:t xml:space="preserve">We could see in the way to the </w:t>
      </w:r>
      <w:r>
        <w:rPr>
          <w:rFonts w:hint="default"/>
        </w:rPr>
        <w:t>https://www.utoronto.ca/</w:t>
      </w:r>
      <w:r>
        <w:t xml:space="preserve">, there are </w:t>
      </w:r>
      <w:r>
        <w:rPr>
          <w:b/>
          <w:bCs/>
        </w:rPr>
        <w:t xml:space="preserve">23 </w:t>
      </w:r>
      <w:r>
        <w:t xml:space="preserve">hops for our request to go through as well as </w:t>
      </w:r>
      <w:r>
        <w:rPr>
          <w:b/>
          <w:bCs/>
        </w:rPr>
        <w:t>4</w:t>
      </w:r>
      <w:r>
        <w:t xml:space="preserve"> ISPs are shown in the picture.</w:t>
      </w:r>
    </w:p>
    <w:p>
      <w:pPr>
        <w:ind w:left="420" w:leftChars="0" w:firstLine="420" w:firstLineChars="0"/>
      </w:pPr>
    </w:p>
    <w:p>
      <w:pPr>
        <w:keepNext w:val="0"/>
        <w:keepLines w:val="0"/>
        <w:widowControl/>
        <w:suppressLineNumbers w:val="0"/>
        <w:jc w:val="left"/>
        <w:rPr>
          <w:rFonts w:ascii="SimSun" w:hAnsi="SimSun" w:eastAsia="SimSun" w:cs="SimSun"/>
          <w:kern w:val="0"/>
          <w:sz w:val="32"/>
          <w:szCs w:val="32"/>
          <w:lang w:val="en-US" w:eastAsia="zh-CN" w:bidi="ar"/>
        </w:rPr>
      </w:pPr>
      <w:r>
        <w:rPr>
          <w:rFonts w:ascii="SimSun" w:hAnsi="SimSun" w:eastAsia="SimSun" w:cs="SimSun"/>
          <w:kern w:val="0"/>
          <w:sz w:val="32"/>
          <w:szCs w:val="32"/>
          <w:lang w:val="en-US" w:eastAsia="zh-CN" w:bidi="ar"/>
        </w:rPr>
        <w:t>ii) In China: How many hops did it take to reach the destination host? (3 Points) How many ISPs did you traverse? (3 Points)</w:t>
      </w:r>
    </w:p>
    <w:p>
      <w:pPr>
        <w:keepNext w:val="0"/>
        <w:keepLines w:val="0"/>
        <w:widowControl/>
        <w:suppressLineNumbers w:val="0"/>
        <w:ind w:left="420" w:leftChars="0" w:firstLine="420" w:firstLineChars="0"/>
        <w:jc w:val="left"/>
      </w:pPr>
      <w:r>
        <w:drawing>
          <wp:inline distT="0" distB="0" distL="114300" distR="114300">
            <wp:extent cx="5271135" cy="5342890"/>
            <wp:effectExtent l="0" t="0" r="571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271135" cy="5342890"/>
                    </a:xfrm>
                    <a:prstGeom prst="rect">
                      <a:avLst/>
                    </a:prstGeom>
                    <a:noFill/>
                    <a:ln w="9525">
                      <a:noFill/>
                      <a:miter/>
                    </a:ln>
                  </pic:spPr>
                </pic:pic>
              </a:graphicData>
            </a:graphic>
          </wp:inline>
        </w:drawing>
      </w:r>
    </w:p>
    <w:p>
      <w:pPr>
        <w:keepNext w:val="0"/>
        <w:keepLines w:val="0"/>
        <w:widowControl/>
        <w:suppressLineNumbers w:val="0"/>
        <w:ind w:left="420" w:leftChars="0" w:firstLine="420" w:firstLineChars="0"/>
        <w:jc w:val="left"/>
        <w:rPr>
          <w:lang w:eastAsia="zh-CN"/>
        </w:rPr>
      </w:pPr>
      <w:r>
        <w:t xml:space="preserve">Answer: As we see, by using the command traceroute </w:t>
      </w:r>
      <w:r>
        <w:fldChar w:fldCharType="begin"/>
      </w:r>
      <w:r>
        <w:instrText xml:space="preserve"> HYPERLINK "http://www.baidu.com" </w:instrText>
      </w:r>
      <w:r>
        <w:fldChar w:fldCharType="separate"/>
      </w:r>
      <w:r>
        <w:rPr>
          <w:rStyle w:val="3"/>
        </w:rPr>
        <w:t>www.baidu.com</w:t>
      </w:r>
      <w:r>
        <w:fldChar w:fldCharType="end"/>
      </w:r>
      <w:r>
        <w:t xml:space="preserve"> to trace the request to the Chinese server, the terminal shows that </w:t>
      </w:r>
      <w:r>
        <w:rPr>
          <w:b/>
          <w:bCs/>
        </w:rPr>
        <w:t>20</w:t>
      </w:r>
      <w:r>
        <w:t xml:space="preserve"> hops with </w:t>
      </w:r>
      <w:r>
        <w:rPr>
          <w:b/>
          <w:bCs/>
        </w:rPr>
        <w:t>3</w:t>
      </w:r>
      <w:r>
        <w:t xml:space="preserve"> ISPs are needed to go by before the packets get to the destination.</w:t>
      </w:r>
    </w:p>
    <w:p>
      <w:pPr>
        <w:ind w:left="420" w:leftChars="0" w:firstLine="420" w:firstLineChars="0"/>
      </w:pPr>
    </w:p>
    <w:p>
      <w:pPr>
        <w:ind w:left="420" w:leftChars="0" w:firstLine="420" w:firstLineChars="0"/>
        <w:rPr>
          <w:rFonts w:hint="default"/>
        </w:rPr>
      </w:pPr>
      <w:r>
        <w:t xml:space="preserve">The output of the command </w:t>
      </w:r>
      <w:r>
        <w:rPr>
          <w:rFonts w:hint="default"/>
        </w:rPr>
        <w:t xml:space="preserve">“traceroute” contains 6 columns. </w:t>
      </w:r>
    </w:p>
    <w:p>
      <w:pPr>
        <w:ind w:left="420" w:leftChars="0" w:firstLine="420" w:firstLineChars="0"/>
        <w:rPr>
          <w:rFonts w:hint="default"/>
        </w:rPr>
      </w:pPr>
      <w:r>
        <w:rPr>
          <w:rFonts w:hint="default"/>
        </w:rPr>
        <w:t>The first one means the number of the hops.</w:t>
      </w:r>
    </w:p>
    <w:p>
      <w:pPr>
        <w:ind w:left="420" w:leftChars="0" w:firstLine="420" w:firstLineChars="0"/>
        <w:rPr>
          <w:rFonts w:hint="default"/>
        </w:rPr>
      </w:pPr>
      <w:r>
        <w:rPr>
          <w:rFonts w:hint="default"/>
        </w:rPr>
        <w:t>The second and third one mean the ISP and its IP address respectively. If it is a LAN, the second column will show a IP address the same as the third column.</w:t>
      </w:r>
    </w:p>
    <w:p>
      <w:pPr>
        <w:ind w:left="420" w:leftChars="0" w:firstLine="420" w:firstLineChars="0"/>
        <w:rPr>
          <w:rFonts w:hint="default"/>
        </w:rPr>
      </w:pPr>
      <w:r>
        <w:rPr>
          <w:rFonts w:hint="default"/>
        </w:rPr>
        <w:t>The forth to sixth column means the delay from one router to another.</w:t>
      </w:r>
    </w:p>
    <w:p>
      <w:pPr>
        <w:ind w:left="420" w:leftChars="0" w:firstLine="420" w:firstLineChars="0"/>
        <w:rPr>
          <w:rFonts w:hint="default"/>
        </w:rPr>
      </w:pPr>
      <w:r>
        <w:rPr>
          <w:rFonts w:hint="default"/>
        </w:rPr>
        <w:t xml:space="preserve"> </w:t>
      </w:r>
    </w:p>
    <w:p>
      <w:pPr>
        <w:ind w:left="420" w:leftChars="0" w:firstLine="420" w:firstLineChars="0"/>
      </w:pPr>
      <w:r>
        <w:t xml:space="preserve">When the </w:t>
      </w:r>
      <w:r>
        <w:rPr>
          <w:rFonts w:hint="default"/>
        </w:rPr>
        <w:t>‘*’ comes out, it means that the router does not response to the probes. This is led by the lost of the probes or the not replying of the router.</w:t>
      </w:r>
    </w:p>
    <w:p>
      <w:pPr>
        <w:rPr>
          <w:rFonts w:hint="default"/>
          <w:sz w:val="32"/>
          <w:szCs w:val="40"/>
        </w:rPr>
      </w:pPr>
      <w:r>
        <w:rPr>
          <w:rFonts w:hint="default"/>
          <w:sz w:val="32"/>
          <w:szCs w:val="40"/>
        </w:rPr>
        <w:t>e) Use the trace route utilities at the site www.traceroute.org to find the routes between a host in Europe and a host in South America.</w:t>
      </w:r>
    </w:p>
    <w:p>
      <w:pPr>
        <w:rPr>
          <w:rFonts w:hint="default"/>
          <w:sz w:val="24"/>
          <w:szCs w:val="32"/>
        </w:rPr>
      </w:pPr>
      <w:r>
        <w:rPr>
          <w:rFonts w:hint="default"/>
          <w:sz w:val="24"/>
          <w:szCs w:val="32"/>
        </w:rPr>
        <w:t>i) In 50 words, explain how tracert discovers a path to a remote host. (2 Points)</w:t>
      </w:r>
    </w:p>
    <w:p>
      <w:pPr>
        <w:rPr>
          <w:rFonts w:hint="default"/>
          <w:sz w:val="24"/>
          <w:szCs w:val="32"/>
        </w:rPr>
      </w:pPr>
    </w:p>
    <w:p>
      <w:pPr>
        <w:rPr>
          <w:rFonts w:hint="default"/>
          <w:sz w:val="24"/>
          <w:szCs w:val="32"/>
        </w:rPr>
      </w:pPr>
      <w:r>
        <w:rPr>
          <w:rFonts w:hint="default"/>
          <w:sz w:val="24"/>
          <w:szCs w:val="32"/>
        </w:rPr>
        <w:t>The traceroute uses TTL values. Starting from 1 for the first packet, the TTL values increase from packet to packet.When the packets reach the router, the TTL values decrease by 1 and send an ICMP error message to source when there is TTL value reach 0. Hence, the traceroute uses the error message to build a path until the destination is reached.</w:t>
      </w:r>
    </w:p>
    <w:p>
      <w:pPr>
        <w:rPr>
          <w:rFonts w:hint="default"/>
          <w:sz w:val="24"/>
          <w:szCs w:val="32"/>
        </w:rPr>
      </w:pPr>
      <w:r>
        <w:rPr>
          <w:rFonts w:hint="default"/>
          <w:sz w:val="24"/>
          <w:szCs w:val="32"/>
        </w:rPr>
        <w:t xml:space="preserve"> </w:t>
      </w:r>
    </w:p>
    <w:p>
      <w:pPr>
        <w:rPr>
          <w:rFonts w:hint="default"/>
          <w:sz w:val="24"/>
          <w:szCs w:val="32"/>
        </w:rPr>
      </w:pPr>
      <w:r>
        <w:rPr>
          <w:rFonts w:hint="default"/>
          <w:sz w:val="24"/>
          <w:szCs w:val="32"/>
        </w:rPr>
        <w:t>ii)Trace the route again between these two hosts after at least an hour.</w:t>
      </w:r>
    </w:p>
    <w:p>
      <w:pPr>
        <w:rPr>
          <w:rFonts w:hint="default"/>
          <w:sz w:val="24"/>
          <w:szCs w:val="32"/>
        </w:rPr>
      </w:pPr>
      <w:r>
        <w:rPr>
          <w:rFonts w:hint="default"/>
          <w:sz w:val="24"/>
          <w:szCs w:val="32"/>
        </w:rPr>
        <w:t>Provide reasons why the two routes could differ. (3 Points)</w:t>
      </w:r>
    </w:p>
    <w:p>
      <w:pPr>
        <w:rPr>
          <w:rFonts w:hint="default"/>
          <w:sz w:val="24"/>
          <w:szCs w:val="32"/>
        </w:rPr>
      </w:pPr>
    </w:p>
    <w:p>
      <w:pPr>
        <w:rPr>
          <w:rFonts w:hint="default"/>
          <w:sz w:val="24"/>
          <w:szCs w:val="32"/>
        </w:rPr>
      </w:pPr>
      <w:r>
        <w:rPr>
          <w:rFonts w:hint="default"/>
          <w:sz w:val="24"/>
          <w:szCs w:val="32"/>
        </w:rPr>
        <w:t>Answer: The result of the trace is picture below. This is the routes traced from Brazil to German. The hops 5 and 6 is in America between Brazil and German.</w:t>
      </w:r>
    </w:p>
    <w:p>
      <w:pPr/>
      <w:r>
        <w:drawing>
          <wp:inline distT="0" distB="0" distL="114300" distR="114300">
            <wp:extent cx="5467985" cy="3088005"/>
            <wp:effectExtent l="0" t="0" r="1841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467985" cy="3088005"/>
                    </a:xfrm>
                    <a:prstGeom prst="rect">
                      <a:avLst/>
                    </a:prstGeom>
                    <a:noFill/>
                    <a:ln w="9525">
                      <a:noFill/>
                      <a:miter/>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72430" cy="3081655"/>
            <wp:effectExtent l="0" t="0" r="6350" b="444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3"/>
                    <a:stretch>
                      <a:fillRect/>
                    </a:stretch>
                  </pic:blipFill>
                  <pic:spPr>
                    <a:xfrm>
                      <a:off x="0" y="0"/>
                      <a:ext cx="5472430" cy="3081655"/>
                    </a:xfrm>
                    <a:prstGeom prst="rect">
                      <a:avLst/>
                    </a:prstGeom>
                    <a:noFill/>
                    <a:ln w="9525">
                      <a:noFill/>
                    </a:ln>
                  </pic:spPr>
                </pic:pic>
              </a:graphicData>
            </a:graphic>
          </wp:inline>
        </w:drawing>
      </w:r>
    </w:p>
    <w:p>
      <w:pPr/>
    </w:p>
    <w:p>
      <w:pPr>
        <w:rPr>
          <w:rFonts w:hint="default"/>
        </w:rPr>
      </w:pPr>
    </w:p>
    <w:p>
      <w:pPr>
        <w:rPr>
          <w:rFonts w:hint="default"/>
        </w:rPr>
      </w:pPr>
      <w:bookmarkStart w:id="0" w:name="_GoBack"/>
      <w:bookmarkEnd w:id="0"/>
      <w:r>
        <w:rPr>
          <w:rFonts w:hint="default"/>
        </w:rPr>
        <w:t>The difference of the routes may be caused by the stuck or the no response of the routers on the path. From one router to another, if there is a heavy congestion or no response on the path, then the router will calculate another better way to transmission the data, which is so-called “load-balance”.</w:t>
      </w:r>
    </w:p>
    <w:p>
      <w:pPr>
        <w:rPr>
          <w:rFonts w:hint="default"/>
        </w:rPr>
      </w:pPr>
    </w:p>
    <w:p>
      <w:pPr>
        <w:rPr>
          <w:rFonts w:hint="default"/>
          <w:sz w:val="32"/>
          <w:szCs w:val="40"/>
        </w:rPr>
      </w:pPr>
      <w:r>
        <w:rPr>
          <w:rFonts w:hint="default"/>
          <w:sz w:val="32"/>
          <w:szCs w:val="40"/>
        </w:rPr>
        <w:t>f) Briefly discuss why ping would not necessarily provide an accurate estimate of the round trip time for packets exchanged by two hosts on the Internet?</w:t>
      </w:r>
    </w:p>
    <w:p>
      <w:pPr>
        <w:ind w:firstLine="420" w:firstLineChars="0"/>
        <w:rPr>
          <w:rFonts w:hint="default"/>
          <w:sz w:val="24"/>
          <w:szCs w:val="32"/>
        </w:rPr>
      </w:pPr>
      <w:r>
        <w:rPr>
          <w:rFonts w:hint="default"/>
          <w:sz w:val="24"/>
          <w:szCs w:val="32"/>
        </w:rPr>
        <w:t>Answer: Ping relies on the ICMP protocol to test the reachability.</w:t>
      </w:r>
    </w:p>
    <w:p>
      <w:pPr>
        <w:ind w:firstLine="420" w:firstLineChars="0"/>
        <w:rPr>
          <w:rFonts w:hint="default"/>
          <w:sz w:val="24"/>
          <w:szCs w:val="32"/>
        </w:rPr>
      </w:pPr>
      <w:r>
        <w:rPr>
          <w:rFonts w:hint="default"/>
          <w:sz w:val="24"/>
          <w:szCs w:val="32"/>
        </w:rPr>
        <w:t>However, because of the “load-balance” of the router, the destination you ping will not necessary go on the same path, which affect the accuracy of the RTT. Besides, QoS(Quality of Service) will also affect the consistency of the the ICMP replies.</w:t>
      </w:r>
    </w:p>
    <w:p>
      <w:pPr>
        <w:ind w:firstLine="420" w:firstLineChars="0"/>
        <w:rPr>
          <w:rFonts w:hint="default"/>
          <w:sz w:val="24"/>
          <w:szCs w:val="32"/>
        </w:rPr>
      </w:pPr>
    </w:p>
    <w:p>
      <w:pPr>
        <w:rPr>
          <w:rFonts w:hint="default"/>
          <w:sz w:val="24"/>
          <w:szCs w:val="32"/>
        </w:rPr>
      </w:pPr>
    </w:p>
    <w:p>
      <w:pPr>
        <w:rPr>
          <w:rFonts w:hint="default"/>
          <w:sz w:val="32"/>
          <w:szCs w:val="40"/>
        </w:rPr>
      </w:pPr>
      <w:r>
        <w:rPr>
          <w:rFonts w:hint="default"/>
          <w:sz w:val="32"/>
          <w:szCs w:val="40"/>
        </w:rPr>
        <w:t xml:space="preserve">g) List at least three other such utilities and briefly describe their use. (9 Points; 3 Points for each utility) </w:t>
      </w:r>
    </w:p>
    <w:p>
      <w:pPr>
        <w:rPr>
          <w:rFonts w:hint="default"/>
          <w:sz w:val="24"/>
          <w:szCs w:val="32"/>
        </w:rPr>
      </w:pPr>
      <w:r>
        <w:rPr>
          <w:rFonts w:hint="default"/>
          <w:sz w:val="24"/>
          <w:szCs w:val="32"/>
        </w:rPr>
        <w:t>In Linux:</w:t>
      </w:r>
    </w:p>
    <w:p>
      <w:pPr>
        <w:numPr>
          <w:ilvl w:val="0"/>
          <w:numId w:val="2"/>
        </w:numPr>
        <w:ind w:firstLine="420" w:firstLineChars="0"/>
        <w:rPr>
          <w:rFonts w:hint="default"/>
          <w:sz w:val="24"/>
          <w:szCs w:val="32"/>
        </w:rPr>
      </w:pPr>
      <w:r>
        <w:rPr>
          <w:rFonts w:hint="default"/>
          <w:sz w:val="24"/>
          <w:szCs w:val="32"/>
        </w:rPr>
        <w:t>ifconfig: ‘Ifconfig’ is used to set the network interface and get their information.</w:t>
      </w:r>
    </w:p>
    <w:p>
      <w:pPr>
        <w:numPr>
          <w:ilvl w:val="0"/>
          <w:numId w:val="2"/>
        </w:numPr>
        <w:ind w:firstLine="420" w:firstLineChars="0"/>
        <w:rPr>
          <w:rFonts w:hint="default"/>
          <w:sz w:val="24"/>
          <w:szCs w:val="32"/>
        </w:rPr>
      </w:pPr>
      <w:r>
        <w:rPr>
          <w:rFonts w:hint="default"/>
          <w:sz w:val="24"/>
          <w:szCs w:val="32"/>
        </w:rPr>
        <w:t>nslookup: ‘nslookup’ command is used to check the IP address and its domain name it associates.</w:t>
      </w:r>
    </w:p>
    <w:p>
      <w:pPr>
        <w:numPr>
          <w:ilvl w:val="0"/>
          <w:numId w:val="2"/>
        </w:numPr>
        <w:ind w:firstLine="420" w:firstLineChars="0"/>
        <w:rPr>
          <w:rFonts w:hint="default"/>
          <w:sz w:val="24"/>
          <w:szCs w:val="32"/>
        </w:rPr>
      </w:pPr>
      <w:r>
        <w:rPr>
          <w:rFonts w:hint="default"/>
          <w:sz w:val="24"/>
          <w:szCs w:val="32"/>
        </w:rPr>
        <w:t>namp: ‘namp’ can allow user to scan the IP address of all the hosts connected in a specific range of IP area.</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 PL UKai CN"/>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AR PL UKai CN"/>
    <w:panose1 w:val="00000000000000000000"/>
    <w:charset w:val="86"/>
    <w:family w:val="auto"/>
    <w:pitch w:val="default"/>
    <w:sig w:usb0="00000000" w:usb1="00000000" w:usb2="00000000" w:usb3="00000000" w:csb0="00000000" w:csb1="00000000"/>
  </w:font>
  <w:font w:name="Symbol">
    <w:altName w:val="OpenSymbol"/>
    <w:panose1 w:val="05050102010706020507"/>
    <w:charset w:val="02"/>
    <w:family w:val="moder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FZShuSong-Z01">
    <w:altName w:val="AR PL UKai CN"/>
    <w:panose1 w:val="02000000000000000000"/>
    <w:charset w:val="86"/>
    <w:family w:val="auto"/>
    <w:pitch w:val="default"/>
    <w:sig w:usb0="00000000" w:usb1="00000000" w:usb2="00000000" w:usb3="00000000" w:csb0="00040000" w:csb1="00000000"/>
  </w:font>
  <w:font w:name="Abyssinica SIL">
    <w:panose1 w:val="02000603020000020004"/>
    <w:charset w:val="00"/>
    <w:family w:val="auto"/>
    <w:pitch w:val="default"/>
    <w:sig w:usb0="800000EF" w:usb1="5000A04B" w:usb2="00000828" w:usb3="00000000" w:csb0="20000001" w:csb1="00000000"/>
  </w:font>
  <w:font w:name="FZHei-B01">
    <w:altName w:val="AR PL UKai CN"/>
    <w:panose1 w:val="02000000000000000000"/>
    <w:charset w:val="86"/>
    <w:family w:val="auto"/>
    <w:pitch w:val="default"/>
    <w:sig w:usb0="00000000" w:usb1="00000000" w:usb2="00000000" w:usb3="00000000" w:csb0="00040000" w:csb1="0000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Euphemia">
    <w:altName w:val="Abyssinica SIL"/>
    <w:panose1 w:val="00000000000000000000"/>
    <w:charset w:val="00"/>
    <w:family w:val="auto"/>
    <w:pitch w:val="default"/>
    <w:sig w:usb0="00000000" w:usb1="00000000" w:usb2="00000000" w:usb3="00000000" w:csb0="00000000" w:csb1="00000000"/>
  </w:font>
  <w:font w:name="Segoe Print">
    <w:altName w:val="Purisa"/>
    <w:panose1 w:val="02000600000000000000"/>
    <w:charset w:val="00"/>
    <w:family w:val="auto"/>
    <w:pitch w:val="default"/>
    <w:sig w:usb0="00000000" w:usb1="00000000" w:usb2="00000000" w:usb3="00000000" w:csb0="2000009F" w:csb1="47010000"/>
  </w:font>
  <w:font w:name="Trebuchet MS">
    <w:altName w:val="Garuda"/>
    <w:panose1 w:val="020B0603020202020204"/>
    <w:charset w:val="00"/>
    <w:family w:val="auto"/>
    <w:pitch w:val="default"/>
    <w:sig w:usb0="00000000" w:usb1="00000000" w:usb2="00000000" w:usb3="00000000" w:csb0="2000009F" w:csb1="00000000"/>
  </w:font>
  <w:font w:name="AR PL UKai CN">
    <w:panose1 w:val="02000503000000000000"/>
    <w:charset w:val="00"/>
    <w:family w:val="auto"/>
    <w:pitch w:val="default"/>
    <w:sig w:usb0="00000000" w:usb1="00000000" w:usb2="00000000" w:usb3="00000000" w:csb0="0014010D" w:csb1="00000000"/>
  </w:font>
  <w:font w:name="Abyssinica SIL">
    <w:panose1 w:val="02000603020000020004"/>
    <w:charset w:val="00"/>
    <w:family w:val="auto"/>
    <w:pitch w:val="default"/>
    <w:sig w:usb0="00000000" w:usb1="00000000" w:usb2="00000000" w:usb3="00000000" w:csb0="00000001" w:csb1="00000000"/>
  </w:font>
  <w:font w:name="Abyssinica SIL">
    <w:panose1 w:val="02000603020000020004"/>
    <w:charset w:val="00"/>
    <w:family w:val="auto"/>
    <w:pitch w:val="default"/>
    <w:sig w:usb0="00000000" w:usb1="00000000" w:usb2="00000000" w:usb3="00000000" w:csb0="00000001" w:csb1="00000000"/>
  </w:font>
  <w:font w:name="AR PL UKai CN">
    <w:panose1 w:val="02000503000000000000"/>
    <w:charset w:val="00"/>
    <w:family w:val="auto"/>
    <w:pitch w:val="default"/>
    <w:sig w:usb0="00000000" w:usb1="00000000" w:usb2="00000000" w:usb3="00000000" w:csb0="0014010D" w:csb1="00000000"/>
  </w:font>
  <w:font w:name="OpenSymbol">
    <w:panose1 w:val="05010000000000000000"/>
    <w:charset w:val="00"/>
    <w:family w:val="auto"/>
    <w:pitch w:val="default"/>
    <w:sig w:usb0="00000000" w:usb1="00000000" w:usb2="00000000" w:usb3="00000000" w:csb0="00000000" w:csb1="00000000"/>
  </w:font>
  <w:font w:name="AR PL UKai CN">
    <w:panose1 w:val="02000503000000000000"/>
    <w:charset w:val="00"/>
    <w:family w:val="auto"/>
    <w:pitch w:val="default"/>
    <w:sig w:usb0="00000000" w:usb1="00000000" w:usb2="00000000" w:usb3="00000000" w:csb0="0014010D" w:csb1="00000000"/>
  </w:font>
  <w:font w:name="AR PL UKai CN">
    <w:panose1 w:val="02000503000000000000"/>
    <w:charset w:val="00"/>
    <w:family w:val="auto"/>
    <w:pitch w:val="default"/>
    <w:sig w:usb0="00000000" w:usb1="00000000" w:usb2="00000000" w:usb3="00000000" w:csb0="0014010D" w:csb1="00000000"/>
  </w:font>
  <w:font w:name="Purisa">
    <w:panose1 w:val="02000603000000000000"/>
    <w:charset w:val="00"/>
    <w:family w:val="auto"/>
    <w:pitch w:val="default"/>
    <w:sig w:usb0="00000000" w:usb1="00000000" w:usb2="00000000" w:usb3="00000000" w:csb0="00010001" w:csb1="00000000"/>
  </w:font>
  <w:font w:name="Garuda">
    <w:panose1 w:val="020B0604020202020204"/>
    <w:charset w:val="00"/>
    <w:family w:val="auto"/>
    <w:pitch w:val="default"/>
    <w:sig w:usb0="00000000"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06526942">
    <w:nsid w:val="59CBC6DE"/>
    <w:multiLevelType w:val="multilevel"/>
    <w:tmpl w:val="59CBC6DE"/>
    <w:lvl w:ilvl="0" w:tentative="1">
      <w:start w:val="1"/>
      <w:numFmt w:val="lowerLetter"/>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06741688">
    <w:nsid w:val="59CF0DB8"/>
    <w:multiLevelType w:val="singleLevel"/>
    <w:tmpl w:val="59CF0DB8"/>
    <w:lvl w:ilvl="0" w:tentative="1">
      <w:start w:val="1"/>
      <w:numFmt w:val="decimal"/>
      <w:suff w:val="nothing"/>
      <w:lvlText w:val="%1."/>
      <w:lvlJc w:val="left"/>
    </w:lvl>
  </w:abstractNum>
  <w:num w:numId="1">
    <w:abstractNumId w:val="1506526942"/>
  </w:num>
  <w:num w:numId="2">
    <w:abstractNumId w:val="15067416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12F9C7"/>
    <w:rsid w:val="129B1053"/>
    <w:rsid w:val="1F54943C"/>
    <w:rsid w:val="3B97F125"/>
    <w:rsid w:val="3C6EE9F6"/>
    <w:rsid w:val="4F777AF6"/>
    <w:rsid w:val="4FCF7BCF"/>
    <w:rsid w:val="53BBE422"/>
    <w:rsid w:val="5ADF2333"/>
    <w:rsid w:val="5D4F6296"/>
    <w:rsid w:val="5FDEE686"/>
    <w:rsid w:val="5FFBA962"/>
    <w:rsid w:val="6AF774CF"/>
    <w:rsid w:val="6D8F22C8"/>
    <w:rsid w:val="6F576116"/>
    <w:rsid w:val="6FEBABFE"/>
    <w:rsid w:val="7312F9C7"/>
    <w:rsid w:val="7AAF480F"/>
    <w:rsid w:val="7DFCC92E"/>
    <w:rsid w:val="7F9BE9DF"/>
    <w:rsid w:val="7FDFBCE4"/>
    <w:rsid w:val="97EFF95B"/>
    <w:rsid w:val="9B378FB7"/>
    <w:rsid w:val="9E9352A2"/>
    <w:rsid w:val="B59E35F2"/>
    <w:rsid w:val="BEFB8CCA"/>
    <w:rsid w:val="C2D74521"/>
    <w:rsid w:val="D6BBE15B"/>
    <w:rsid w:val="DBF5AB03"/>
    <w:rsid w:val="EFEF31B7"/>
    <w:rsid w:val="F7FB1AFD"/>
    <w:rsid w:val="F96DEC9A"/>
    <w:rsid w:val="FF7F3F27"/>
    <w:rsid w:val="FF9ED97D"/>
    <w:rsid w:val="FFA3C802"/>
    <w:rsid w:val="FFFB7F3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chart" Target="charts/chart4.xml"/><Relationship Id="rId8" Type="http://schemas.openxmlformats.org/officeDocument/2006/relationships/chart" Target="charts/chart3.xml"/><Relationship Id="rId7" Type="http://schemas.openxmlformats.org/officeDocument/2006/relationships/chart" Target="charts/chart2.xml"/><Relationship Id="rId6" Type="http://schemas.openxmlformats.org/officeDocument/2006/relationships/chart" Target="charts/chart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x-none" altLang="en-CA" sz="1400" b="0" i="0" u="none" strike="noStrike" kern="1200" cap="none" spc="0" normalizeH="0" baseline="0">
                <a:solidFill>
                  <a:schemeClr val="tx1">
                    <a:lumMod val="65000"/>
                    <a:lumOff val="35000"/>
                  </a:schemeClr>
                </a:solidFill>
                <a:effectLst/>
                <a:latin typeface="+mn-lt"/>
                <a:ea typeface="+mn-ea"/>
                <a:cs typeface="+mn-cs"/>
              </a:rPr>
              <a:t>192.168.2.14</a:t>
            </a:r>
            <a:endParaRPr lang="x-none" altLang="en-CA" sz="1400" b="0" i="0" u="none" strike="noStrike" kern="1200" cap="none" spc="0" normalizeH="0" baseline="0">
              <a:solidFill>
                <a:schemeClr val="tx1">
                  <a:lumMod val="65000"/>
                  <a:lumOff val="35000"/>
                </a:schemeClr>
              </a:solidFill>
              <a:effectLst/>
              <a:latin typeface="+mn-lt"/>
              <a:ea typeface="+mn-ea"/>
              <a:cs typeface="+mn-cs"/>
            </a:endParaRPr>
          </a:p>
        </c:rich>
      </c:tx>
      <c:layout/>
      <c:overlay val="0"/>
      <c:spPr>
        <a:noFill/>
        <a:ln>
          <a:noFill/>
        </a:ln>
        <a:effectLst/>
      </c:spPr>
    </c:title>
    <c:autoTitleDeleted val="0"/>
    <c:plotArea>
      <c:layout/>
      <c:lineChart>
        <c:grouping val="standard"/>
        <c:varyColors val="0"/>
        <c:ser>
          <c:idx val="1"/>
          <c:order val="0"/>
          <c:tx>
            <c:strRef>
              <c:f>Sheet1!$B$1</c:f>
              <c:strCache>
                <c:ptCount val="1"/>
                <c:pt idx="0">
                  <c:v>512</c:v>
                </c:pt>
              </c:strCache>
            </c:strRef>
          </c:tx>
          <c:spPr>
            <a:ln w="28575" cap="rnd">
              <a:solidFill>
                <a:schemeClr val="accent2"/>
              </a:solidFill>
              <a:round/>
            </a:ln>
            <a:effectLst/>
          </c:spPr>
          <c:marker>
            <c:symbol val="none"/>
          </c:marker>
          <c:val>
            <c:numRef>
              <c:f>Sheet1!$B$2:$B$11</c:f>
              <c:numCache>
                <c:formatCode>General</c:formatCode>
                <c:ptCount val="10"/>
                <c:pt idx="0">
                  <c:v>34.4</c:v>
                </c:pt>
                <c:pt idx="1">
                  <c:v>9.97</c:v>
                </c:pt>
                <c:pt idx="2">
                  <c:v>7.96</c:v>
                </c:pt>
                <c:pt idx="3">
                  <c:v>8.09</c:v>
                </c:pt>
                <c:pt idx="4">
                  <c:v>8.84</c:v>
                </c:pt>
                <c:pt idx="5">
                  <c:v>8.51</c:v>
                </c:pt>
                <c:pt idx="6">
                  <c:v>8.26</c:v>
                </c:pt>
                <c:pt idx="7">
                  <c:v>8.31</c:v>
                </c:pt>
                <c:pt idx="8">
                  <c:v>21.2</c:v>
                </c:pt>
                <c:pt idx="9">
                  <c:v>7.83</c:v>
                </c:pt>
              </c:numCache>
            </c:numRef>
          </c:val>
          <c:smooth val="0"/>
        </c:ser>
        <c:ser>
          <c:idx val="2"/>
          <c:order val="1"/>
          <c:tx>
            <c:strRef>
              <c:f>Sheet1!$C$1</c:f>
              <c:strCache>
                <c:ptCount val="1"/>
                <c:pt idx="0">
                  <c:v>724</c:v>
                </c:pt>
              </c:strCache>
            </c:strRef>
          </c:tx>
          <c:spPr>
            <a:ln w="28575" cap="rnd">
              <a:solidFill>
                <a:schemeClr val="accent3"/>
              </a:solidFill>
              <a:round/>
            </a:ln>
            <a:effectLst/>
          </c:spPr>
          <c:marker>
            <c:symbol val="none"/>
          </c:marker>
          <c:val>
            <c:numRef>
              <c:f>Sheet1!$C$2:$C$11</c:f>
              <c:numCache>
                <c:formatCode>General</c:formatCode>
                <c:ptCount val="10"/>
                <c:pt idx="0">
                  <c:v>8.04</c:v>
                </c:pt>
                <c:pt idx="1">
                  <c:v>9.38</c:v>
                </c:pt>
                <c:pt idx="2">
                  <c:v>8.58</c:v>
                </c:pt>
                <c:pt idx="3">
                  <c:v>8.46</c:v>
                </c:pt>
                <c:pt idx="4">
                  <c:v>8.74</c:v>
                </c:pt>
                <c:pt idx="5">
                  <c:v>10.7</c:v>
                </c:pt>
                <c:pt idx="6">
                  <c:v>10.9</c:v>
                </c:pt>
                <c:pt idx="7">
                  <c:v>9.99</c:v>
                </c:pt>
                <c:pt idx="8">
                  <c:v>17.3</c:v>
                </c:pt>
                <c:pt idx="9">
                  <c:v>8.66</c:v>
                </c:pt>
              </c:numCache>
            </c:numRef>
          </c:val>
          <c:smooth val="0"/>
        </c:ser>
        <c:ser>
          <c:idx val="3"/>
          <c:order val="2"/>
          <c:tx>
            <c:strRef>
              <c:f>Sheet1!$D$1</c:f>
              <c:strCache>
                <c:ptCount val="1"/>
                <c:pt idx="0">
                  <c:v>1024</c:v>
                </c:pt>
              </c:strCache>
            </c:strRef>
          </c:tx>
          <c:spPr>
            <a:ln w="28575" cap="rnd">
              <a:solidFill>
                <a:schemeClr val="accent4"/>
              </a:solidFill>
              <a:round/>
            </a:ln>
            <a:effectLst/>
          </c:spPr>
          <c:marker>
            <c:symbol val="none"/>
          </c:marker>
          <c:val>
            <c:numRef>
              <c:f>Sheet1!$D$2:$D$11</c:f>
              <c:numCache>
                <c:formatCode>General</c:formatCode>
                <c:ptCount val="10"/>
                <c:pt idx="0">
                  <c:v>16.9</c:v>
                </c:pt>
                <c:pt idx="1">
                  <c:v>8.97</c:v>
                </c:pt>
                <c:pt idx="2">
                  <c:v>9.3</c:v>
                </c:pt>
                <c:pt idx="3">
                  <c:v>8.51</c:v>
                </c:pt>
                <c:pt idx="4">
                  <c:v>10.6</c:v>
                </c:pt>
                <c:pt idx="5">
                  <c:v>9.26</c:v>
                </c:pt>
                <c:pt idx="6">
                  <c:v>10.1</c:v>
                </c:pt>
                <c:pt idx="7">
                  <c:v>11.3</c:v>
                </c:pt>
                <c:pt idx="8">
                  <c:v>8.7</c:v>
                </c:pt>
                <c:pt idx="9">
                  <c:v>9.34</c:v>
                </c:pt>
              </c:numCache>
            </c:numRef>
          </c:val>
          <c:smooth val="0"/>
        </c:ser>
        <c:dLbls>
          <c:dLblPos val="r"/>
          <c:showLegendKey val="0"/>
          <c:showVal val="0"/>
          <c:showCatName val="0"/>
          <c:showSerName val="0"/>
          <c:showPercent val="0"/>
          <c:showBubbleSize val="0"/>
        </c:dLbls>
        <c:marker val="0"/>
        <c:smooth val="0"/>
        <c:axId val="543517764"/>
        <c:axId val="500467134"/>
      </c:lineChart>
      <c:catAx>
        <c:axId val="543517764"/>
        <c:scaling>
          <c:orientation val="minMax"/>
        </c:scaling>
        <c:delete val="0"/>
        <c:axPos val="b"/>
        <c:title>
          <c:layout/>
          <c:overlay val="0"/>
          <c:spPr>
            <a:noFill/>
            <a:ln>
              <a:noFill/>
            </a:ln>
            <a:effectLst/>
          </c:spPr>
          <c:txPr>
            <a:bodyPr rot="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500467134"/>
        <c:crosses val="autoZero"/>
        <c:auto val="1"/>
        <c:lblAlgn val="ctr"/>
        <c:lblOffset val="100"/>
        <c:tickMarkSkip val="1"/>
        <c:noMultiLvlLbl val="0"/>
      </c:catAx>
      <c:valAx>
        <c:axId val="500467134"/>
        <c:scaling>
          <c:orientation val="minMax"/>
        </c:scaling>
        <c:delete val="0"/>
        <c:axPos val="l"/>
        <c:majorGridlines>
          <c:spPr>
            <a:noFill/>
            <a:ln w="9525" cap="flat" cmpd="sng" algn="ctr">
              <a:solidFill>
                <a:schemeClr val="tx1">
                  <a:lumMod val="15000"/>
                  <a:lumOff val="85000"/>
                </a:schemeClr>
              </a:solidFill>
              <a:round/>
            </a:ln>
            <a:effectLst/>
          </c:spPr>
        </c:majorGridlines>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x-none" altLang="en-CA" sz="1000" b="0" i="0" u="none" strike="noStrike" kern="1200" cap="none" normalizeH="0" baseline="0">
                    <a:solidFill>
                      <a:schemeClr val="tx1">
                        <a:lumMod val="65000"/>
                        <a:lumOff val="35000"/>
                      </a:schemeClr>
                    </a:solidFill>
                    <a:effectLst/>
                    <a:latin typeface="+mn-lt"/>
                    <a:ea typeface="+mn-ea"/>
                    <a:cs typeface="+mn-cs"/>
                  </a:rPr>
                  <a:t>RTT</a:t>
                </a:r>
                <a:endParaRPr lang="x-none" altLang="en-CA"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543517764"/>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CA"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x-none" altLang="en-CA" sz="1400" b="0" i="0" u="none" strike="noStrike" kern="1200" cap="none" spc="0" normalizeH="0" baseline="0">
                <a:solidFill>
                  <a:schemeClr val="tx1">
                    <a:lumMod val="65000"/>
                    <a:lumOff val="35000"/>
                  </a:schemeClr>
                </a:solidFill>
                <a:effectLst/>
                <a:latin typeface="+mn-lt"/>
                <a:ea typeface="+mn-ea"/>
                <a:cs typeface="+mn-cs"/>
              </a:rPr>
              <a:t>192.168.2.125</a:t>
            </a:r>
            <a:endParaRPr lang="x-none" altLang="en-CA" sz="1400" b="0" i="0" u="none" strike="noStrike" kern="1200" cap="none" spc="0" normalizeH="0" baseline="0">
              <a:solidFill>
                <a:schemeClr val="tx1">
                  <a:lumMod val="65000"/>
                  <a:lumOff val="35000"/>
                </a:schemeClr>
              </a:solidFill>
              <a:effectLst/>
              <a:latin typeface="+mn-lt"/>
              <a:ea typeface="+mn-ea"/>
              <a:cs typeface="+mn-cs"/>
            </a:endParaRPr>
          </a:p>
        </c:rich>
      </c:tx>
      <c:layout>
        <c:manualLayout>
          <c:xMode val="edge"/>
          <c:yMode val="edge"/>
          <c:x val="0.305836512703953"/>
          <c:y val="0.0435959110042093"/>
        </c:manualLayout>
      </c:layout>
      <c:overlay val="0"/>
      <c:spPr>
        <a:noFill/>
        <a:ln>
          <a:noFill/>
        </a:ln>
        <a:effectLst/>
      </c:spPr>
    </c:title>
    <c:autoTitleDeleted val="0"/>
    <c:plotArea>
      <c:layout/>
      <c:lineChart>
        <c:grouping val="standard"/>
        <c:varyColors val="0"/>
        <c:ser>
          <c:idx val="1"/>
          <c:order val="0"/>
          <c:tx>
            <c:strRef>
              <c:f>Sheet1!$B$1</c:f>
              <c:strCache>
                <c:ptCount val="1"/>
                <c:pt idx="0">
                  <c:v>512</c:v>
                </c:pt>
              </c:strCache>
            </c:strRef>
          </c:tx>
          <c:spPr>
            <a:ln w="28575" cap="rnd">
              <a:solidFill>
                <a:schemeClr val="accent2"/>
              </a:solidFill>
              <a:round/>
            </a:ln>
            <a:effectLst/>
          </c:spPr>
          <c:marker>
            <c:symbol val="none"/>
          </c:marker>
          <c:val>
            <c:numRef>
              <c:f>Sheet1!$B$2:$B$11</c:f>
              <c:numCache>
                <c:formatCode>General</c:formatCode>
                <c:ptCount val="10"/>
                <c:pt idx="0">
                  <c:v>68.8</c:v>
                </c:pt>
                <c:pt idx="1">
                  <c:v>20.4</c:v>
                </c:pt>
                <c:pt idx="2">
                  <c:v>32.1</c:v>
                </c:pt>
                <c:pt idx="3">
                  <c:v>51.2</c:v>
                </c:pt>
                <c:pt idx="4">
                  <c:v>12.1</c:v>
                </c:pt>
                <c:pt idx="5">
                  <c:v>5.1</c:v>
                </c:pt>
                <c:pt idx="6">
                  <c:v>67</c:v>
                </c:pt>
                <c:pt idx="7">
                  <c:v>4.78</c:v>
                </c:pt>
                <c:pt idx="8">
                  <c:v>22.6</c:v>
                </c:pt>
                <c:pt idx="9">
                  <c:v>8.56</c:v>
                </c:pt>
              </c:numCache>
            </c:numRef>
          </c:val>
          <c:smooth val="0"/>
        </c:ser>
        <c:ser>
          <c:idx val="2"/>
          <c:order val="1"/>
          <c:tx>
            <c:strRef>
              <c:f>Sheet1!$C$1</c:f>
              <c:strCache>
                <c:ptCount val="1"/>
                <c:pt idx="0">
                  <c:v>724</c:v>
                </c:pt>
              </c:strCache>
            </c:strRef>
          </c:tx>
          <c:spPr>
            <a:ln w="28575" cap="rnd">
              <a:solidFill>
                <a:schemeClr val="accent3"/>
              </a:solidFill>
              <a:round/>
            </a:ln>
            <a:effectLst/>
          </c:spPr>
          <c:marker>
            <c:symbol val="none"/>
          </c:marker>
          <c:val>
            <c:numRef>
              <c:f>Sheet1!$C$2:$C$11</c:f>
              <c:numCache>
                <c:formatCode>General</c:formatCode>
                <c:ptCount val="10"/>
                <c:pt idx="0">
                  <c:v>4.06</c:v>
                </c:pt>
                <c:pt idx="1">
                  <c:v>9.61</c:v>
                </c:pt>
                <c:pt idx="2">
                  <c:v>7.53</c:v>
                </c:pt>
                <c:pt idx="3">
                  <c:v>4.94</c:v>
                </c:pt>
                <c:pt idx="4">
                  <c:v>36.4</c:v>
                </c:pt>
                <c:pt idx="5">
                  <c:v>6.33</c:v>
                </c:pt>
                <c:pt idx="6">
                  <c:v>6.83</c:v>
                </c:pt>
                <c:pt idx="7">
                  <c:v>31.8</c:v>
                </c:pt>
                <c:pt idx="8">
                  <c:v>5.11</c:v>
                </c:pt>
                <c:pt idx="9">
                  <c:v>69.7</c:v>
                </c:pt>
              </c:numCache>
            </c:numRef>
          </c:val>
          <c:smooth val="0"/>
        </c:ser>
        <c:ser>
          <c:idx val="3"/>
          <c:order val="2"/>
          <c:tx>
            <c:strRef>
              <c:f>Sheet1!$D$1</c:f>
              <c:strCache>
                <c:ptCount val="1"/>
                <c:pt idx="0">
                  <c:v>1024</c:v>
                </c:pt>
              </c:strCache>
            </c:strRef>
          </c:tx>
          <c:spPr>
            <a:ln w="28575" cap="rnd">
              <a:solidFill>
                <a:schemeClr val="accent4"/>
              </a:solidFill>
              <a:round/>
            </a:ln>
            <a:effectLst/>
          </c:spPr>
          <c:marker>
            <c:symbol val="none"/>
          </c:marker>
          <c:val>
            <c:numRef>
              <c:f>Sheet1!$D$2:$D$11</c:f>
              <c:numCache>
                <c:formatCode>General</c:formatCode>
                <c:ptCount val="10"/>
                <c:pt idx="0">
                  <c:v>59.1</c:v>
                </c:pt>
                <c:pt idx="1">
                  <c:v>7.28</c:v>
                </c:pt>
                <c:pt idx="2">
                  <c:v>103</c:v>
                </c:pt>
                <c:pt idx="3">
                  <c:v>45.8</c:v>
                </c:pt>
                <c:pt idx="4">
                  <c:v>43.3</c:v>
                </c:pt>
                <c:pt idx="5">
                  <c:v>69.7</c:v>
                </c:pt>
                <c:pt idx="6">
                  <c:v>157</c:v>
                </c:pt>
                <c:pt idx="7">
                  <c:v>162</c:v>
                </c:pt>
                <c:pt idx="8">
                  <c:v>29.4</c:v>
                </c:pt>
                <c:pt idx="9">
                  <c:v>53.8</c:v>
                </c:pt>
              </c:numCache>
            </c:numRef>
          </c:val>
          <c:smooth val="0"/>
        </c:ser>
        <c:dLbls>
          <c:dLblPos val="r"/>
          <c:showLegendKey val="0"/>
          <c:showVal val="0"/>
          <c:showCatName val="0"/>
          <c:showSerName val="0"/>
          <c:showPercent val="0"/>
          <c:showBubbleSize val="0"/>
        </c:dLbls>
        <c:marker val="0"/>
        <c:smooth val="0"/>
        <c:axId val="543517764"/>
        <c:axId val="500467134"/>
      </c:lineChart>
      <c:catAx>
        <c:axId val="543517764"/>
        <c:scaling>
          <c:orientation val="minMax"/>
        </c:scaling>
        <c:delete val="0"/>
        <c:axPos val="b"/>
        <c:title>
          <c:layout/>
          <c:overlay val="0"/>
          <c:spPr>
            <a:noFill/>
            <a:ln>
              <a:noFill/>
            </a:ln>
            <a:effectLst/>
          </c:spPr>
          <c:txPr>
            <a:bodyPr rot="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500467134"/>
        <c:crosses val="autoZero"/>
        <c:auto val="1"/>
        <c:lblAlgn val="ctr"/>
        <c:lblOffset val="100"/>
        <c:tickMarkSkip val="1"/>
        <c:noMultiLvlLbl val="0"/>
      </c:catAx>
      <c:valAx>
        <c:axId val="500467134"/>
        <c:scaling>
          <c:orientation val="minMax"/>
        </c:scaling>
        <c:delete val="0"/>
        <c:axPos val="l"/>
        <c:majorGridlines>
          <c:spPr>
            <a:noFill/>
            <a:ln w="9525" cap="flat" cmpd="sng" algn="ctr">
              <a:solidFill>
                <a:schemeClr val="tx1">
                  <a:lumMod val="15000"/>
                  <a:lumOff val="85000"/>
                </a:schemeClr>
              </a:solidFill>
              <a:round/>
            </a:ln>
            <a:effectLst/>
          </c:spPr>
        </c:majorGridlines>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x-none" altLang="en-CA" sz="1000" b="0" i="0" u="none" strike="noStrike" kern="1200" cap="none" normalizeH="0" baseline="0">
                    <a:solidFill>
                      <a:schemeClr val="tx1">
                        <a:lumMod val="65000"/>
                        <a:lumOff val="35000"/>
                      </a:schemeClr>
                    </a:solidFill>
                    <a:effectLst/>
                    <a:latin typeface="+mn-lt"/>
                    <a:ea typeface="+mn-ea"/>
                    <a:cs typeface="+mn-cs"/>
                  </a:rPr>
                  <a:t>RTT</a:t>
                </a:r>
                <a:endParaRPr lang="x-none" altLang="en-CA"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543517764"/>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CA" sz="1000" kern="1200">
          <a:solidFill>
            <a:schemeClr val="tx1"/>
          </a:solidFill>
          <a:latin typeface="+mn-lt"/>
          <a:ea typeface="+mn-ea"/>
          <a:cs typeface="+mn-cs"/>
        </a:defRPr>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x-none" altLang="en-CA" sz="1400" b="0" i="0" u="none" strike="noStrike" kern="1200" cap="none" spc="0" normalizeH="0" baseline="0">
                <a:solidFill>
                  <a:schemeClr val="tx1">
                    <a:lumMod val="65000"/>
                    <a:lumOff val="35000"/>
                  </a:schemeClr>
                </a:solidFill>
                <a:effectLst/>
                <a:latin typeface="+mn-lt"/>
                <a:ea typeface="+mn-ea"/>
                <a:cs typeface="+mn-cs"/>
              </a:rPr>
              <a:t>www.baidu.com</a:t>
            </a:r>
            <a:endParaRPr lang="x-none" altLang="en-CA" sz="1400" b="0" i="0" u="none" strike="noStrike" kern="1200" cap="none" spc="0" normalizeH="0" baseline="0">
              <a:solidFill>
                <a:schemeClr val="tx1">
                  <a:lumMod val="65000"/>
                  <a:lumOff val="35000"/>
                </a:schemeClr>
              </a:solidFill>
              <a:effectLst/>
              <a:latin typeface="+mn-lt"/>
              <a:ea typeface="+mn-ea"/>
              <a:cs typeface="+mn-cs"/>
            </a:endParaRPr>
          </a:p>
        </c:rich>
      </c:tx>
      <c:layout/>
      <c:overlay val="0"/>
      <c:spPr>
        <a:noFill/>
        <a:ln>
          <a:noFill/>
        </a:ln>
        <a:effectLst/>
      </c:spPr>
    </c:title>
    <c:autoTitleDeleted val="0"/>
    <c:plotArea>
      <c:layout/>
      <c:lineChart>
        <c:grouping val="standard"/>
        <c:varyColors val="0"/>
        <c:ser>
          <c:idx val="1"/>
          <c:order val="0"/>
          <c:tx>
            <c:strRef>
              <c:f>Sheet1!$B$1</c:f>
              <c:strCache>
                <c:ptCount val="1"/>
                <c:pt idx="0">
                  <c:v>512</c:v>
                </c:pt>
              </c:strCache>
            </c:strRef>
          </c:tx>
          <c:spPr>
            <a:ln w="28575" cap="rnd">
              <a:solidFill>
                <a:schemeClr val="accent2"/>
              </a:solidFill>
              <a:round/>
            </a:ln>
            <a:effectLst/>
          </c:spPr>
          <c:marker>
            <c:symbol val="none"/>
          </c:marker>
          <c:val>
            <c:numRef>
              <c:f>Sheet1!$B$2:$B$11</c:f>
              <c:numCache>
                <c:formatCode>General</c:formatCode>
                <c:ptCount val="10"/>
                <c:pt idx="0">
                  <c:v>252</c:v>
                </c:pt>
                <c:pt idx="1">
                  <c:v>252</c:v>
                </c:pt>
                <c:pt idx="2">
                  <c:v>251</c:v>
                </c:pt>
                <c:pt idx="3">
                  <c:v>252</c:v>
                </c:pt>
                <c:pt idx="4">
                  <c:v>363</c:v>
                </c:pt>
                <c:pt idx="5">
                  <c:v>374</c:v>
                </c:pt>
                <c:pt idx="6">
                  <c:v>251</c:v>
                </c:pt>
                <c:pt idx="7">
                  <c:v>251</c:v>
                </c:pt>
                <c:pt idx="8">
                  <c:v>252</c:v>
                </c:pt>
                <c:pt idx="9">
                  <c:v>252</c:v>
                </c:pt>
              </c:numCache>
            </c:numRef>
          </c:val>
          <c:smooth val="0"/>
        </c:ser>
        <c:ser>
          <c:idx val="2"/>
          <c:order val="1"/>
          <c:tx>
            <c:strRef>
              <c:f>Sheet1!$C$1</c:f>
              <c:strCache>
                <c:ptCount val="1"/>
                <c:pt idx="0">
                  <c:v>724</c:v>
                </c:pt>
              </c:strCache>
            </c:strRef>
          </c:tx>
          <c:spPr>
            <a:ln w="28575" cap="rnd">
              <a:solidFill>
                <a:schemeClr val="accent3"/>
              </a:solidFill>
              <a:round/>
            </a:ln>
            <a:effectLst/>
          </c:spPr>
          <c:marker>
            <c:symbol val="none"/>
          </c:marker>
          <c:val>
            <c:numRef>
              <c:f>Sheet1!$C$2:$C$11</c:f>
              <c:numCache>
                <c:formatCode>General</c:formatCode>
                <c:ptCount val="10"/>
                <c:pt idx="0">
                  <c:v>281</c:v>
                </c:pt>
                <c:pt idx="1">
                  <c:v>252</c:v>
                </c:pt>
                <c:pt idx="2">
                  <c:v>252</c:v>
                </c:pt>
                <c:pt idx="3">
                  <c:v>254</c:v>
                </c:pt>
                <c:pt idx="4">
                  <c:v>252</c:v>
                </c:pt>
                <c:pt idx="5">
                  <c:v>252</c:v>
                </c:pt>
                <c:pt idx="6">
                  <c:v>253</c:v>
                </c:pt>
                <c:pt idx="7">
                  <c:v>254</c:v>
                </c:pt>
                <c:pt idx="8">
                  <c:v>254</c:v>
                </c:pt>
                <c:pt idx="9">
                  <c:v>253</c:v>
                </c:pt>
              </c:numCache>
            </c:numRef>
          </c:val>
          <c:smooth val="0"/>
        </c:ser>
        <c:ser>
          <c:idx val="3"/>
          <c:order val="2"/>
          <c:tx>
            <c:strRef>
              <c:f>Sheet1!$D$1</c:f>
              <c:strCache>
                <c:ptCount val="1"/>
                <c:pt idx="0">
                  <c:v>1024</c:v>
                </c:pt>
              </c:strCache>
            </c:strRef>
          </c:tx>
          <c:spPr>
            <a:ln w="28575" cap="rnd">
              <a:solidFill>
                <a:schemeClr val="accent4"/>
              </a:solidFill>
              <a:round/>
            </a:ln>
            <a:effectLst/>
          </c:spPr>
          <c:marker>
            <c:symbol val="none"/>
          </c:marker>
          <c:val>
            <c:numRef>
              <c:f>Sheet1!$D$2:$D$11</c:f>
              <c:numCache>
                <c:formatCode>General</c:formatCode>
                <c:ptCount val="10"/>
                <c:pt idx="0">
                  <c:v>253</c:v>
                </c:pt>
                <c:pt idx="1">
                  <c:v>252</c:v>
                </c:pt>
                <c:pt idx="2">
                  <c:v>253</c:v>
                </c:pt>
                <c:pt idx="3">
                  <c:v>254</c:v>
                </c:pt>
                <c:pt idx="4">
                  <c:v>254</c:v>
                </c:pt>
                <c:pt idx="5">
                  <c:v>253</c:v>
                </c:pt>
                <c:pt idx="6">
                  <c:v>256</c:v>
                </c:pt>
                <c:pt idx="7">
                  <c:v>253</c:v>
                </c:pt>
                <c:pt idx="8">
                  <c:v>253</c:v>
                </c:pt>
                <c:pt idx="9">
                  <c:v>252</c:v>
                </c:pt>
              </c:numCache>
            </c:numRef>
          </c:val>
          <c:smooth val="0"/>
        </c:ser>
        <c:dLbls>
          <c:dLblPos val="r"/>
          <c:showLegendKey val="0"/>
          <c:showVal val="0"/>
          <c:showCatName val="0"/>
          <c:showSerName val="0"/>
          <c:showPercent val="0"/>
          <c:showBubbleSize val="0"/>
        </c:dLbls>
        <c:marker val="0"/>
        <c:smooth val="0"/>
        <c:axId val="543517764"/>
        <c:axId val="500467134"/>
      </c:lineChart>
      <c:catAx>
        <c:axId val="543517764"/>
        <c:scaling>
          <c:orientation val="minMax"/>
        </c:scaling>
        <c:delete val="0"/>
        <c:axPos val="b"/>
        <c:title>
          <c:layout/>
          <c:overlay val="0"/>
          <c:spPr>
            <a:noFill/>
            <a:ln>
              <a:noFill/>
            </a:ln>
            <a:effectLst/>
          </c:spPr>
          <c:txPr>
            <a:bodyPr rot="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500467134"/>
        <c:crosses val="autoZero"/>
        <c:auto val="1"/>
        <c:lblAlgn val="ctr"/>
        <c:lblOffset val="100"/>
        <c:tickMarkSkip val="1"/>
        <c:noMultiLvlLbl val="0"/>
      </c:catAx>
      <c:valAx>
        <c:axId val="500467134"/>
        <c:scaling>
          <c:orientation val="minMax"/>
        </c:scaling>
        <c:delete val="0"/>
        <c:axPos val="l"/>
        <c:majorGridlines>
          <c:spPr>
            <a:noFill/>
            <a:ln w="9525" cap="flat" cmpd="sng" algn="ctr">
              <a:solidFill>
                <a:schemeClr val="tx1">
                  <a:lumMod val="15000"/>
                  <a:lumOff val="85000"/>
                </a:schemeClr>
              </a:solidFill>
              <a:round/>
            </a:ln>
            <a:effectLst/>
          </c:spPr>
        </c:majorGridlines>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x-none" altLang="en-CA" sz="1000" b="0" i="0" u="none" strike="noStrike" kern="1200" cap="none" normalizeH="0" baseline="0">
                    <a:solidFill>
                      <a:schemeClr val="tx1">
                        <a:lumMod val="65000"/>
                        <a:lumOff val="35000"/>
                      </a:schemeClr>
                    </a:solidFill>
                    <a:effectLst/>
                    <a:latin typeface="+mn-lt"/>
                    <a:ea typeface="+mn-ea"/>
                    <a:cs typeface="+mn-cs"/>
                  </a:rPr>
                  <a:t>RTT</a:t>
                </a:r>
                <a:endParaRPr lang="x-none" altLang="en-CA"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543517764"/>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CA" sz="1000" kern="1200">
          <a:solidFill>
            <a:schemeClr val="tx1"/>
          </a:solidFill>
          <a:latin typeface="+mn-lt"/>
          <a:ea typeface="+mn-ea"/>
          <a:cs typeface="+mn-cs"/>
        </a:defRPr>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x-none" altLang="en-CA" sz="1400" b="0" i="0" u="none" strike="noStrike" kern="1200" cap="none" spc="0" normalizeH="0" baseline="0">
                <a:solidFill>
                  <a:schemeClr val="tx1">
                    <a:lumMod val="65000"/>
                    <a:lumOff val="35000"/>
                  </a:schemeClr>
                </a:solidFill>
                <a:effectLst/>
                <a:latin typeface="+mn-lt"/>
                <a:ea typeface="+mn-ea"/>
                <a:cs typeface="+mn-cs"/>
              </a:rPr>
              <a:t>www.sina.cn</a:t>
            </a:r>
            <a:endParaRPr lang="x-none" altLang="en-CA" sz="1400" b="0" i="0" u="none" strike="noStrike" kern="1200" cap="none" spc="0" normalizeH="0" baseline="0">
              <a:solidFill>
                <a:schemeClr val="tx1">
                  <a:lumMod val="65000"/>
                  <a:lumOff val="35000"/>
                </a:schemeClr>
              </a:solidFill>
              <a:effectLst/>
              <a:latin typeface="+mn-lt"/>
              <a:ea typeface="+mn-ea"/>
              <a:cs typeface="+mn-cs"/>
            </a:endParaRPr>
          </a:p>
        </c:rich>
      </c:tx>
      <c:layout/>
      <c:overlay val="0"/>
      <c:spPr>
        <a:noFill/>
        <a:ln>
          <a:noFill/>
        </a:ln>
        <a:effectLst/>
      </c:spPr>
    </c:title>
    <c:autoTitleDeleted val="0"/>
    <c:plotArea>
      <c:layout/>
      <c:lineChart>
        <c:grouping val="standard"/>
        <c:varyColors val="0"/>
        <c:ser>
          <c:idx val="1"/>
          <c:order val="0"/>
          <c:tx>
            <c:strRef>
              <c:f>Sheet1!$B$1</c:f>
              <c:strCache>
                <c:ptCount val="1"/>
                <c:pt idx="0">
                  <c:v>512</c:v>
                </c:pt>
              </c:strCache>
            </c:strRef>
          </c:tx>
          <c:spPr>
            <a:ln w="28575" cap="rnd">
              <a:solidFill>
                <a:schemeClr val="accent2"/>
              </a:solidFill>
              <a:round/>
            </a:ln>
            <a:effectLst/>
          </c:spPr>
          <c:marker>
            <c:symbol val="none"/>
          </c:marker>
          <c:val>
            <c:numRef>
              <c:f>Sheet1!$B$2:$B$11</c:f>
              <c:numCache>
                <c:formatCode>General</c:formatCode>
                <c:ptCount val="10"/>
                <c:pt idx="0">
                  <c:v>204</c:v>
                </c:pt>
                <c:pt idx="1">
                  <c:v>216</c:v>
                </c:pt>
                <c:pt idx="2">
                  <c:v>222</c:v>
                </c:pt>
                <c:pt idx="3">
                  <c:v>215</c:v>
                </c:pt>
                <c:pt idx="4">
                  <c:v>226</c:v>
                </c:pt>
                <c:pt idx="5">
                  <c:v>223</c:v>
                </c:pt>
                <c:pt idx="6">
                  <c:v>211</c:v>
                </c:pt>
                <c:pt idx="7">
                  <c:v>227</c:v>
                </c:pt>
                <c:pt idx="8">
                  <c:v>221</c:v>
                </c:pt>
                <c:pt idx="9">
                  <c:v>221</c:v>
                </c:pt>
              </c:numCache>
            </c:numRef>
          </c:val>
          <c:smooth val="0"/>
        </c:ser>
        <c:ser>
          <c:idx val="2"/>
          <c:order val="1"/>
          <c:tx>
            <c:strRef>
              <c:f>Sheet1!$C$1</c:f>
              <c:strCache>
                <c:ptCount val="1"/>
                <c:pt idx="0">
                  <c:v>724</c:v>
                </c:pt>
              </c:strCache>
            </c:strRef>
          </c:tx>
          <c:spPr>
            <a:ln w="28575" cap="rnd">
              <a:solidFill>
                <a:schemeClr val="accent3"/>
              </a:solidFill>
              <a:round/>
            </a:ln>
            <a:effectLst/>
          </c:spPr>
          <c:marker>
            <c:symbol val="none"/>
          </c:marker>
          <c:val>
            <c:numRef>
              <c:f>Sheet1!$C$2:$C$11</c:f>
              <c:numCache>
                <c:formatCode>General</c:formatCode>
                <c:ptCount val="10"/>
                <c:pt idx="0">
                  <c:v>226</c:v>
                </c:pt>
                <c:pt idx="1">
                  <c:v>240</c:v>
                </c:pt>
                <c:pt idx="2">
                  <c:v>227</c:v>
                </c:pt>
                <c:pt idx="3">
                  <c:v>242</c:v>
                </c:pt>
                <c:pt idx="4">
                  <c:v>230</c:v>
                </c:pt>
                <c:pt idx="5">
                  <c:v>230</c:v>
                </c:pt>
                <c:pt idx="6">
                  <c:v>240</c:v>
                </c:pt>
                <c:pt idx="7">
                  <c:v>243</c:v>
                </c:pt>
                <c:pt idx="8">
                  <c:v>245</c:v>
                </c:pt>
                <c:pt idx="9">
                  <c:v>237</c:v>
                </c:pt>
              </c:numCache>
            </c:numRef>
          </c:val>
          <c:smooth val="0"/>
        </c:ser>
        <c:ser>
          <c:idx val="3"/>
          <c:order val="2"/>
          <c:tx>
            <c:strRef>
              <c:f>Sheet1!$D$1</c:f>
              <c:strCache>
                <c:ptCount val="1"/>
                <c:pt idx="0">
                  <c:v>1024</c:v>
                </c:pt>
              </c:strCache>
            </c:strRef>
          </c:tx>
          <c:spPr>
            <a:ln w="28575" cap="rnd">
              <a:solidFill>
                <a:schemeClr val="accent4"/>
              </a:solidFill>
              <a:round/>
            </a:ln>
            <a:effectLst/>
          </c:spPr>
          <c:marker>
            <c:symbol val="none"/>
          </c:marker>
          <c:val>
            <c:numRef>
              <c:f>Sheet1!$D$2:$D$11</c:f>
              <c:numCache>
                <c:formatCode>General</c:formatCode>
                <c:ptCount val="10"/>
                <c:pt idx="0">
                  <c:v>226</c:v>
                </c:pt>
                <c:pt idx="1">
                  <c:v>225</c:v>
                </c:pt>
                <c:pt idx="2">
                  <c:v>209</c:v>
                </c:pt>
                <c:pt idx="3">
                  <c:v>208</c:v>
                </c:pt>
                <c:pt idx="4">
                  <c:v>220</c:v>
                </c:pt>
                <c:pt idx="5">
                  <c:v>227</c:v>
                </c:pt>
                <c:pt idx="6">
                  <c:v>216</c:v>
                </c:pt>
                <c:pt idx="7">
                  <c:v>225</c:v>
                </c:pt>
                <c:pt idx="8">
                  <c:v>242</c:v>
                </c:pt>
                <c:pt idx="9">
                  <c:v>217</c:v>
                </c:pt>
              </c:numCache>
            </c:numRef>
          </c:val>
          <c:smooth val="0"/>
        </c:ser>
        <c:dLbls>
          <c:dLblPos val="r"/>
          <c:showLegendKey val="0"/>
          <c:showVal val="0"/>
          <c:showCatName val="0"/>
          <c:showSerName val="0"/>
          <c:showPercent val="0"/>
          <c:showBubbleSize val="0"/>
        </c:dLbls>
        <c:marker val="0"/>
        <c:smooth val="0"/>
        <c:axId val="543517764"/>
        <c:axId val="500467134"/>
      </c:lineChart>
      <c:catAx>
        <c:axId val="543517764"/>
        <c:scaling>
          <c:orientation val="minMax"/>
        </c:scaling>
        <c:delete val="0"/>
        <c:axPos val="b"/>
        <c:title>
          <c:layout/>
          <c:overlay val="0"/>
          <c:spPr>
            <a:noFill/>
            <a:ln>
              <a:noFill/>
            </a:ln>
            <a:effectLst/>
          </c:spPr>
          <c:txPr>
            <a:bodyPr rot="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500467134"/>
        <c:crosses val="autoZero"/>
        <c:auto val="1"/>
        <c:lblAlgn val="ctr"/>
        <c:lblOffset val="100"/>
        <c:tickMarkSkip val="1"/>
        <c:noMultiLvlLbl val="0"/>
      </c:catAx>
      <c:valAx>
        <c:axId val="500467134"/>
        <c:scaling>
          <c:orientation val="minMax"/>
        </c:scaling>
        <c:delete val="0"/>
        <c:axPos val="l"/>
        <c:majorGridlines>
          <c:spPr>
            <a:noFill/>
            <a:ln w="9525" cap="flat" cmpd="sng" algn="ctr">
              <a:solidFill>
                <a:schemeClr val="tx1">
                  <a:lumMod val="15000"/>
                  <a:lumOff val="85000"/>
                </a:schemeClr>
              </a:solidFill>
              <a:round/>
            </a:ln>
            <a:effectLst/>
          </c:spPr>
        </c:majorGridlines>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x-none" altLang="en-CA" sz="1000" b="0" i="0" u="none" strike="noStrike" kern="1200" cap="none" normalizeH="0" baseline="0">
                    <a:solidFill>
                      <a:schemeClr val="tx1">
                        <a:lumMod val="65000"/>
                        <a:lumOff val="35000"/>
                      </a:schemeClr>
                    </a:solidFill>
                    <a:effectLst/>
                    <a:latin typeface="+mn-lt"/>
                    <a:ea typeface="+mn-ea"/>
                    <a:cs typeface="+mn-cs"/>
                  </a:rPr>
                  <a:t>RTT</a:t>
                </a:r>
                <a:endParaRPr lang="x-none" altLang="en-CA"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543517764"/>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CA" sz="1000" kern="1200">
          <a:solidFill>
            <a:schemeClr val="tx1"/>
          </a:solidFill>
          <a:latin typeface="+mn-lt"/>
          <a:ea typeface="+mn-ea"/>
          <a:cs typeface="+mn-cs"/>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555555"/>
      </a:dk1>
      <a:lt1>
        <a:sysClr val="window" lastClr="F9F9F9"/>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2017-09-25T09:34:00Z</dcterms:created>
  <dc:creator>seraphimlyx</dc:creator>
  <cp:lastModifiedBy>searphimlyx</cp:lastModifiedBy>
  <dcterms:modified xsi:type="dcterms:W3CDTF">2017-10-03T21:38:56Z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4105-10.1.0.5672</vt:lpwstr>
  </property>
</Properties>
</file>