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 Shift in Local Agentic Architectures: Comparative Taxonomy of Resource-Conservative, Local-First Agent Frameworks and Upgradability Pathways to High-Capability Autonomy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stateless, prompt-driven conversational interfaces to autonomous, stateful agentic runtimes marks a fundamental evolution in how local machine learning models are deployed. Rather than waiting passively for structured inputs, modern agents proactively reason, execute multi-step workflows, and manipulate external tools to achieve complex objectives. However, this operational autonomy has introduced a critical challenge: high-capability agent runtimes—exemplified by state-of-the-art frameworks like the Nous Research Hermes Agent—often execute intensive inference loops and maintain persistent databases that rapidly overwhelm local hardware limitations. For developers running models locally on consumer-grade hardware, this context and resource inflation presents an immediate barrier, leading to VRAM saturation, computational bottlenecks, and high latency.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these limitations, this report evaluates free, open-source, and card-free local agent frameworks that prioritize resource conservation. The evaluation focuses on architectures that minimize their initial token footprint and operational overhead, while preserving a clear mathematical and structural pathway to scale gradually toward the self-improving memory and multi-agent capabilities of advanced runtimes like Hermes. Special priority is given to frameworks that maintain native or robust integration with LiteLLM to enable precise token management, customized model routing, and centralized cost tracking across local serving infrastructures.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Agentic Inversion: VRAM Bottlenecks, KV Cache Invalidation, and Token Saturation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high-capability agents locally requires hosting both the orchestrating framework and the underlying model on local hardware, typically managed via engines such as Ollama, LM Studio, or vLLM. In unoptimized, stateless setups, every turn of an agent's reasoning loop requires sending the entire conversation history, system instructions, and tool definitions back to the model. This forces a computationally expensive "prefill" phase that linearly projects input tokens into Key (</w:t>
      </w:r>
      <w:r w:rsidDel="00000000" w:rsidR="00000000" w:rsidRPr="00000000">
        <w:rPr>
          <w:rFonts w:ascii="Google Sans" w:cs="Google Sans" w:eastAsia="Google Sans" w:hAnsi="Google Sans"/>
          <w:color w:val="1f1f1f"/>
        </w:rPr>
        <w:drawing>
          <wp:inline distB="19050" distT="19050" distL="19050" distR="19050">
            <wp:extent cx="180261" cy="250797"/>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80261" cy="250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Value (</w:t>
      </w:r>
      <w:r w:rsidDel="00000000" w:rsidR="00000000" w:rsidRPr="00000000">
        <w:rPr>
          <w:rFonts w:ascii="Google Sans" w:cs="Google Sans" w:eastAsia="Google Sans" w:hAnsi="Google Sans"/>
          <w:color w:val="1f1f1f"/>
        </w:rPr>
        <w:drawing>
          <wp:inline distB="19050" distT="19050" distL="19050" distR="19050">
            <wp:extent cx="157758" cy="240393"/>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7758" cy="240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tensors.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local serving engines utilize prefix-based Key-Value (KV) caching to store the computed mathematical states of static prompt components in GPU high-bandwidth memory. In Ollama, for example, prompt caching is implicit and relies on strict byte-for-byte matching of the prompt prefix. However, this caching mechanism is highly fragile and is easily invalidated by three primary architectural patterns common in unoptimized agent frameworks: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Prefix Mutation:</w:t>
      </w:r>
      <w:r w:rsidDel="00000000" w:rsidR="00000000" w:rsidRPr="00000000">
        <w:rPr>
          <w:rFonts w:ascii="Google Sans" w:cs="Google Sans" w:eastAsia="Google Sans" w:hAnsi="Google Sans"/>
          <w:color w:val="1f1f1f"/>
          <w:rtl w:val="0"/>
        </w:rPr>
        <w:t xml:space="preserve"> Inserting real-time variables—such as dynamic timestamps, directory paths, or session-specific metadata—at the beginning of the system prompt shifts the token sequence, causing a complete cache miss and forcing full re-computation of the entire context window.</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Unstructured History Accumulation:</w:t>
      </w:r>
      <w:r w:rsidDel="00000000" w:rsidR="00000000" w:rsidRPr="00000000">
        <w:rPr>
          <w:rFonts w:ascii="Google Sans" w:cs="Google Sans" w:eastAsia="Google Sans" w:hAnsi="Google Sans"/>
          <w:color w:val="1f1f1f"/>
          <w:rtl w:val="0"/>
        </w:rPr>
        <w:t xml:space="preserve"> As the conversation progresses, frameworks that append raw, verbose tool outputs, system diagnostics, and entire files into the active message array cause the context to balloon. This results in exponential latency increases during the attention phase of local models.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VRAM Eviction and Lifecycles:</w:t>
      </w:r>
      <w:r w:rsidDel="00000000" w:rsidR="00000000" w:rsidRPr="00000000">
        <w:rPr>
          <w:rFonts w:ascii="Google Sans" w:cs="Google Sans" w:eastAsia="Google Sans" w:hAnsi="Google Sans"/>
          <w:color w:val="1f1f1f"/>
          <w:rtl w:val="0"/>
        </w:rPr>
        <w:t xml:space="preserve"> Local serving engines typically unload models and discard the active KV cache after a default period of inactivity, such as five minutes in Ollama. This requires setting explicit configuration overrides, such as keeping models loaded indefinitely via the keep_alive parameter.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fully realized autonomous agents like Hermes utilize dense, multi-thousand-token system instructions, comprehensive default toolsets, and highly verbose skill files. A stock Hermes deployment can easily exceed 16,000 tokens in base configuration before processing a single user query. When running on local hardware restricted to modest context limits (such as 32,000 or 64,000 tokens), this baseline bloat triggers premature context compaction cycles, degrading the system's focus and introducing errors into the cognitive trajectory. Consequently, an optimized local agent must initiate with a barebones, zero-overhead structure, employing aggressive prompt hygiene and modularity to scale up only when the complexity of the task demands it.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Evaluation and Ranking Matrix of Downloadable Local Agent Frameworks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taxonomy ranks five free, open-source, local-first agent frameworks based on their initial token footprint, prompt caching efficiency, native LiteLLM compatibility, resource-tracking capabilities, and progression pathway to advanced autonomy.</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Framework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Native LiteLLM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Initial Token Footprint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&amp; Context Compaction Controls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Upgradability to Hermes-Level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&amp; VRAM Resource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Hugging Face smolagents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Ultra-Low</w:t>
            </w:r>
            <w:r w:rsidDel="00000000" w:rsidR="00000000" w:rsidRPr="00000000">
              <w:rPr>
                <w:rFonts w:ascii="Google Sans" w:cs="Google Sans" w:eastAsia="Google Sans" w:hAnsi="Google Sans"/>
                <w:color w:val="1f1f1f"/>
                <w:rtl w:val="0"/>
              </w:rPr>
              <w:t xml:space="preserve"> (Barebones, code-centric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(Supports custom tool output filtering &amp; Supervisor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(Highly extensible, custom tool subclassing, multi-agent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(Single-process, lightweight package)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Pydantic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(via integration library)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(Highly controlled, type-safe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(Granular, programmatic history processors)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Outstanding (Durable workflows, Temporal integration, Agent-to-Agent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(Requires asynchronous Python environment)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Phidata (Agno)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(via OpenAI-compatible routers)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Low-Medium</w:t>
            </w:r>
            <w:r w:rsidDel="00000000" w:rsidR="00000000" w:rsidRPr="00000000">
              <w:rPr>
                <w:rFonts w:ascii="Google Sans" w:cs="Google Sans" w:eastAsia="Google Sans" w:hAnsi="Google Sans"/>
                <w:color w:val="1f1f1f"/>
                <w:rtl w:val="0"/>
              </w:rPr>
              <w:t xml:space="preserve"> (Modular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(Built-in chat history limits &amp; database summaries)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(Self-improving memory DBs, multi-agent teams, reasoning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(Sqlite/Postgres dependencies for persistent storage)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CrewAI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(Duplicated agent profiles &amp; backstories)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(Auto-summarization on context overflow)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(Out-of-the-box role-playing and collaborative teams)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(High overhead from concurrent multi-agent processes)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Microsoft AutoGen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(via OpenAI-compatible wrappers)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Very High</w:t>
            </w:r>
            <w:r w:rsidDel="00000000" w:rsidR="00000000" w:rsidRPr="00000000">
              <w:rPr>
                <w:rFonts w:ascii="Google Sans" w:cs="Google Sans" w:eastAsia="Google Sans" w:hAnsi="Google Sans"/>
                <w:color w:val="1f1f1f"/>
                <w:rtl w:val="0"/>
              </w:rPr>
              <w:t xml:space="preserve"> (Verbose coordination prompts)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(Prone to execution loops; lacks granular native compaction)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Exceptional (Distributed runtimes, cryptographic policy gating)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(Complex distributed execution model)</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Technical Profiles: Resource Control Complexity vs. Scaling Mechanics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smolagents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Face's smolagents is a lightweight, barebones framework built around the mathematical elegance of code-centric execution. Unlike standard JSON or text-based function-calling agents that interact with their environment by generating structured data payloads over several successive prompt-completion turns, smolagents instructs the underlying model to write executable Python code blocks directly. This code is then executed locally in a secure, sandboxed environment.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consolidating multi-step logical operations into a single programmatic block, the framework reduces the number of required LLM calls, substantially lowering the cumulative token footprint and minimizing VRAM-latency spikes. The platform integrates natively with LiteLLM via the LiteLLMModel class, allowing direct manipulation of model arguments, context windows, and token ceilings.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extreme resource conservation, smolagents can be initiated using the TransformersModel class to run on local transformer pipelines, or the HfApiModel class to leverage Hugging Face's serverless Inference API. This allows developers to run the agentic brain entirely in the cloud for free, keeping the local hardware footprint near zero. In ultra-conservative local edge scenarios, developers can pair this setup with native browser engines (such as the Web Speech API) or lightweight, standalone 46MB executables built via sherpa-onnx and LiteLLM, completely bypassing Python environment overhead on the client machine.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scaling to complex tasks, token footprint optimization can be achieved by deploying secondary supervisor models (such as SupervisorAgent), which dynamically monitor high-risk interaction points and purify tool observations before they are written to the main context, reducing token consumption by an average of 29.68% on standardized agent benchmarks. As the agent's responsibilities expand toward Hermes-level capability, developers can subclass the core Tool class to implement custom skill standards, build multi-agent delegation pipelines, and integrate vector databases (such as ApertureDB) to handle agentic Retrieval-Augmented Generation (RAG) tasks without overloading the prompt.</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AI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AI is a developer-first, model-agnostic agent framework designed to bring type safety, structured validation, and runtime predictability to artificial intelligence workflows. Rather than relying on rigid, high-level abstractions, Pydantic AI exposes a clean Pythonic model where capabilities—such as tools, system settings, and custom models—are composed directly on top of standard Python classes.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token conservation, Pydantic AI provides complete, programmatic control over the conversation history through the use of customizable history processors. Developers can register custom functions that run immediately before an LLM request is initiated, allowing them to trim, prune, or compress the active message history. This prevents the context window from filling up with stale or redundant messages.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early issue in the framework occurred when a history processor removed messages generated during an active run, causing the internal new_messages() index to go negative and return incorrect results. However, recent updates have corrected this behavior by implementing proper bounds checking and mapping unique, run-specific identifiers (run_id) to ensure that real-time context manipulation remains stable.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Pydantic AI History Processor Loop</w:t>
        <w:br w:type="textWrapping"/>
        <w:t xml:space="preserve">  +---------------------------------------------------------------------------------+</w:t>
        <w:br w:type="textWrapping"/>
        <w:t xml:space="preserve">  |                                                                                 |</w:t>
        <w:br w:type="textWrapping"/>
        <w:t xml:space="preserve">  v                                                                                 |</w:t>
        <w:br w:type="textWrapping"/>
        <w:t xml:space="preserve"> ---&gt; [Generate Messages] ---&gt; ---&gt; [Model Call] ---&gt; ------+</w:t>
        <w:br w:type="textWrapping"/>
        <w:t xml:space="preserve">                                          |</w:t>
        <w:br w:type="textWrapping"/>
        <w:t xml:space="preserve">                                          v</w:t>
        <w:br w:type="textWrapping"/>
        <w:t xml:space="preserve">                              (Prune/Summarize Context)</w:t>
        <w:br w:type="textWrapping"/>
        <w:t xml:space="preserve">                                          |</w:t>
        <w:br w:type="textWrapping"/>
        <w:t xml:space="preserve">                                          v</w:t>
        <w:br w:type="textWrapping"/>
        <w:t xml:space="preserve">                              (Reset new_message_index)</w:t>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AI integrates seamlessly with the pydantic-ai-litellm library, enabling unified access to over 100 LLM providers while supporting tool calling, streaming, and structured JSON validation. For monitoring and evaluation, it integrates natively with Logfire, allowing real-time tracking of token usage, API latencies, and transaction costs via the logfire.instrument_litellm() method.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toward the multi-agent capabilities of Hermes, Pydantic AI supports the Agent-to-Agent (A2A) protocol. By invoking the to_a2a() method, developers can expose any Pydantic AI agent as an A2A-compliant server. This server can be registered with the LiteLLM Gateway, enabling distributed multi-agent routing, secure virtual keys, and multi-tenant cost tracking across self-hosted and cloud APIs.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by integrating Pydantic AI with the Temporal workflow engine, agents can achieve durable execution. This ensures that complex, long-running workflows can survive server restarts and network interruptions, maintaining their conversation state in a persistent database rather than forcing a full-context replay on every error.</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Phidata (Agno)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Phidata is a highly modular open-source framework designed to equip language models with structured memory, domain-specific knowledge bases, and custom tools. The framework's core philosophy centers on keeping agents lightweight and efficient by decoupling cognitive capabilities from the base language model.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Phidata is notable for pioneering the "Auto-RAG" (Agentic RAG) paradigm. Under standard RAG setups, developers often retrieve a large volume of document context and insert it directly into the prompt on every turn, which rapidly exhausts the model's context window and inflates API costs. In contrast, Phidata's Auto-RAG equips the agent with direct access to a local vector database (such as LanceDB). This allows the agent to search and retrieve only the specific information it needs to complete a given subtask, significantly reducing the active token footprint and improving response quality.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context length, Phidata provides three core memory features:</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Truncated Chat History:</w:t>
      </w:r>
      <w:r w:rsidDel="00000000" w:rsidR="00000000" w:rsidRPr="00000000">
        <w:rPr>
          <w:rFonts w:ascii="Google Sans" w:cs="Google Sans" w:eastAsia="Google Sans" w:hAnsi="Google Sans"/>
          <w:color w:val="1f1f1f"/>
          <w:rtl w:val="0"/>
        </w:rPr>
        <w:t xml:space="preserve"> Rather than feeding the entire raw dialogue history into the LLM on every turn, Phidata limits the context by only sending a small window of previous interactions. Developers can configure this behavior using the num_history_responses parameter, which defaults to sending only the last 3 to 5 messages.</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Automatic Session Summaries:</w:t>
      </w:r>
      <w:r w:rsidDel="00000000" w:rsidR="00000000" w:rsidRPr="00000000">
        <w:rPr>
          <w:rFonts w:ascii="Google Sans" w:cs="Google Sans" w:eastAsia="Google Sans" w:hAnsi="Google Sans"/>
          <w:color w:val="1f1f1f"/>
          <w:rtl w:val="0"/>
        </w:rPr>
        <w:t xml:space="preserve"> When a conversation becomes too lengthy, Phidata automatically generates a concise summary of the conversation. This summary is stored in a database (such as SQLite or PostgreSQL) via AgentStorage and is appended directly to the prompt when the chat history gets too long, allowing the model to maintain long-term context without carrying verbose raw messages.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User Memories:</w:t>
      </w:r>
      <w:r w:rsidDel="00000000" w:rsidR="00000000" w:rsidRPr="00000000">
        <w:rPr>
          <w:rFonts w:ascii="Google Sans" w:cs="Google Sans" w:eastAsia="Google Sans" w:hAnsi="Google Sans"/>
          <w:color w:val="1f1f1f"/>
          <w:rtl w:val="0"/>
        </w:rPr>
        <w:t xml:space="preserve"> Instead of relying on the model to continually re-read past messages to understand user preferences, Phidata utilizes a classification and extraction engine. This system automatically extracts specific notes and insights about the user (e.g., specific rules, preferences, or project guidelines) and stores them directly in the database (AgentMemory with create_user_memories=True). This allows the agent to personalize its responses using a tiny fraction of the tokens that would otherwise be required to parse through the entire history of past personal disclosures.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Phidata toward Hermes-level capability, developers can transition from a basic local SQLite memory setup to persistent, production-grade databases (such as PgVector) for hybrid relational and vector workloads. This enables the creation of collaborative multi-agent teams, structured data extraction pipelines, and advanced reasoning loops that allow agents to plan and self-correct on complex logical tasks.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AutoGen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AutoGen is a powerful framework built around event-driven, graph-based agent workflows. It is engineered for highly customizable multi-agent conversations and distributed runtimes.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highly scalable, AutoGen's high-level multi-agent communication pattern is prone to runaway execution loops. For example, if two agents get stuck in a recursive critique loop (e.g., debating code formatting standards indefinitely), they can quickly consume significant compute and VRAM resources. To control these costs on local deployments, developers must deploy external proxies like AWX Shredder. AWX Shredder sits between the AutoGen agent and the LLM API (by updating the OPENAI_BASE_URL environment variable), enforcing hard daily token and financial budgets per agent or project, and cleanly halting the conversation before expensive API calls are made.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AutoGen for resource conservation, developers should migrate toward structured, graph-based workflows. AutoGen's older, conversational AssistantAgent pattern has been updated in newer versions of the framework to center on a typed, graph-based Workflow that routes structured messages along defined edges.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allows developers to replace open-ended multi-agent chats with deterministic execution graphs. Developers can configure specific join behaviors (such as target-side activation), group execution edges, and establish hard token budget limits at the coordination layer before execution. This structural containment allows developers to run complex multi-agent teams while maintaining strict control over VRAM and API costs.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CrewAI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CrewAI is a collaborative framework designed to coordinate role-playing, multi-agent teams to perform structured tasks. The framework leverages YAML configurations and structured workflows to manage multi-agent environments.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Natively, the framework handles context limits by monitoring the active window and automatically summarizing the dialogue history when respect_context_window is set to True. When the conversation history grows too large, CrewAI automatically detects the overflow, generates a concise summary of the conversation, and continues the execution seamlessly with the summarized context, preserving key information while reducing the overall token count.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because CrewAI is built around a role-playing paradigm where each agent requires a unique role, goal, and detailed background story, it duplicates verbose prompt instructions across all participants in the crew. This structural design makes it difficult to optimize for token conservation on restricted local VRAM setups, despite its impressive collaborative scaling capabilities.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Engineering, Memory Compression, and Cache-Aware Design Patterns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transition a local agentic setup from a resource-conservative baseline to Hermes-level performance, developers must strategically balance execution efficiency with cognitive upgradability. This structural scaling can be achieved by implementing six core context engineering and memory compression techniques.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Code-Centric Tool Execution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from JSON-based tool calls to executable code blocks is one of the most effective ways to conserve local tokens. Consider a scenario where an agent needs to calculate mathematical anomalies across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files. In a standard JSON-based ReAct loop, the agent must perform a sequence of independent tool calls: request file list, receive file list, read file 1, receive file 1 content, analyze file 1, read file 2, and so on. This multi-turn conversation quickly bloats the context window.</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can model the cumulative token cost </w:t>
      </w:r>
      <w:r w:rsidDel="00000000" w:rsidR="00000000" w:rsidRPr="00000000">
        <w:rPr>
          <w:rFonts w:ascii="Google Sans" w:cs="Google Sans" w:eastAsia="Google Sans" w:hAnsi="Google Sans"/>
          <w:color w:val="1f1f1f"/>
        </w:rPr>
        <w:drawing>
          <wp:inline distB="19050" distT="19050" distL="19050" distR="19050">
            <wp:extent cx="527090" cy="248042"/>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7090" cy="248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standard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-step JSON loop without prompt caching as: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93726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00500" cy="93726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83857" cy="245669"/>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3857" cy="245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static system prompt size (including tool definitions) and </w:t>
      </w:r>
      <w:r w:rsidDel="00000000" w:rsidR="00000000" w:rsidRPr="00000000">
        <w:rPr>
          <w:rFonts w:ascii="Google Sans" w:cs="Google Sans" w:eastAsia="Google Sans" w:hAnsi="Google Sans"/>
          <w:color w:val="1f1f1f"/>
        </w:rPr>
        <w:drawing>
          <wp:inline distB="19050" distT="19050" distL="19050" distR="19050">
            <wp:extent cx="400169" cy="246258"/>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0169" cy="246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average token size of a single user turn and its corresponding tool observation. Assuming a base instruction of 4,000 tokens, a turn size of 800 tokens, and 8 steps: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73914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0050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a Code Agent handles this entire workflow within a single LLM call by generating a single, cohesive Python script: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t xml:space="preserve">anomalies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file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os.listdir(</w:t>
      </w:r>
      <w:r w:rsidDel="00000000" w:rsidR="00000000" w:rsidRPr="00000000">
        <w:rPr>
          <w:rFonts w:ascii="Google Sans" w:cs="Google Sans" w:eastAsia="Google Sans" w:hAnsi="Google Sans"/>
          <w:i w:val="0"/>
          <w:iCs w:val="0"/>
          <w:color w:val="60d673"/>
          <w:sz w:val="20"/>
          <w:szCs w:val="20"/>
          <w:shd w:fill="141414" w:val="clear"/>
          <w:rtl w:val="0"/>
        </w:rPr>
        <w:t xml:space="preserve">"./data"</w:t>
      </w:r>
      <w:r w:rsidDel="00000000" w:rsidR="00000000" w:rsidRPr="00000000">
        <w:rPr>
          <w:rFonts w:ascii="Google Sans" w:cs="Google Sans" w:eastAsia="Google Sans" w:hAnsi="Google Sans"/>
          <w:color w:val="1f1f1f"/>
          <w:shd w:fill="141414" w:val="clear"/>
          <w:rtl w:val="0"/>
        </w:rPr>
        <w:t xml:space="preserve">):</w:t>
        <w:br w:type="textWrapping"/>
        <w:t xml:space="preserve">    content =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f"./data/{file}"</w:t>
      </w:r>
      <w:r w:rsidDel="00000000" w:rsidR="00000000" w:rsidRPr="00000000">
        <w:rPr>
          <w:rFonts w:ascii="Google Sans" w:cs="Google Sans" w:eastAsia="Google Sans" w:hAnsi="Google Sans"/>
          <w:color w:val="1f1f1f"/>
          <w:shd w:fill="141414" w:val="clear"/>
          <w:rtl w:val="0"/>
        </w:rPr>
        <w:t xml:space="preserve">).read()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detect_anomaly(content):</w:t>
        <w:br w:type="textWrapping"/>
        <w:t xml:space="preserve">        anomalies.append(file)</w:t>
        <w:br w:type="textWrapping"/>
        <w:t xml:space="preserve">print(anomalies)</w:t>
        <w:br w:type="textWrapping"/>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writes this script, executes it locally, and receives the consolidated output in a single interaction. The cumulative token cost </w:t>
      </w:r>
      <w:r w:rsidDel="00000000" w:rsidR="00000000" w:rsidRPr="00000000">
        <w:rPr>
          <w:rFonts w:ascii="Google Sans" w:cs="Google Sans" w:eastAsia="Google Sans" w:hAnsi="Google Sans"/>
          <w:color w:val="1f1f1f"/>
        </w:rPr>
        <w:drawing>
          <wp:inline distB="19050" distT="19050" distL="19050" distR="19050">
            <wp:extent cx="433864" cy="243573"/>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33864" cy="243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simplified to: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73914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0050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a verbose output of 1,200 tokens: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73914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00050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code-centric approach reduces token usage by over 90% for multi-step data tasks, significantly lowering local compute overhead.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Prompt Cache Preservation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performance of local engines like Ollama, the system prompt must remain strictly stable across execution turns to prevent KV cache invalidation. Changing even a single character at the start of the prompt forces the local engine to recompute the entire sequence, introducing noticeable latency. Developers should structure their prompts according to these architectural guidelines: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Position Variables at the Tail:</w:t>
      </w:r>
      <w:r w:rsidDel="00000000" w:rsidR="00000000" w:rsidRPr="00000000">
        <w:rPr>
          <w:rFonts w:ascii="Google Sans" w:cs="Google Sans" w:eastAsia="Google Sans" w:hAnsi="Google Sans"/>
          <w:color w:val="1f1f1f"/>
          <w:rtl w:val="0"/>
        </w:rPr>
        <w:t xml:space="preserve"> Any dynamic values (e.g., system times, current directories, or quick-reference rules) must be appended to the very end of the system prompt or passed as standard user messages rather than being embedded at the beginning.</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Maintain Consistent Context Sizes:</w:t>
      </w:r>
      <w:r w:rsidDel="00000000" w:rsidR="00000000" w:rsidRPr="00000000">
        <w:rPr>
          <w:rFonts w:ascii="Google Sans" w:cs="Google Sans" w:eastAsia="Google Sans" w:hAnsi="Google Sans"/>
          <w:color w:val="1f1f1f"/>
          <w:rtl w:val="0"/>
        </w:rPr>
        <w:t xml:space="preserve"> Changing the active context size (num_ctx) between inference calls can cause Ollama to treat the request as a different model configuration, prompting a full VRAM reload. Ensure num_ctx is set to a fixed, consistent value across all runs.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Control Context Compaction Boundaries:</w:t>
      </w:r>
      <w:r w:rsidDel="00000000" w:rsidR="00000000" w:rsidRPr="00000000">
        <w:rPr>
          <w:rFonts w:ascii="Google Sans" w:cs="Google Sans" w:eastAsia="Google Sans" w:hAnsi="Google Sans"/>
          <w:color w:val="1f1f1f"/>
          <w:rtl w:val="0"/>
        </w:rPr>
        <w:t xml:space="preserve"> When context compaction is triggered, the system should retain a fixed rolling window of recent history (such as the last 3 turns) to quickly re-establish prompt caching within 1 to 2 turns, even after the older cache is invalidated.</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Progressive Context Discovery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agent runtimes like Hermes implement progressive context discovery to prevent prompt bloat. Rather than loading all system instructions and directory rules (such as AGENTS.md, CLAUDE.md, or .cursorrules) at startup, Hermes dynamically discovers and loads these files only when the agent navigates into a specific subdirectory during execution.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localized hints are injected directly into the tool result payload, keeping the primary system prompt stable and preventing prompt cache invalidation. Files exceeding 20,000 characters are automatically head/tail truncated to conserve tokens.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Explicit Agent-Loop Caching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complex multi-tool agent loops, standard prompt caching only optimizes between turns but does nothing within them. To resolve this, developers can implement explicit agent-loop caching, a pattern commonly used with models like Anthropic's Claude.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placing a single cache checkpoint at the end of the latest User message or ToolResult, the model can save the intermediate mathematical representations of the attention mechanism. On subsequent turns, the model reads the entire prior context directly from the cache (90% discount) and only pays full price for the new segment. This reduces costs by up to 68% and delivers consistent sub-second latency in complex workflows.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Structured Memory Offloading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tool outputs (such as large file reads or web search results) exceed a defined threshold (e.g., 20,000 tokens), the system should automatically offload the full payload to the local filesystem. The active message context is then replaced with a temporary pointer and a brief 10-line preview of the data. This prevents the working memory from being overwhelmed by verbose data, allowing the agent to read or search the full file only when strictly necessary.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Clustering-Based Memory Compression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long-running sessions, developers can implement clustering-based memory compression to balance context efficiency and personalization quality. Under this approach, retrieved memory logs are encoded into compact memory tokens and grouped into clusters based on semantic similarity (using algorithms like K-Means).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memories within each cluster are then merged (e.g., by averaging their token representations) and concatenated before being appended to the user instruction. This clustering-based compression reduces redundancy and prevents semantic conflicts, outperforming simple chronological truncation or naive averaging.</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Curated Registries and Community Repositories for Resource-Conservative Agent Assets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assist developers in assembling a fully customized, local-first agent stack without bloated, proprietary layers, several vetted repositories and curated lists on the web serve as excellent resource maps:</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Daniel Rosehill's Local AI Agent Resources (Local-AI-Agent-Resources):</w:t>
      </w:r>
      <w:r w:rsidDel="00000000" w:rsidR="00000000" w:rsidRPr="00000000">
        <w:rPr>
          <w:rFonts w:ascii="Google Sans" w:cs="Google Sans" w:eastAsia="Google Sans" w:hAnsi="Google Sans"/>
          <w:color w:val="1f1f1f"/>
          <w:rtl w:val="0"/>
        </w:rPr>
        <w:t xml:space="preserve"> A highly structured, developer-focused index mapping out the ecosystem of local-first AI agent technology. It categorizes terminal-based CLI agents, session managers (such as CCManager for managing multiple conversation states), specialized filesystems optimized for programmatic agents (e.g., AgentFS), and local context gateways. This repository is particularly useful for developers seeking to combine modular CLI-native tools rather than relying on heavy, monolithic agent dashboards.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VoltAgent's Awesome Agent Skills (awesome-agent-skills):</w:t>
      </w:r>
      <w:r w:rsidDel="00000000" w:rsidR="00000000" w:rsidRPr="00000000">
        <w:rPr>
          <w:rFonts w:ascii="Google Sans" w:cs="Google Sans" w:eastAsia="Google Sans" w:hAnsi="Google Sans"/>
          <w:color w:val="1f1f1f"/>
          <w:rtl w:val="0"/>
        </w:rPr>
        <w:t xml:space="preserve"> A curated directory containing over 1,000 reusable agent skills designed to be compatible with terminal-native environments like Claude Code, Codex, and OpenCode. Crucially, this repository rejects bulk AI-generated fillers, showcasing instead real-world, production-ready skills published by engineering teams at Stripe, Vercel, Neon, and Cloudflare. By dynamically invoking these modular skill definitions only when a task demands it, agents can adopt a "progressive disclosure" context design, avoiding prompt-cache bloat.</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caramaschiHG's Awesome AI Agents 2026 (awesome-ai-agents-2026):</w:t>
      </w:r>
      <w:r w:rsidDel="00000000" w:rsidR="00000000" w:rsidRPr="00000000">
        <w:rPr>
          <w:rFonts w:ascii="Google Sans" w:cs="Google Sans" w:eastAsia="Google Sans" w:hAnsi="Google Sans"/>
          <w:color w:val="1f1f1f"/>
          <w:rtl w:val="0"/>
        </w:rPr>
        <w:t xml:space="preserve"> A comprehensive ecosystem registry containing over 260 open-source and self-hosted agents, model runners, and developer infrastructures. This repository tracks active open-source repositories (such as SWE-Agent and OpenHands) and is widely cited in the self-hosted AI community as a benchmark directory for local-first execution.</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APIS-AI's ContextGate (contextgate):</w:t>
      </w:r>
      <w:r w:rsidDel="00000000" w:rsidR="00000000" w:rsidRPr="00000000">
        <w:rPr>
          <w:rFonts w:ascii="Google Sans" w:cs="Google Sans" w:eastAsia="Google Sans" w:hAnsi="Google Sans"/>
          <w:color w:val="1f1f1f"/>
          <w:rtl w:val="0"/>
        </w:rPr>
        <w:t xml:space="preserve"> An open-source, local-first utility designed to optimize the context footprint of active agent sessions. Acting as a proxy between local agents and the model API, ContextGate implements a dynamic HUD-style header that separates trusted local environment parameters from untrusted, highly volatile tool results. It purges and replaces bloated transcript histories at each turn, reducing token overhead and preventing the prompt-cache invalidation common in long sessions.</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kaushikb11's Awesome LLM Agents (awesome-llm-agents):</w:t>
      </w:r>
      <w:r w:rsidDel="00000000" w:rsidR="00000000" w:rsidRPr="00000000">
        <w:rPr>
          <w:rFonts w:ascii="Google Sans" w:cs="Google Sans" w:eastAsia="Google Sans" w:hAnsi="Google Sans"/>
          <w:color w:val="1f1f1f"/>
          <w:rtl w:val="0"/>
        </w:rPr>
        <w:t xml:space="preserve"> A deep-dive repository indexing major agentic frameworks, detailing their built-in tool integrations, local LLM support, and memory architecture. It tracks lightweight, extensible desktop and terminal utilities (such as AGiXT and Kiln AI), offering developers a solid matrix to compare structural resource-management features across the open-source spectrum.</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 Verdict and Optimal Implementation Paradigm</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Winner: Hugging Face smolagents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that represents the optimal balance of starting small (minimal footprint, single-file deployment, zero-VRAM serverless execution options) and scaling gradually to Hermes-level performance while providing developers with precise, granular control over resource and token consumption is </w:t>
      </w:r>
      <w:r w:rsidDel="00000000" w:rsidR="00000000" w:rsidRPr="00000000">
        <w:rPr>
          <w:rFonts w:ascii="Google Sans" w:cs="Google Sans" w:eastAsia="Google Sans" w:hAnsi="Google Sans"/>
          <w:b w:val="1"/>
          <w:bCs w:val="1"/>
          <w:color w:val="1f1f1f"/>
          <w:rtl w:val="0"/>
        </w:rPr>
        <w:t xml:space="preserve">Hugging Face smolagents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Mathematical Justification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bottleneck for local agentic systems is context window saturation and the high VRAM latency of iterative generation loops. smolagents addresses this issue at its architectural core through its </w:t>
      </w:r>
      <w:r w:rsidDel="00000000" w:rsidR="00000000" w:rsidRPr="00000000">
        <w:rPr>
          <w:rFonts w:ascii="Google Sans" w:cs="Google Sans" w:eastAsia="Google Sans" w:hAnsi="Google Sans"/>
          <w:b w:val="1"/>
          <w:bCs w:val="1"/>
          <w:color w:val="1f1f1f"/>
          <w:rtl w:val="0"/>
        </w:rPr>
        <w:t xml:space="preserve">Code Agent</w:t>
      </w:r>
      <w:r w:rsidDel="00000000" w:rsidR="00000000" w:rsidRPr="00000000">
        <w:rPr>
          <w:rFonts w:ascii="Google Sans" w:cs="Google Sans" w:eastAsia="Google Sans" w:hAnsi="Google Sans"/>
          <w:color w:val="1f1f1f"/>
          <w:rtl w:val="0"/>
        </w:rPr>
        <w:t xml:space="preserve"> paradigm. By enabling the model to write and execute loops and data pipelines locally, the framework replaces multi-step JSON interaction histories with single-turn programmatic executions. This architectural design fundamentally limits token accumulation, making it highly effective for local consumer hardware.</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Gradual Upgradeability Matrix</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smolagents is uniquely structured to allow developers to start small and gradually scale the system's capabilities: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[Phase 1: Zero-Overhead Initiation]</w:t>
        <w:br w:type="textWrapping"/>
        <w:t xml:space="preserve">                  - Single-process Python script</w:t>
        <w:br w:type="textWrapping"/>
        <w:t xml:space="preserve">                  - LiteLLM local model routing</w:t>
        <w:br w:type="textWrapping"/>
        <w:t xml:space="preserve">                  - Core built-in tools</w:t>
        <w:br w:type="textWrapping"/>
        <w:t xml:space="preserve">                              │</w:t>
        <w:br w:type="textWrapping"/>
        <w:t xml:space="preserve">                              ▼</w:t>
        <w:br w:type="textWrapping"/>
        <w:t xml:space="preserve">               </w:t>
        <w:br w:type="textWrapping"/>
        <w:t xml:space="preserve">                  - Dynamic observation filtering</w:t>
        <w:br w:type="textWrapping"/>
        <w:t xml:space="preserve">                  - Custom tool output truncation</w:t>
        <w:br w:type="textWrapping"/>
        <w:t xml:space="preserve">                  - Stable prompt cache preservation</w:t>
        <w:br w:type="textWrapping"/>
        <w:t xml:space="preserve">                              │</w:t>
        <w:br w:type="textWrapping"/>
        <w:t xml:space="preserve">                              ▼</w:t>
        <w:br w:type="textWrapping"/>
        <w:t xml:space="preserve">               [Phase 3: Hermes-Level Capability]</w:t>
        <w:br w:type="textWrapping"/>
        <w:t xml:space="preserve">                  - Persistent memory databases</w:t>
        <w:br w:type="textWrapping"/>
        <w:t xml:space="preserve">                  - Custom skill standards (AgentSkills)</w:t>
        <w:br w:type="textWrapping"/>
        <w:t xml:space="preserve">                  - Multi-agent supervisor networks</w:t>
        <w:br w:type="textWrapping"/>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Zero-Overhead Initiation:</w:t>
      </w:r>
      <w:r w:rsidDel="00000000" w:rsidR="00000000" w:rsidRPr="00000000">
        <w:rPr>
          <w:rFonts w:ascii="Google Sans" w:cs="Google Sans" w:eastAsia="Google Sans" w:hAnsi="Google Sans"/>
          <w:color w:val="1f1f1f"/>
          <w:rtl w:val="0"/>
        </w:rPr>
        <w:t xml:space="preserve"> At startup, smolagents requires no complex database configurations, background services, or heavy dependencies. It can run as a simple Python script, utilizing LiteLLM to route queries directly to a quantized, local model (e.g., qwen2.5-coder:7b via Ollama). The baseline footprint of its system prompt is minimal, easily fitting within restricted local context windows.</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Granular Resource Control:</w:t>
      </w:r>
      <w:r w:rsidDel="00000000" w:rsidR="00000000" w:rsidRPr="00000000">
        <w:rPr>
          <w:rFonts w:ascii="Google Sans" w:cs="Google Sans" w:eastAsia="Google Sans" w:hAnsi="Google Sans"/>
          <w:color w:val="1f1f1f"/>
          <w:rtl w:val="0"/>
        </w:rPr>
        <w:t xml:space="preserve"> As tasks grow in complexity, developers can easily implement custom context management features. Because the framework is written in clean, idiomatic Python with minimal abstractions, developers can easily insert custom functions to truncate tool outputs, filter observations, or utilize smaller supervisor models to prune unnecessary tokens from the context window.</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3: Scaling to Hermes-Level Autonomy:</w:t>
      </w:r>
      <w:r w:rsidDel="00000000" w:rsidR="00000000" w:rsidRPr="00000000">
        <w:rPr>
          <w:rFonts w:ascii="Google Sans" w:cs="Google Sans" w:eastAsia="Google Sans" w:hAnsi="Google Sans"/>
          <w:color w:val="1f1f1f"/>
          <w:rtl w:val="0"/>
        </w:rPr>
        <w:t xml:space="preserve"> When advanced autonomy is required, smolagents can be extended to support persistent memory systems, custom skills compatible with the agentskills.io open standard, and complex multi-agent architectures. Developers can create sophisticated RAG pipelines using vector databases to query large datasets on demand, rather than loading entire files into the active prompt.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other frameworks like Pydantic AI offer impressive production engineering and Phidata excels at built-in database integrations, they introduce higher initial complexity and structural overhead. smolagents remains the most elegant, resource-conservative, and mathematically efficient framework for local deployment, providing an ideal foundation that can scale step-by-step from a minimal footprint to high-capability agentic autonomy.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