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00"/>
        <w:jc w:val="center"/>
      </w:pPr>
      <w:r>
        <w:rPr>
          <w:rFonts w:ascii="Arial" w:cs="Arial" w:eastAsia="Arial" w:hAnsi="Arial"/>
          <w:b/>
          <w:bCs/>
          <w:color w:val="1F3864"/>
          <w:sz w:val="26"/>
          <w:szCs w:val="26"/>
        </w:rPr>
        <w:t xml:space="preserve">UNIVERSIDAD PRIVADA SAN JUAN BAUTISTA</w:t>
      </w:r>
    </w:p>
    <w:p>
      <w:pPr>
        <w:spacing w:after="400"/>
        <w:jc w:val="center"/>
      </w:pPr>
      <w:r>
        <w:rPr>
          <w:rFonts w:ascii="Arial" w:cs="Arial" w:eastAsia="Arial" w:hAnsi="Arial"/>
          <w:color w:val="595959"/>
          <w:sz w:val="20"/>
          <w:szCs w:val="20"/>
        </w:rPr>
        <w:t xml:space="preserve">FACULTAD DE INGENIERÍA  |  ESCUELA PROFESIONAL DE INGENIERÍA AGROINDUSTRIAL</w:t>
      </w:r>
    </w:p>
    <w:p>
      <w:r>
        <w:t xml:space="preserve"/>
      </w:r>
    </w:p>
    <w:p>
      <w:r>
        <w:t xml:space="preserve"/>
      </w:r>
    </w:p>
    <w:p>
      <w:pPr>
        <w:spacing w:after="200"/>
        <w:jc w:val="center"/>
      </w:pPr>
      <w:r>
        <w:rPr>
          <w:rFonts w:ascii="Arial" w:cs="Arial" w:eastAsia="Arial" w:hAnsi="Arial"/>
          <w:b/>
          <w:bCs/>
          <w:color w:val="1F3864"/>
          <w:sz w:val="40"/>
          <w:szCs w:val="40"/>
        </w:rPr>
        <w:t xml:space="preserve">ESTRUCTURA DEL PROYECTO DE INVERSIÓN</w:t>
      </w:r>
    </w:p>
    <w:p>
      <w:pPr>
        <w:spacing w:after="600"/>
        <w:jc w:val="center"/>
      </w:pPr>
      <w:r>
        <w:rPr>
          <w:rFonts w:ascii="Arial" w:cs="Arial" w:eastAsia="Arial" w:hAnsi="Arial"/>
          <w:i/>
          <w:iCs/>
          <w:color w:val="595959"/>
          <w:sz w:val="24"/>
          <w:szCs w:val="24"/>
        </w:rPr>
        <w:t xml:space="preserve">Guía de trabajo y plantilla para llenar</w:t>
      </w:r>
    </w:p>
    <w:p>
      <w:r>
        <w:t xml:space="preserve"/>
      </w:r>
    </w:p>
    <w:p>
      <w:r>
        <w:t xml:space="preserve"/>
      </w:r>
    </w:p>
    <w:p>
      <w:r>
        <w:t xml:space="preserve"/>
      </w:r>
    </w:p>
    <w:p>
      <w:pPr>
        <w:spacing w:after="120" w:line="300"/>
        <w:jc w:val="center"/>
      </w:pPr>
      <w:r>
        <w:rPr>
          <w:rFonts w:ascii="Arial" w:cs="Arial" w:eastAsia="Arial" w:hAnsi="Arial"/>
          <w:b/>
          <w:bCs/>
          <w:i w:val="false"/>
          <w:iCs w:val="false"/>
          <w:sz w:val="22"/>
          <w:szCs w:val="22"/>
        </w:rPr>
        <w:t xml:space="preserve">Curso:  Formulación y Evaluación de Proyectos</w:t>
      </w:r>
    </w:p>
    <w:p>
      <w:pPr>
        <w:spacing w:after="120" w:line="300"/>
        <w:jc w:val="center"/>
      </w:pPr>
      <w:r>
        <w:rPr>
          <w:rFonts w:ascii="Arial" w:cs="Arial" w:eastAsia="Arial" w:hAnsi="Arial"/>
          <w:b w:val="false"/>
          <w:bCs w:val="false"/>
          <w:i w:val="false"/>
          <w:iCs w:val="false"/>
          <w:sz w:val="22"/>
          <w:szCs w:val="22"/>
        </w:rPr>
        <w:t xml:space="preserve">Docente:  Ing. Raúl Comettant Rabanal</w:t>
      </w:r>
    </w:p>
    <w:p>
      <w:pPr>
        <w:spacing w:after="120" w:line="300"/>
        <w:jc w:val="center"/>
      </w:pPr>
      <w:r>
        <w:rPr>
          <w:rFonts w:ascii="Arial" w:cs="Arial" w:eastAsia="Arial" w:hAnsi="Arial"/>
          <w:b w:val="false"/>
          <w:bCs w:val="false"/>
          <w:i w:val="false"/>
          <w:iCs w:val="false"/>
          <w:sz w:val="22"/>
          <w:szCs w:val="22"/>
        </w:rPr>
        <w:t xml:space="preserve">Estudiante:  ______________________________</w:t>
      </w:r>
    </w:p>
    <w:p>
      <w:pPr>
        <w:spacing w:after="120" w:line="300"/>
        <w:jc w:val="center"/>
      </w:pPr>
      <w:r>
        <w:rPr>
          <w:rFonts w:ascii="Arial" w:cs="Arial" w:eastAsia="Arial" w:hAnsi="Arial"/>
          <w:b w:val="false"/>
          <w:bCs w:val="false"/>
          <w:i w:val="false"/>
          <w:iCs w:val="false"/>
          <w:sz w:val="22"/>
          <w:szCs w:val="22"/>
        </w:rPr>
        <w:t xml:space="preserve">Ciclo / Sección:  ______________________________</w:t>
      </w:r>
    </w:p>
    <w:p>
      <w:pPr>
        <w:spacing w:after="120" w:line="300"/>
        <w:jc w:val="center"/>
      </w:pPr>
      <w:r>
        <w:rPr>
          <w:rFonts w:ascii="Arial" w:cs="Arial" w:eastAsia="Arial" w:hAnsi="Arial"/>
          <w:b w:val="false"/>
          <w:bCs w:val="false"/>
          <w:i w:val="false"/>
          <w:iCs w:val="false"/>
          <w:sz w:val="22"/>
          <w:szCs w:val="22"/>
        </w:rPr>
        <w:t xml:space="preserve">Ica – Perú</w:t>
      </w:r>
    </w:p>
    <w:p>
      <w:r>
        <w:br w:type="page"/>
      </w:r>
    </w:p>
    <w:p>
      <w:pPr>
        <w:pStyle w:val="Heading1"/>
        <w:spacing w:after="200" w:before="360"/>
      </w:pPr>
      <w:r>
        <w:rPr>
          <w:rFonts w:ascii="Arial" w:cs="Arial" w:eastAsia="Arial" w:hAnsi="Arial"/>
          <w:b/>
          <w:bCs/>
          <w:color w:val="1F3864"/>
          <w:sz w:val="30"/>
          <w:szCs w:val="30"/>
        </w:rP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after="120" w:line="300"/>
        <w:jc w:val="both"/>
      </w:pPr>
      <w:r>
        <w:rPr>
          <w:rFonts w:ascii="Arial" w:cs="Arial" w:eastAsia="Arial" w:hAnsi="Arial"/>
          <w:b w:val="false"/>
          <w:bCs w:val="false"/>
          <w:i w:val="false"/>
          <w:iCs w:val="false"/>
          <w:sz w:val="22"/>
          <w:szCs w:val="22"/>
        </w:rPr>
        <w:t xml:space="preserve"/>
      </w:r>
    </w:p>
    <w:p>
      <w:pPr>
        <w:pBdr>
          <w:left w:val="single" w:color="2E7D32" w:sz="12" w:space="8"/>
        </w:pBdr>
        <w:spacing w:after="160" w:line="280"/>
        <w:ind w:left="288"/>
        <w:jc w:val="both"/>
      </w:pPr>
      <w:r>
        <w:rPr>
          <w:rFonts w:ascii="Arial" w:cs="Arial" w:eastAsia="Arial" w:hAnsi="Arial"/>
          <w:i/>
          <w:iCs/>
          <w:color w:val="595959"/>
          <w:sz w:val="20"/>
          <w:szCs w:val="20"/>
        </w:rPr>
        <w:t xml:space="preserve">Para actualizar el índice en Word: clic derecho sobre él → «Actualizar campos» → «Actualizar toda la tabla».</w:t>
      </w:r>
    </w:p>
    <w:p>
      <w:r>
        <w:br w:type="page"/>
      </w:r>
    </w:p>
    <w:p>
      <w:pPr>
        <w:pStyle w:val="Heading1"/>
        <w:spacing w:after="200" w:before="360"/>
      </w:pPr>
      <w:r>
        <w:rPr>
          <w:rFonts w:ascii="Arial" w:cs="Arial" w:eastAsia="Arial" w:hAnsi="Arial"/>
          <w:b/>
          <w:bCs/>
          <w:color w:val="1F3864"/>
          <w:sz w:val="30"/>
          <w:szCs w:val="30"/>
        </w:rPr>
        <w:t xml:space="preserve">CÓMO USAR ESTE DOCUMENTO</w:t>
      </w:r>
    </w:p>
    <w:p>
      <w:pPr>
        <w:spacing w:after="120" w:line="300"/>
        <w:jc w:val="both"/>
      </w:pPr>
      <w:r>
        <w:rPr>
          <w:rFonts w:ascii="Arial" w:cs="Arial" w:eastAsia="Arial" w:hAnsi="Arial"/>
          <w:b w:val="false"/>
          <w:bCs w:val="false"/>
          <w:i w:val="false"/>
          <w:iCs w:val="false"/>
          <w:sz w:val="22"/>
          <w:szCs w:val="22"/>
        </w:rPr>
        <w:t xml:space="preserve">Este archivo es el esqueleto completo de un proyecto de inversión agroindustrial. Cada sección tiene una nota en gris con borde verde que te dice exactamente qué va ahí. Reemplaza esa nota por tu contenido y bórrala.</w:t>
      </w:r>
    </w:p>
    <w:p>
      <w:pPr>
        <w:pStyle w:val="Heading2"/>
        <w:spacing w:after="120" w:before="260"/>
      </w:pPr>
      <w:r>
        <w:rPr>
          <w:rFonts w:ascii="Arial" w:cs="Arial" w:eastAsia="Arial" w:hAnsi="Arial"/>
          <w:b/>
          <w:bCs/>
          <w:color w:val="1F3864"/>
          <w:sz w:val="24"/>
          <w:szCs w:val="24"/>
        </w:rPr>
        <w:t xml:space="preserve">Reglas de oro para que no te bajen nota</w:t>
      </w:r>
    </w:p>
    <w:p>
      <w:pPr>
        <w:pStyle w:val="ListParagraph"/>
        <w:numPr>
          <w:ilvl w:val="0"/>
          <w:numId w:val="2"/>
        </w:numPr>
        <w:spacing w:after="60" w:line="280"/>
      </w:pPr>
      <w:r>
        <w:rPr>
          <w:rFonts w:ascii="Arial" w:cs="Arial" w:eastAsia="Arial" w:hAnsi="Arial"/>
          <w:sz w:val="21"/>
          <w:szCs w:val="21"/>
        </w:rPr>
        <w:t xml:space="preserve">Todo dato debe tener fuente citada en APA 7. Si un número no tiene de dónde salió, el jurado lo va a preguntar.</w:t>
      </w:r>
    </w:p>
    <w:p>
      <w:pPr>
        <w:pStyle w:val="ListParagraph"/>
        <w:numPr>
          <w:ilvl w:val="0"/>
          <w:numId w:val="2"/>
        </w:numPr>
        <w:spacing w:after="60" w:line="280"/>
      </w:pPr>
      <w:r>
        <w:rPr>
          <w:rFonts w:ascii="Arial" w:cs="Arial" w:eastAsia="Arial" w:hAnsi="Arial"/>
          <w:sz w:val="21"/>
          <w:szCs w:val="21"/>
        </w:rPr>
        <w:t xml:space="preserve">Los capítulos se construyen en cadena: el mercado define el tamaño, el tamaño define la inversión, la inversión define el flujo de caja. Si cambias un dato arriba, revisa todo lo de abajo.</w:t>
      </w:r>
    </w:p>
    <w:p>
      <w:pPr>
        <w:pStyle w:val="ListParagraph"/>
        <w:numPr>
          <w:ilvl w:val="0"/>
          <w:numId w:val="2"/>
        </w:numPr>
        <w:spacing w:after="60" w:line="280"/>
      </w:pPr>
      <w:r>
        <w:rPr>
          <w:rFonts w:ascii="Arial" w:cs="Arial" w:eastAsia="Arial" w:hAnsi="Arial"/>
          <w:sz w:val="21"/>
          <w:szCs w:val="21"/>
        </w:rPr>
        <w:t xml:space="preserve">Usa una sola moneda (soles S/) y un solo año base en todo el documento. Indícalo en la primera página del capítulo de inversiones.</w:t>
      </w:r>
    </w:p>
    <w:p>
      <w:pPr>
        <w:pStyle w:val="ListParagraph"/>
        <w:numPr>
          <w:ilvl w:val="0"/>
          <w:numId w:val="2"/>
        </w:numPr>
        <w:spacing w:after="60" w:line="280"/>
      </w:pPr>
      <w:r>
        <w:rPr>
          <w:rFonts w:ascii="Arial" w:cs="Arial" w:eastAsia="Arial" w:hAnsi="Arial"/>
          <w:sz w:val="21"/>
          <w:szCs w:val="21"/>
        </w:rPr>
        <w:t xml:space="preserve">Las tablas y figuras van numeradas y con fuente al pie: «Tabla 1. Demanda histórica. Fuente: INEI (2025)».</w:t>
      </w:r>
    </w:p>
    <w:p>
      <w:pPr>
        <w:pStyle w:val="ListParagraph"/>
        <w:numPr>
          <w:ilvl w:val="0"/>
          <w:numId w:val="2"/>
        </w:numPr>
        <w:spacing w:after="60" w:line="280"/>
      </w:pPr>
      <w:r>
        <w:rPr>
          <w:rFonts w:ascii="Arial" w:cs="Arial" w:eastAsia="Arial" w:hAnsi="Arial"/>
          <w:sz w:val="21"/>
          <w:szCs w:val="21"/>
        </w:rPr>
        <w:t xml:space="preserve">El modelo financiero va en el Excel adjunto; en el Word solo pegas las tablas resumen y los resultados.</w:t>
      </w:r>
    </w:p>
    <w:p>
      <w:pPr>
        <w:pStyle w:val="Heading2"/>
        <w:spacing w:after="120" w:before="260"/>
      </w:pPr>
      <w:r>
        <w:rPr>
          <w:rFonts w:ascii="Arial" w:cs="Arial" w:eastAsia="Arial" w:hAnsi="Arial"/>
          <w:b/>
          <w:bCs/>
          <w:color w:val="1F3864"/>
          <w:sz w:val="24"/>
          <w:szCs w:val="24"/>
        </w:rPr>
        <w:t xml:space="preserve">Orden recomendado de trabajo</w:t>
      </w:r>
    </w:p>
    <w:p>
      <w:pPr>
        <w:spacing w:after="120" w:line="300"/>
        <w:jc w:val="both"/>
      </w:pPr>
      <w:r>
        <w:rPr>
          <w:rFonts w:ascii="Arial" w:cs="Arial" w:eastAsia="Arial" w:hAnsi="Arial"/>
          <w:b w:val="false"/>
          <w:bCs w:val="false"/>
          <w:i w:val="false"/>
          <w:iCs w:val="false"/>
          <w:sz w:val="22"/>
          <w:szCs w:val="22"/>
        </w:rPr>
        <w:t xml:space="preserve">No lo escribas en orden de capítulos. Hazlo así:</w:t>
      </w:r>
    </w:p>
    <w:p>
      <w:pPr>
        <w:pStyle w:val="ListParagraph"/>
        <w:numPr>
          <w:ilvl w:val="0"/>
          <w:numId w:val="3"/>
        </w:numPr>
        <w:spacing w:after="60" w:line="280"/>
      </w:pPr>
      <w:r>
        <w:rPr>
          <w:rFonts w:ascii="Arial" w:cs="Arial" w:eastAsia="Arial" w:hAnsi="Arial"/>
          <w:sz w:val="21"/>
          <w:szCs w:val="21"/>
        </w:rPr>
        <w:t xml:space="preserve">Semana 1–2: define el producto y termina el Capítulo I.</w:t>
      </w:r>
    </w:p>
    <w:p>
      <w:pPr>
        <w:pStyle w:val="ListParagraph"/>
        <w:numPr>
          <w:ilvl w:val="0"/>
          <w:numId w:val="3"/>
        </w:numPr>
        <w:spacing w:after="60" w:line="280"/>
      </w:pPr>
      <w:r>
        <w:rPr>
          <w:rFonts w:ascii="Arial" w:cs="Arial" w:eastAsia="Arial" w:hAnsi="Arial"/>
          <w:sz w:val="21"/>
          <w:szCs w:val="21"/>
        </w:rPr>
        <w:t xml:space="preserve">Semana 3–5: Capítulo II (estudio de mercado). Aquí sale la demanda del proyecto, que es el dato más importante de todo el trabajo.</w:t>
      </w:r>
    </w:p>
    <w:p>
      <w:pPr>
        <w:pStyle w:val="ListParagraph"/>
        <w:numPr>
          <w:ilvl w:val="0"/>
          <w:numId w:val="3"/>
        </w:numPr>
        <w:spacing w:after="60" w:line="280"/>
      </w:pPr>
      <w:r>
        <w:rPr>
          <w:rFonts w:ascii="Arial" w:cs="Arial" w:eastAsia="Arial" w:hAnsi="Arial"/>
          <w:sz w:val="21"/>
          <w:szCs w:val="21"/>
        </w:rPr>
        <w:t xml:space="preserve">Semana 6–8: Capítulo III (técnico). El tamaño sale de la demanda del proyecto.</w:t>
      </w:r>
    </w:p>
    <w:p>
      <w:pPr>
        <w:pStyle w:val="ListParagraph"/>
        <w:numPr>
          <w:ilvl w:val="0"/>
          <w:numId w:val="3"/>
        </w:numPr>
        <w:spacing w:after="60" w:line="280"/>
      </w:pPr>
      <w:r>
        <w:rPr>
          <w:rFonts w:ascii="Arial" w:cs="Arial" w:eastAsia="Arial" w:hAnsi="Arial"/>
          <w:sz w:val="21"/>
          <w:szCs w:val="21"/>
        </w:rPr>
        <w:t xml:space="preserve">Semana 9: Capítulos IV y V (organizacional, legal, ambiental). Son los más rápidos.</w:t>
      </w:r>
    </w:p>
    <w:p>
      <w:pPr>
        <w:pStyle w:val="ListParagraph"/>
        <w:numPr>
          <w:ilvl w:val="0"/>
          <w:numId w:val="3"/>
        </w:numPr>
        <w:spacing w:after="60" w:line="280"/>
      </w:pPr>
      <w:r>
        <w:rPr>
          <w:rFonts w:ascii="Arial" w:cs="Arial" w:eastAsia="Arial" w:hAnsi="Arial"/>
          <w:sz w:val="21"/>
          <w:szCs w:val="21"/>
        </w:rPr>
        <w:t xml:space="preserve">Semana 10–13: Capítulos VI, VII y VIII (inversiones, presupuestos y evaluación). Trabajas en el Excel.</w:t>
      </w:r>
    </w:p>
    <w:p>
      <w:pPr>
        <w:pStyle w:val="ListParagraph"/>
        <w:numPr>
          <w:ilvl w:val="0"/>
          <w:numId w:val="3"/>
        </w:numPr>
        <w:spacing w:after="60" w:line="280"/>
      </w:pPr>
      <w:r>
        <w:rPr>
          <w:rFonts w:ascii="Arial" w:cs="Arial" w:eastAsia="Arial" w:hAnsi="Arial"/>
          <w:sz w:val="21"/>
          <w:szCs w:val="21"/>
        </w:rPr>
        <w:t xml:space="preserve">Semana 14–15: conclusiones, anexos, revisión de formato y preparación de la sustentación.</w:t>
      </w:r>
    </w:p>
    <w:p>
      <w:r>
        <w:br w:type="page"/>
      </w:r>
    </w:p>
    <w:p>
      <w:pPr>
        <w:pStyle w:val="Heading1"/>
        <w:spacing w:after="200" w:before="360"/>
      </w:pPr>
      <w:r>
        <w:rPr>
          <w:rFonts w:ascii="Arial" w:cs="Arial" w:eastAsia="Arial" w:hAnsi="Arial"/>
          <w:b/>
          <w:bCs/>
          <w:color w:val="1F3864"/>
          <w:sz w:val="30"/>
          <w:szCs w:val="30"/>
        </w:rPr>
        <w:t xml:space="preserve">CAPÍTULO I: ASPECTOS GENERALES DEL PROYECTO</w:t>
      </w:r>
    </w:p>
    <w:p>
      <w:pPr>
        <w:pStyle w:val="Heading2"/>
        <w:spacing w:after="120" w:before="260"/>
      </w:pPr>
      <w:r>
        <w:rPr>
          <w:rFonts w:ascii="Arial" w:cs="Arial" w:eastAsia="Arial" w:hAnsi="Arial"/>
          <w:b/>
          <w:bCs/>
          <w:color w:val="1F3864"/>
          <w:sz w:val="24"/>
          <w:szCs w:val="24"/>
        </w:rPr>
        <w:t xml:space="preserve">1.1. Nombre del proyecto</w:t>
      </w:r>
    </w:p>
    <w:p>
      <w:pPr>
        <w:pBdr>
          <w:left w:val="single" w:color="2E7D32" w:sz="12" w:space="8"/>
        </w:pBdr>
        <w:spacing w:after="160" w:line="280"/>
        <w:ind w:left="288"/>
        <w:jc w:val="both"/>
      </w:pPr>
      <w:r>
        <w:rPr>
          <w:rFonts w:ascii="Arial" w:cs="Arial" w:eastAsia="Arial" w:hAnsi="Arial"/>
          <w:i/>
          <w:iCs/>
          <w:color w:val="595959"/>
          <w:sz w:val="20"/>
          <w:szCs w:val="20"/>
        </w:rPr>
        <w:t xml:space="preserve">Fórmula: [Acción] + [producto] + [ubicación]. Ejemplo: «Instalación de una planta procesadora de pulpa de mango congelada en el distrito de Salas, provincia de Ica». Debe responder qué se hace, sobre qué y dónde.</w:t>
      </w:r>
    </w:p>
    <w:p>
      <w:pPr>
        <w:pStyle w:val="Heading2"/>
        <w:spacing w:after="120" w:before="260"/>
      </w:pPr>
      <w:r>
        <w:rPr>
          <w:rFonts w:ascii="Arial" w:cs="Arial" w:eastAsia="Arial" w:hAnsi="Arial"/>
          <w:b/>
          <w:bCs/>
          <w:color w:val="1F3864"/>
          <w:sz w:val="24"/>
          <w:szCs w:val="24"/>
        </w:rPr>
        <w:t xml:space="preserve">1.2. Naturaleza y modalidad del proyecto</w:t>
      </w:r>
    </w:p>
    <w:p>
      <w:pPr>
        <w:pBdr>
          <w:left w:val="single" w:color="2E7D32" w:sz="12" w:space="8"/>
        </w:pBdr>
        <w:spacing w:after="160" w:line="280"/>
        <w:ind w:left="288"/>
        <w:jc w:val="both"/>
      </w:pPr>
      <w:r>
        <w:rPr>
          <w:rFonts w:ascii="Arial" w:cs="Arial" w:eastAsia="Arial" w:hAnsi="Arial"/>
          <w:i/>
          <w:iCs/>
          <w:color w:val="595959"/>
          <w:sz w:val="20"/>
          <w:szCs w:val="20"/>
        </w:rPr>
        <w:t xml:space="preserve">Indica si es: creación de una unidad nueva, ampliación de capacidad, mejoramiento tecnológico o recuperación. Lo más común en el curso es «creación / instalación».</w:t>
      </w:r>
    </w:p>
    <w:p>
      <w:pPr>
        <w:pStyle w:val="Heading2"/>
        <w:spacing w:after="120" w:before="260"/>
      </w:pPr>
      <w:r>
        <w:rPr>
          <w:rFonts w:ascii="Arial" w:cs="Arial" w:eastAsia="Arial" w:hAnsi="Arial"/>
          <w:b/>
          <w:bCs/>
          <w:color w:val="1F3864"/>
          <w:sz w:val="24"/>
          <w:szCs w:val="24"/>
        </w:rPr>
        <w:t xml:space="preserve">1.3. Ubicación del proyecto</w:t>
      </w:r>
    </w:p>
    <w:p>
      <w:pPr>
        <w:pBdr>
          <w:left w:val="single" w:color="2E7D32" w:sz="12" w:space="8"/>
        </w:pBdr>
        <w:spacing w:after="160" w:line="280"/>
        <w:ind w:left="288"/>
        <w:jc w:val="both"/>
      </w:pPr>
      <w:r>
        <w:rPr>
          <w:rFonts w:ascii="Arial" w:cs="Arial" w:eastAsia="Arial" w:hAnsi="Arial"/>
          <w:i/>
          <w:iCs/>
          <w:color w:val="595959"/>
          <w:sz w:val="20"/>
          <w:szCs w:val="20"/>
        </w:rPr>
        <w:t xml:space="preserve">Departamento, provincia, distrito, y de ser posible coordenadas UTM. Incluye un mapa de referencia como Figura 1.</w:t>
      </w:r>
    </w:p>
    <w:p>
      <w:pPr>
        <w:pStyle w:val="Heading2"/>
        <w:spacing w:after="120" w:before="260"/>
      </w:pPr>
      <w:r>
        <w:rPr>
          <w:rFonts w:ascii="Arial" w:cs="Arial" w:eastAsia="Arial" w:hAnsi="Arial"/>
          <w:b/>
          <w:bCs/>
          <w:color w:val="1F3864"/>
          <w:sz w:val="24"/>
          <w:szCs w:val="24"/>
        </w:rPr>
        <w:t xml:space="preserve">1.4. Unidad formuladora y unidad ejecutora</w:t>
      </w:r>
    </w:p>
    <w:p>
      <w:pPr>
        <w:pBdr>
          <w:left w:val="single" w:color="2E7D32" w:sz="12" w:space="8"/>
        </w:pBdr>
        <w:spacing w:after="160" w:line="280"/>
        <w:ind w:left="288"/>
        <w:jc w:val="both"/>
      </w:pPr>
      <w:r>
        <w:rPr>
          <w:rFonts w:ascii="Arial" w:cs="Arial" w:eastAsia="Arial" w:hAnsi="Arial"/>
          <w:i/>
          <w:iCs/>
          <w:color w:val="595959"/>
          <w:sz w:val="20"/>
          <w:szCs w:val="20"/>
        </w:rPr>
        <w:t xml:space="preserve">Quién formula el proyecto (tú / tu equipo) y quién lo ejecutaría (la empresa que se constituiría). En proyectos privados basta con nombrar la futura razón social.</w:t>
      </w:r>
    </w:p>
    <w:p>
      <w:pPr>
        <w:pStyle w:val="Heading2"/>
        <w:spacing w:after="120" w:before="260"/>
      </w:pPr>
      <w:r>
        <w:rPr>
          <w:rFonts w:ascii="Arial" w:cs="Arial" w:eastAsia="Arial" w:hAnsi="Arial"/>
          <w:b/>
          <w:bCs/>
          <w:color w:val="1F3864"/>
          <w:sz w:val="24"/>
          <w:szCs w:val="24"/>
        </w:rPr>
        <w:t xml:space="preserve">1.5. Objetivos del proyecto</w:t>
      </w:r>
    </w:p>
    <w:p>
      <w:pPr>
        <w:pStyle w:val="Heading3"/>
        <w:spacing w:after="100" w:before="180"/>
      </w:pPr>
      <w:r>
        <w:rPr>
          <w:rFonts w:ascii="Arial" w:cs="Arial" w:eastAsia="Arial" w:hAnsi="Arial"/>
          <w:b/>
          <w:bCs/>
          <w:color w:val="2F5496"/>
          <w:sz w:val="22"/>
          <w:szCs w:val="22"/>
        </w:rPr>
        <w:t xml:space="preserve">1.5.1. Objetivo general</w:t>
      </w:r>
    </w:p>
    <w:p>
      <w:pPr>
        <w:pBdr>
          <w:left w:val="single" w:color="2E7D32" w:sz="12" w:space="8"/>
        </w:pBdr>
        <w:spacing w:after="160" w:line="280"/>
        <w:ind w:left="288"/>
        <w:jc w:val="both"/>
      </w:pPr>
      <w:r>
        <w:rPr>
          <w:rFonts w:ascii="Arial" w:cs="Arial" w:eastAsia="Arial" w:hAnsi="Arial"/>
          <w:i/>
          <w:iCs/>
          <w:color w:val="595959"/>
          <w:sz w:val="20"/>
          <w:szCs w:val="20"/>
        </w:rPr>
        <w:t xml:space="preserve">Un solo objetivo, en infinitivo. Ejemplo: «Determinar la viabilidad comercial, técnica, económica y financiera de la instalación de una planta de …».</w:t>
      </w:r>
    </w:p>
    <w:p>
      <w:pPr>
        <w:pStyle w:val="Heading3"/>
        <w:spacing w:after="100" w:before="180"/>
      </w:pPr>
      <w:r>
        <w:rPr>
          <w:rFonts w:ascii="Arial" w:cs="Arial" w:eastAsia="Arial" w:hAnsi="Arial"/>
          <w:b/>
          <w:bCs/>
          <w:color w:val="2F5496"/>
          <w:sz w:val="22"/>
          <w:szCs w:val="22"/>
        </w:rPr>
        <w:t xml:space="preserve">1.5.2. Objetivos específicos</w:t>
      </w:r>
    </w:p>
    <w:p>
      <w:pPr>
        <w:pBdr>
          <w:left w:val="single" w:color="2E7D32" w:sz="12" w:space="8"/>
        </w:pBdr>
        <w:spacing w:after="160" w:line="280"/>
        <w:ind w:left="288"/>
        <w:jc w:val="both"/>
      </w:pPr>
      <w:r>
        <w:rPr>
          <w:rFonts w:ascii="Arial" w:cs="Arial" w:eastAsia="Arial" w:hAnsi="Arial"/>
          <w:i/>
          <w:iCs/>
          <w:color w:val="595959"/>
          <w:sz w:val="20"/>
          <w:szCs w:val="20"/>
        </w:rPr>
        <w:t xml:space="preserve">Uno por cada capítulo del estudio: mercado, técnico, organizacional-legal, ambiental, económico-financiero. Así garantizas coherencia con el índice.</w:t>
      </w:r>
    </w:p>
    <w:p>
      <w:pPr>
        <w:pStyle w:val="Heading2"/>
        <w:spacing w:after="120" w:before="260"/>
      </w:pPr>
      <w:r>
        <w:rPr>
          <w:rFonts w:ascii="Arial" w:cs="Arial" w:eastAsia="Arial" w:hAnsi="Arial"/>
          <w:b/>
          <w:bCs/>
          <w:color w:val="1F3864"/>
          <w:sz w:val="24"/>
          <w:szCs w:val="24"/>
        </w:rPr>
        <w:t xml:space="preserve">1.6. Justificación del proyecto</w:t>
      </w:r>
    </w:p>
    <w:p>
      <w:pPr>
        <w:pBdr>
          <w:left w:val="single" w:color="2E7D32" w:sz="12" w:space="8"/>
        </w:pBdr>
        <w:spacing w:after="160" w:line="280"/>
        <w:ind w:left="288"/>
        <w:jc w:val="both"/>
      </w:pPr>
      <w:r>
        <w:rPr>
          <w:rFonts w:ascii="Arial" w:cs="Arial" w:eastAsia="Arial" w:hAnsi="Arial"/>
          <w:i/>
          <w:iCs/>
          <w:color w:val="595959"/>
          <w:sz w:val="20"/>
          <w:szCs w:val="20"/>
        </w:rPr>
        <w:t xml:space="preserve">Tres ángulos: (a) justificación técnica —existe materia prima y tecnología disponible—; (b) justificación económica —hay demanda insatisfecha y rentabilidad—; (c) justificación social y ambiental —empleo, cadena productiva, aprovechamiento de residuos.</w:t>
      </w:r>
    </w:p>
    <w:p>
      <w:pPr>
        <w:pStyle w:val="Heading2"/>
        <w:spacing w:after="120" w:before="260"/>
      </w:pPr>
      <w:r>
        <w:rPr>
          <w:rFonts w:ascii="Arial" w:cs="Arial" w:eastAsia="Arial" w:hAnsi="Arial"/>
          <w:b/>
          <w:bCs/>
          <w:color w:val="1F3864"/>
          <w:sz w:val="24"/>
          <w:szCs w:val="24"/>
        </w:rPr>
        <w:t xml:space="preserve">1.7. Horizonte de evaluación</w:t>
      </w:r>
    </w:p>
    <w:p>
      <w:pPr>
        <w:pBdr>
          <w:left w:val="single" w:color="2E7D32" w:sz="12" w:space="8"/>
        </w:pBdr>
        <w:spacing w:after="160" w:line="280"/>
        <w:ind w:left="288"/>
        <w:jc w:val="both"/>
      </w:pPr>
      <w:r>
        <w:rPr>
          <w:rFonts w:ascii="Arial" w:cs="Arial" w:eastAsia="Arial" w:hAnsi="Arial"/>
          <w:i/>
          <w:iCs/>
          <w:color w:val="595959"/>
          <w:sz w:val="20"/>
          <w:szCs w:val="20"/>
        </w:rPr>
        <w:t xml:space="preserve">Normalmente 10 años (año 0 = inversión, años 1 a 10 = operación). Justifícalo con la vida útil de la maquinaria principal. Deja este dato fijo: lo vas a usar en todo el Excel.</w:t>
      </w:r>
    </w:p>
    <w:p>
      <w:pPr>
        <w:pStyle w:val="Heading2"/>
        <w:spacing w:after="120" w:before="260"/>
      </w:pPr>
      <w:r>
        <w:rPr>
          <w:rFonts w:ascii="Arial" w:cs="Arial" w:eastAsia="Arial" w:hAnsi="Arial"/>
          <w:b/>
          <w:bCs/>
          <w:color w:val="1F3864"/>
          <w:sz w:val="24"/>
          <w:szCs w:val="24"/>
        </w:rPr>
        <w:t xml:space="preserve">1.8. Antecedentes</w:t>
      </w:r>
    </w:p>
    <w:p>
      <w:pPr>
        <w:pBdr>
          <w:left w:val="single" w:color="2E7D32" w:sz="12" w:space="8"/>
        </w:pBdr>
        <w:spacing w:after="160" w:line="280"/>
        <w:ind w:left="288"/>
        <w:jc w:val="both"/>
      </w:pPr>
      <w:r>
        <w:rPr>
          <w:rFonts w:ascii="Arial" w:cs="Arial" w:eastAsia="Arial" w:hAnsi="Arial"/>
          <w:i/>
          <w:iCs/>
          <w:color w:val="595959"/>
          <w:sz w:val="20"/>
          <w:szCs w:val="20"/>
        </w:rPr>
        <w:t xml:space="preserve">Dos o tres proyectos o tesis similares (nacionales o de la región) con sus resultados de VAN y TIR. Sirve para comparar tus propios resultados al final.</w:t>
      </w:r>
    </w:p>
    <w:p>
      <w:r>
        <w:br w:type="page"/>
      </w:r>
    </w:p>
    <w:p>
      <w:pPr>
        <w:pStyle w:val="Heading1"/>
        <w:spacing w:after="200" w:before="360"/>
      </w:pPr>
      <w:r>
        <w:rPr>
          <w:rFonts w:ascii="Arial" w:cs="Arial" w:eastAsia="Arial" w:hAnsi="Arial"/>
          <w:b/>
          <w:bCs/>
          <w:color w:val="1F3864"/>
          <w:sz w:val="30"/>
          <w:szCs w:val="30"/>
        </w:rPr>
        <w:t xml:space="preserve">CAPÍTULO II: ESTUDIO DE MERCADO</w:t>
      </w:r>
    </w:p>
    <w:p>
      <w:pPr>
        <w:pBdr>
          <w:left w:val="single" w:color="2E7D32" w:sz="12" w:space="8"/>
        </w:pBdr>
        <w:spacing w:after="160" w:line="280"/>
        <w:ind w:left="288"/>
        <w:jc w:val="both"/>
      </w:pPr>
      <w:r>
        <w:rPr>
          <w:rFonts w:ascii="Arial" w:cs="Arial" w:eastAsia="Arial" w:hAnsi="Arial"/>
          <w:i/>
          <w:iCs/>
          <w:color w:val="595959"/>
          <w:sz w:val="20"/>
          <w:szCs w:val="20"/>
        </w:rPr>
        <w:t xml:space="preserve">Este es el capítulo que más pesa. De aquí sale LA DEMANDA DEL PROYECTO, que es el número que alimenta el tamaño de planta, los ingresos y toda la evaluación. Si este dato está mal, el proyecto entero está mal.</w:t>
      </w:r>
    </w:p>
    <w:p>
      <w:pPr>
        <w:pStyle w:val="Heading2"/>
        <w:spacing w:after="120" w:before="260"/>
      </w:pPr>
      <w:r>
        <w:rPr>
          <w:rFonts w:ascii="Arial" w:cs="Arial" w:eastAsia="Arial" w:hAnsi="Arial"/>
          <w:b/>
          <w:bCs/>
          <w:color w:val="1F3864"/>
          <w:sz w:val="24"/>
          <w:szCs w:val="24"/>
        </w:rPr>
        <w:t xml:space="preserve">2.1. Descripción del producto</w:t>
      </w:r>
    </w:p>
    <w:p>
      <w:pPr>
        <w:pStyle w:val="Heading3"/>
        <w:spacing w:after="100" w:before="180"/>
      </w:pPr>
      <w:r>
        <w:rPr>
          <w:rFonts w:ascii="Arial" w:cs="Arial" w:eastAsia="Arial" w:hAnsi="Arial"/>
          <w:b/>
          <w:bCs/>
          <w:color w:val="2F5496"/>
          <w:sz w:val="22"/>
          <w:szCs w:val="22"/>
        </w:rPr>
        <w:t xml:space="preserve">2.1.1. Ficha técnica</w:t>
      </w:r>
    </w:p>
    <w:p>
      <w:pPr>
        <w:pBdr>
          <w:left w:val="single" w:color="2E7D32" w:sz="12" w:space="8"/>
        </w:pBdr>
        <w:spacing w:after="160" w:line="280"/>
        <w:ind w:left="288"/>
        <w:jc w:val="both"/>
      </w:pPr>
      <w:r>
        <w:rPr>
          <w:rFonts w:ascii="Arial" w:cs="Arial" w:eastAsia="Arial" w:hAnsi="Arial"/>
          <w:i/>
          <w:iCs/>
          <w:color w:val="595959"/>
          <w:sz w:val="20"/>
          <w:szCs w:val="20"/>
        </w:rPr>
        <w:t xml:space="preserve">Nombre comercial, descripción, composición, presentación y peso, tipo de envase, vida útil, condiciones de almacenamiento, requisitos fisicoquímicos y microbiológicos según la NTP correspondiente.</w:t>
      </w:r>
    </w:p>
    <w:p>
      <w:pPr>
        <w:pStyle w:val="Heading3"/>
        <w:spacing w:after="100" w:before="180"/>
      </w:pPr>
      <w:r>
        <w:rPr>
          <w:rFonts w:ascii="Arial" w:cs="Arial" w:eastAsia="Arial" w:hAnsi="Arial"/>
          <w:b/>
          <w:bCs/>
          <w:color w:val="2F5496"/>
          <w:sz w:val="22"/>
          <w:szCs w:val="22"/>
        </w:rPr>
        <w:t xml:space="preserve">2.1.2. Partida arancelaria y clasificación</w:t>
      </w:r>
    </w:p>
    <w:p>
      <w:pPr>
        <w:pBdr>
          <w:left w:val="single" w:color="2E7D32" w:sz="12" w:space="8"/>
        </w:pBdr>
        <w:spacing w:after="160" w:line="280"/>
        <w:ind w:left="288"/>
        <w:jc w:val="both"/>
      </w:pPr>
      <w:r>
        <w:rPr>
          <w:rFonts w:ascii="Arial" w:cs="Arial" w:eastAsia="Arial" w:hAnsi="Arial"/>
          <w:i/>
          <w:iCs/>
          <w:color w:val="595959"/>
          <w:sz w:val="20"/>
          <w:szCs w:val="20"/>
        </w:rPr>
        <w:t xml:space="preserve">Partida arancelaria (SUNAT) y código CIIU de la actividad. Necesario si contemplas exportación.</w:t>
      </w:r>
    </w:p>
    <w:p>
      <w:pPr>
        <w:pStyle w:val="Heading3"/>
        <w:spacing w:after="100" w:before="180"/>
      </w:pPr>
      <w:r>
        <w:rPr>
          <w:rFonts w:ascii="Arial" w:cs="Arial" w:eastAsia="Arial" w:hAnsi="Arial"/>
          <w:b/>
          <w:bCs/>
          <w:color w:val="2F5496"/>
          <w:sz w:val="22"/>
          <w:szCs w:val="22"/>
        </w:rPr>
        <w:t xml:space="preserve">2.1.3. Productos sustitutos y complementarios</w:t>
      </w:r>
    </w:p>
    <w:p>
      <w:pPr>
        <w:pBdr>
          <w:left w:val="single" w:color="2E7D32" w:sz="12" w:space="8"/>
        </w:pBdr>
        <w:spacing w:after="160" w:line="280"/>
        <w:ind w:left="288"/>
        <w:jc w:val="both"/>
      </w:pPr>
      <w:r>
        <w:rPr>
          <w:rFonts w:ascii="Arial" w:cs="Arial" w:eastAsia="Arial" w:hAnsi="Arial"/>
          <w:i/>
          <w:iCs/>
          <w:color w:val="595959"/>
          <w:sz w:val="20"/>
          <w:szCs w:val="20"/>
        </w:rPr>
        <w:t xml:space="preserve">Con qué compite directamente tu producto y con qué se consume.</w:t>
      </w:r>
    </w:p>
    <w:p>
      <w:pPr>
        <w:pStyle w:val="Heading2"/>
        <w:spacing w:after="120" w:before="260"/>
      </w:pPr>
      <w:r>
        <w:rPr>
          <w:rFonts w:ascii="Arial" w:cs="Arial" w:eastAsia="Arial" w:hAnsi="Arial"/>
          <w:b/>
          <w:bCs/>
          <w:color w:val="1F3864"/>
          <w:sz w:val="24"/>
          <w:szCs w:val="24"/>
        </w:rPr>
        <w:t xml:space="preserve">2.2. Análisis de la demanda</w:t>
      </w:r>
    </w:p>
    <w:p>
      <w:pPr>
        <w:pStyle w:val="Heading3"/>
        <w:spacing w:after="100" w:before="180"/>
      </w:pPr>
      <w:r>
        <w:rPr>
          <w:rFonts w:ascii="Arial" w:cs="Arial" w:eastAsia="Arial" w:hAnsi="Arial"/>
          <w:b/>
          <w:bCs/>
          <w:color w:val="2F5496"/>
          <w:sz w:val="22"/>
          <w:szCs w:val="22"/>
        </w:rPr>
        <w:t xml:space="preserve">2.2.1. Demanda histórica</w:t>
      </w:r>
    </w:p>
    <w:p>
      <w:pPr>
        <w:pBdr>
          <w:left w:val="single" w:color="2E7D32" w:sz="12" w:space="8"/>
        </w:pBdr>
        <w:spacing w:after="160" w:line="280"/>
        <w:ind w:left="288"/>
        <w:jc w:val="both"/>
      </w:pPr>
      <w:r>
        <w:rPr>
          <w:rFonts w:ascii="Arial" w:cs="Arial" w:eastAsia="Arial" w:hAnsi="Arial"/>
          <w:i/>
          <w:iCs/>
          <w:color w:val="595959"/>
          <w:sz w:val="20"/>
          <w:szCs w:val="20"/>
        </w:rPr>
        <w:t xml:space="preserve">Serie de al menos 5 años. Fuentes: INEI, MIDAGRI (SIEA), PRODUCE, Veritrade o SUNAT para importaciones. Preséntala en tabla y gráfico.</w:t>
      </w:r>
    </w:p>
    <w:p>
      <w:pPr>
        <w:pStyle w:val="Heading3"/>
        <w:spacing w:after="100" w:before="180"/>
      </w:pPr>
      <w:r>
        <w:rPr>
          <w:rFonts w:ascii="Arial" w:cs="Arial" w:eastAsia="Arial" w:hAnsi="Arial"/>
          <w:b/>
          <w:bCs/>
          <w:color w:val="2F5496"/>
          <w:sz w:val="22"/>
          <w:szCs w:val="22"/>
        </w:rPr>
        <w:t xml:space="preserve">2.2.2. Segmentación del mercado y mercado objetivo</w:t>
      </w:r>
    </w:p>
    <w:p>
      <w:pPr>
        <w:pBdr>
          <w:left w:val="single" w:color="2E7D32" w:sz="12" w:space="8"/>
        </w:pBdr>
        <w:spacing w:after="160" w:line="280"/>
        <w:ind w:left="288"/>
        <w:jc w:val="both"/>
      </w:pPr>
      <w:r>
        <w:rPr>
          <w:rFonts w:ascii="Arial" w:cs="Arial" w:eastAsia="Arial" w:hAnsi="Arial"/>
          <w:i/>
          <w:iCs/>
          <w:color w:val="595959"/>
          <w:sz w:val="20"/>
          <w:szCs w:val="20"/>
        </w:rPr>
        <w:t xml:space="preserve">Segmenta por geografía, NSE, edad o canal. Define claramente tu mercado meta y cuantifícalo en número de habitantes o de hogares.</w:t>
      </w:r>
    </w:p>
    <w:p>
      <w:pPr>
        <w:pStyle w:val="Heading3"/>
        <w:spacing w:after="100" w:before="180"/>
      </w:pPr>
      <w:r>
        <w:rPr>
          <w:rFonts w:ascii="Arial" w:cs="Arial" w:eastAsia="Arial" w:hAnsi="Arial"/>
          <w:b/>
          <w:bCs/>
          <w:color w:val="2F5496"/>
          <w:sz w:val="22"/>
          <w:szCs w:val="22"/>
        </w:rPr>
        <w:t xml:space="preserve">2.2.3. Proyección de la demanda</w:t>
      </w:r>
    </w:p>
    <w:p>
      <w:pPr>
        <w:pBdr>
          <w:left w:val="single" w:color="2E7D32" w:sz="12" w:space="8"/>
        </w:pBdr>
        <w:spacing w:after="160" w:line="280"/>
        <w:ind w:left="288"/>
        <w:jc w:val="both"/>
      </w:pPr>
      <w:r>
        <w:rPr>
          <w:rFonts w:ascii="Arial" w:cs="Arial" w:eastAsia="Arial" w:hAnsi="Arial"/>
          <w:i/>
          <w:iCs/>
          <w:color w:val="595959"/>
          <w:sz w:val="20"/>
          <w:szCs w:val="20"/>
        </w:rPr>
        <w:t xml:space="preserve">Ajusta una regresión (lineal, exponencial o potencial) y elige la de mayor R². Proyecta los 10 años del horizonte. Muestra la ecuación y el R² en el texto.</w:t>
      </w:r>
    </w:p>
    <w:p>
      <w:pPr>
        <w:pStyle w:val="Heading2"/>
        <w:spacing w:after="120" w:before="260"/>
      </w:pPr>
      <w:r>
        <w:rPr>
          <w:rFonts w:ascii="Arial" w:cs="Arial" w:eastAsia="Arial" w:hAnsi="Arial"/>
          <w:b/>
          <w:bCs/>
          <w:color w:val="1F3864"/>
          <w:sz w:val="24"/>
          <w:szCs w:val="24"/>
        </w:rPr>
        <w:t xml:space="preserve">2.3. Análisis de la oferta</w:t>
      </w:r>
    </w:p>
    <w:p>
      <w:pPr>
        <w:pBdr>
          <w:left w:val="single" w:color="2E7D32" w:sz="12" w:space="8"/>
        </w:pBdr>
        <w:spacing w:after="160" w:line="280"/>
        <w:ind w:left="288"/>
        <w:jc w:val="both"/>
      </w:pPr>
      <w:r>
        <w:rPr>
          <w:rFonts w:ascii="Arial" w:cs="Arial" w:eastAsia="Arial" w:hAnsi="Arial"/>
          <w:i/>
          <w:iCs/>
          <w:color w:val="595959"/>
          <w:sz w:val="20"/>
          <w:szCs w:val="20"/>
        </w:rPr>
        <w:t xml:space="preserve">Producción nacional + importaciones. Identifica a los principales competidores, su capacidad instalada y su participación de mercado. Proyecta la oferta con el mismo método que la demanda.</w:t>
      </w:r>
    </w:p>
    <w:p>
      <w:pPr>
        <w:pStyle w:val="Heading2"/>
        <w:spacing w:after="120" w:before="260"/>
      </w:pPr>
      <w:r>
        <w:rPr>
          <w:rFonts w:ascii="Arial" w:cs="Arial" w:eastAsia="Arial" w:hAnsi="Arial"/>
          <w:b/>
          <w:bCs/>
          <w:color w:val="1F3864"/>
          <w:sz w:val="24"/>
          <w:szCs w:val="24"/>
        </w:rPr>
        <w:t xml:space="preserve">2.4. Demanda insatisfecha y demanda del proyecto</w:t>
      </w:r>
    </w:p>
    <w:p>
      <w:pPr>
        <w:pBdr>
          <w:left w:val="single" w:color="2E7D32" w:sz="12" w:space="8"/>
        </w:pBdr>
        <w:spacing w:after="160" w:line="280"/>
        <w:ind w:left="288"/>
        <w:jc w:val="both"/>
      </w:pPr>
      <w:r>
        <w:rPr>
          <w:rFonts w:ascii="Arial" w:cs="Arial" w:eastAsia="Arial" w:hAnsi="Arial"/>
          <w:i/>
          <w:iCs/>
          <w:color w:val="595959"/>
          <w:sz w:val="20"/>
          <w:szCs w:val="20"/>
        </w:rPr>
        <w:t xml:space="preserve">Demanda insatisfecha = Demanda proyectada − Oferta proyectada. Luego define qué porcentaje de esa brecha vas a cubrir (normalmente entre 2 % y 15 %) y JUSTIFÍCALO con tu capacidad financiera y técnica. El resultado, en unidades o toneladas por año, es la demanda del proyecto.</w:t>
      </w:r>
    </w:p>
    <w:p>
      <w:pPr>
        <w:spacing w:after="120" w:line="300"/>
        <w:jc w:val="both"/>
      </w:pPr>
      <w:r>
        <w:rPr>
          <w:rFonts w:ascii="Arial" w:cs="Arial" w:eastAsia="Arial" w:hAnsi="Arial"/>
          <w:b/>
          <w:bCs/>
          <w:i w:val="false"/>
          <w:iCs w:val="false"/>
          <w:sz w:val="22"/>
          <w:szCs w:val="22"/>
        </w:rPr>
        <w:t xml:space="preserve">Tabla modelo para esta sección: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Año</w:t>
            </w:r>
          </w:p>
        </w:tc>
        <w:tc>
          <w:tcPr>
            <w:tcW w:type="dxa" w:w="34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Demanda proyectada (t)</w:t>
            </w:r>
          </w:p>
        </w:tc>
        <w:tc>
          <w:tcPr>
            <w:tcW w:type="dxa" w:w="34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Oferta proyectada (t)</w:t>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1</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2</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10</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bl>
    <w:p>
      <w:pPr>
        <w:spacing w:after="120" w:line="300"/>
        <w:jc w:val="both"/>
      </w:pPr>
      <w:r>
        <w:rPr>
          <w:rFonts w:ascii="Arial" w:cs="Arial" w:eastAsia="Arial" w:hAnsi="Arial"/>
          <w:b w:val="false"/>
          <w:bCs w:val="false"/>
          <w:i w:val="false"/>
          <w:iCs w:val="false"/>
          <w:sz w:val="22"/>
          <w:szCs w:val="22"/>
        </w:rPr>
        <w:t xml:space="preserve"/>
      </w:r>
    </w:p>
    <w:p>
      <w:pPr>
        <w:pBdr>
          <w:left w:val="single" w:color="2E7D32" w:sz="12" w:space="8"/>
        </w:pBdr>
        <w:spacing w:after="160" w:line="280"/>
        <w:ind w:left="288"/>
        <w:jc w:val="both"/>
      </w:pPr>
      <w:r>
        <w:rPr>
          <w:rFonts w:ascii="Arial" w:cs="Arial" w:eastAsia="Arial" w:hAnsi="Arial"/>
          <w:i/>
          <w:iCs/>
          <w:color w:val="595959"/>
          <w:sz w:val="20"/>
          <w:szCs w:val="20"/>
        </w:rPr>
        <w:t xml:space="preserve">Agrega dos columnas más: «Demanda insatisfecha» y «Demanda del proyecto (% de captación)».</w:t>
      </w:r>
    </w:p>
    <w:p>
      <w:pPr>
        <w:pStyle w:val="Heading2"/>
        <w:spacing w:after="120" w:before="260"/>
      </w:pPr>
      <w:r>
        <w:rPr>
          <w:rFonts w:ascii="Arial" w:cs="Arial" w:eastAsia="Arial" w:hAnsi="Arial"/>
          <w:b/>
          <w:bCs/>
          <w:color w:val="1F3864"/>
          <w:sz w:val="24"/>
          <w:szCs w:val="24"/>
        </w:rPr>
        <w:t xml:space="preserve">2.5. Análisis de precios</w:t>
      </w:r>
    </w:p>
    <w:p>
      <w:pPr>
        <w:pBdr>
          <w:left w:val="single" w:color="2E7D32" w:sz="12" w:space="8"/>
        </w:pBdr>
        <w:spacing w:after="160" w:line="280"/>
        <w:ind w:left="288"/>
        <w:jc w:val="both"/>
      </w:pPr>
      <w:r>
        <w:rPr>
          <w:rFonts w:ascii="Arial" w:cs="Arial" w:eastAsia="Arial" w:hAnsi="Arial"/>
          <w:i/>
          <w:iCs/>
          <w:color w:val="595959"/>
          <w:sz w:val="20"/>
          <w:szCs w:val="20"/>
        </w:rPr>
        <w:t xml:space="preserve">Precio histórico del producto y de la materia prima. Define tu precio de venta y con qué criterio lo fijaste: costo más margen, precio de la competencia o valor percibido. Este precio va directo al Excel.</w:t>
      </w:r>
    </w:p>
    <w:p>
      <w:pPr>
        <w:pStyle w:val="Heading2"/>
        <w:spacing w:after="120" w:before="260"/>
      </w:pPr>
      <w:r>
        <w:rPr>
          <w:rFonts w:ascii="Arial" w:cs="Arial" w:eastAsia="Arial" w:hAnsi="Arial"/>
          <w:b/>
          <w:bCs/>
          <w:color w:val="1F3864"/>
          <w:sz w:val="24"/>
          <w:szCs w:val="24"/>
        </w:rPr>
        <w:t xml:space="preserve">2.6. Comercialización</w:t>
      </w:r>
    </w:p>
    <w:p>
      <w:pPr>
        <w:pStyle w:val="Heading3"/>
        <w:spacing w:after="100" w:before="180"/>
      </w:pPr>
      <w:r>
        <w:rPr>
          <w:rFonts w:ascii="Arial" w:cs="Arial" w:eastAsia="Arial" w:hAnsi="Arial"/>
          <w:b/>
          <w:bCs/>
          <w:color w:val="2F5496"/>
          <w:sz w:val="22"/>
          <w:szCs w:val="22"/>
        </w:rPr>
        <w:t xml:space="preserve">2.6.1. Canales de distribución</w:t>
      </w:r>
    </w:p>
    <w:p>
      <w:pPr>
        <w:pBdr>
          <w:left w:val="single" w:color="2E7D32" w:sz="12" w:space="8"/>
        </w:pBdr>
        <w:spacing w:after="160" w:line="280"/>
        <w:ind w:left="288"/>
        <w:jc w:val="both"/>
      </w:pPr>
      <w:r>
        <w:rPr>
          <w:rFonts w:ascii="Arial" w:cs="Arial" w:eastAsia="Arial" w:hAnsi="Arial"/>
          <w:i/>
          <w:iCs/>
          <w:color w:val="595959"/>
          <w:sz w:val="20"/>
          <w:szCs w:val="20"/>
        </w:rPr>
        <w:t xml:space="preserve">Dibuja el canal: productor → mayorista → minorista → consumidor, o el que corresponda. Justifica el elegido.</w:t>
      </w:r>
    </w:p>
    <w:p>
      <w:pPr>
        <w:pStyle w:val="Heading3"/>
        <w:spacing w:after="100" w:before="180"/>
      </w:pPr>
      <w:r>
        <w:rPr>
          <w:rFonts w:ascii="Arial" w:cs="Arial" w:eastAsia="Arial" w:hAnsi="Arial"/>
          <w:b/>
          <w:bCs/>
          <w:color w:val="2F5496"/>
          <w:sz w:val="22"/>
          <w:szCs w:val="22"/>
        </w:rPr>
        <w:t xml:space="preserve">2.6.2. Estrategia de marketing (4P)</w:t>
      </w:r>
    </w:p>
    <w:p>
      <w:pPr>
        <w:pBdr>
          <w:left w:val="single" w:color="2E7D32" w:sz="12" w:space="8"/>
        </w:pBdr>
        <w:spacing w:after="160" w:line="280"/>
        <w:ind w:left="288"/>
        <w:jc w:val="both"/>
      </w:pPr>
      <w:r>
        <w:rPr>
          <w:rFonts w:ascii="Arial" w:cs="Arial" w:eastAsia="Arial" w:hAnsi="Arial"/>
          <w:i/>
          <w:iCs/>
          <w:color w:val="595959"/>
          <w:sz w:val="20"/>
          <w:szCs w:val="20"/>
        </w:rPr>
        <w:t xml:space="preserve">Producto, Precio, Plaza y Promoción. El presupuesto de promoción que definas aquí debe aparecer luego en gastos de ventas.</w:t>
      </w:r>
    </w:p>
    <w:p>
      <w:pPr>
        <w:pStyle w:val="Heading2"/>
        <w:spacing w:after="120" w:before="260"/>
      </w:pPr>
      <w:r>
        <w:rPr>
          <w:rFonts w:ascii="Arial" w:cs="Arial" w:eastAsia="Arial" w:hAnsi="Arial"/>
          <w:b/>
          <w:bCs/>
          <w:color w:val="1F3864"/>
          <w:sz w:val="24"/>
          <w:szCs w:val="24"/>
        </w:rPr>
        <w:t xml:space="preserve">2.7. Análisis del entorno competitivo</w:t>
      </w:r>
    </w:p>
    <w:p>
      <w:pPr>
        <w:pBdr>
          <w:left w:val="single" w:color="2E7D32" w:sz="12" w:space="8"/>
        </w:pBdr>
        <w:spacing w:after="160" w:line="280"/>
        <w:ind w:left="288"/>
        <w:jc w:val="both"/>
      </w:pPr>
      <w:r>
        <w:rPr>
          <w:rFonts w:ascii="Arial" w:cs="Arial" w:eastAsia="Arial" w:hAnsi="Arial"/>
          <w:i/>
          <w:iCs/>
          <w:color w:val="595959"/>
          <w:sz w:val="20"/>
          <w:szCs w:val="20"/>
        </w:rPr>
        <w:t xml:space="preserve">Cinco fuerzas de Porter y un FODA del proyecto. Mantenlo breve y aterrizado a tu producto, no genérico.</w:t>
      </w:r>
    </w:p>
    <w:p>
      <w:pPr>
        <w:pStyle w:val="Heading2"/>
        <w:spacing w:after="120" w:before="260"/>
      </w:pPr>
      <w:r>
        <w:rPr>
          <w:rFonts w:ascii="Arial" w:cs="Arial" w:eastAsia="Arial" w:hAnsi="Arial"/>
          <w:b/>
          <w:bCs/>
          <w:color w:val="1F3864"/>
          <w:sz w:val="24"/>
          <w:szCs w:val="24"/>
        </w:rPr>
        <w:t xml:space="preserve">2.8. Conclusiones del estudio de mercado</w:t>
      </w:r>
    </w:p>
    <w:p>
      <w:pPr>
        <w:pBdr>
          <w:left w:val="single" w:color="2E7D32" w:sz="12" w:space="8"/>
        </w:pBdr>
        <w:spacing w:after="160" w:line="280"/>
        <w:ind w:left="288"/>
        <w:jc w:val="both"/>
      </w:pPr>
      <w:r>
        <w:rPr>
          <w:rFonts w:ascii="Arial" w:cs="Arial" w:eastAsia="Arial" w:hAnsi="Arial"/>
          <w:i/>
          <w:iCs/>
          <w:color w:val="595959"/>
          <w:sz w:val="20"/>
          <w:szCs w:val="20"/>
        </w:rPr>
        <w:t xml:space="preserve">Cierra con tres números concretos: demanda del proyecto en el año 1, precio de venta unitario y mercado objetivo. Son los que usarás en el resto del trabajo.</w:t>
      </w:r>
    </w:p>
    <w:p>
      <w:r>
        <w:br w:type="page"/>
      </w:r>
    </w:p>
    <w:p>
      <w:pPr>
        <w:pStyle w:val="Heading1"/>
        <w:spacing w:after="200" w:before="360"/>
      </w:pPr>
      <w:r>
        <w:rPr>
          <w:rFonts w:ascii="Arial" w:cs="Arial" w:eastAsia="Arial" w:hAnsi="Arial"/>
          <w:b/>
          <w:bCs/>
          <w:color w:val="1F3864"/>
          <w:sz w:val="30"/>
          <w:szCs w:val="30"/>
        </w:rPr>
        <w:t xml:space="preserve">CAPÍTULO III: ESTUDIO TÉCNICO</w:t>
      </w:r>
    </w:p>
    <w:p>
      <w:pPr>
        <w:pStyle w:val="Heading2"/>
        <w:spacing w:after="120" w:before="260"/>
      </w:pPr>
      <w:r>
        <w:rPr>
          <w:rFonts w:ascii="Arial" w:cs="Arial" w:eastAsia="Arial" w:hAnsi="Arial"/>
          <w:b/>
          <w:bCs/>
          <w:color w:val="1F3864"/>
          <w:sz w:val="24"/>
          <w:szCs w:val="24"/>
        </w:rPr>
        <w:t xml:space="preserve">3.1. Tamaño del proyecto</w:t>
      </w:r>
    </w:p>
    <w:p>
      <w:pPr>
        <w:pStyle w:val="Heading3"/>
        <w:spacing w:after="100" w:before="180"/>
      </w:pPr>
      <w:r>
        <w:rPr>
          <w:rFonts w:ascii="Arial" w:cs="Arial" w:eastAsia="Arial" w:hAnsi="Arial"/>
          <w:b/>
          <w:bCs/>
          <w:color w:val="2F5496"/>
          <w:sz w:val="22"/>
          <w:szCs w:val="22"/>
        </w:rPr>
        <w:t xml:space="preserve">3.1.1. Factores condicionantes del tamaño</w:t>
      </w:r>
    </w:p>
    <w:p>
      <w:pPr>
        <w:pBdr>
          <w:left w:val="single" w:color="2E7D32" w:sz="12" w:space="8"/>
        </w:pBdr>
        <w:spacing w:after="160" w:line="280"/>
        <w:ind w:left="288"/>
        <w:jc w:val="both"/>
      </w:pPr>
      <w:r>
        <w:rPr>
          <w:rFonts w:ascii="Arial" w:cs="Arial" w:eastAsia="Arial" w:hAnsi="Arial"/>
          <w:i/>
          <w:iCs/>
          <w:color w:val="595959"/>
          <w:sz w:val="20"/>
          <w:szCs w:val="20"/>
        </w:rPr>
        <w:t xml:space="preserve">Analiza cinco relaciones: tamaño–mercado, tamaño–materia prima, tamaño–tecnología, tamaño–financiamiento y tamaño–punto de equilibrio. El factor más restrictivo es el que manda.</w:t>
      </w:r>
    </w:p>
    <w:p>
      <w:pPr>
        <w:pStyle w:val="Heading3"/>
        <w:spacing w:after="100" w:before="180"/>
      </w:pPr>
      <w:r>
        <w:rPr>
          <w:rFonts w:ascii="Arial" w:cs="Arial" w:eastAsia="Arial" w:hAnsi="Arial"/>
          <w:b/>
          <w:bCs/>
          <w:color w:val="2F5496"/>
          <w:sz w:val="22"/>
          <w:szCs w:val="22"/>
        </w:rPr>
        <w:t xml:space="preserve">3.1.2. Capacidad instalada y capacidad utilizada</w:t>
      </w:r>
    </w:p>
    <w:p>
      <w:pPr>
        <w:pBdr>
          <w:left w:val="single" w:color="2E7D32" w:sz="12" w:space="8"/>
        </w:pBdr>
        <w:spacing w:after="160" w:line="280"/>
        <w:ind w:left="288"/>
        <w:jc w:val="both"/>
      </w:pPr>
      <w:r>
        <w:rPr>
          <w:rFonts w:ascii="Arial" w:cs="Arial" w:eastAsia="Arial" w:hAnsi="Arial"/>
          <w:i/>
          <w:iCs/>
          <w:color w:val="595959"/>
          <w:sz w:val="20"/>
          <w:szCs w:val="20"/>
        </w:rPr>
        <w:t xml:space="preserve">Define capacidad en kg/hora, luego kg/día y t/año. Programa el uso de capacidad creciente: por ejemplo 60 % el año 1, 70 % el año 2, hasta 90 %. Esa curva va al Excel y define los ingresos.</w:t>
      </w:r>
    </w:p>
    <w:p>
      <w:pPr>
        <w:pStyle w:val="Heading2"/>
        <w:spacing w:after="120" w:before="260"/>
      </w:pPr>
      <w:r>
        <w:rPr>
          <w:rFonts w:ascii="Arial" w:cs="Arial" w:eastAsia="Arial" w:hAnsi="Arial"/>
          <w:b/>
          <w:bCs/>
          <w:color w:val="1F3864"/>
          <w:sz w:val="24"/>
          <w:szCs w:val="24"/>
        </w:rPr>
        <w:t xml:space="preserve">3.2. Localización del proyecto</w:t>
      </w:r>
    </w:p>
    <w:p>
      <w:pPr>
        <w:pStyle w:val="Heading3"/>
        <w:spacing w:after="100" w:before="180"/>
      </w:pPr>
      <w:r>
        <w:rPr>
          <w:rFonts w:ascii="Arial" w:cs="Arial" w:eastAsia="Arial" w:hAnsi="Arial"/>
          <w:b/>
          <w:bCs/>
          <w:color w:val="2F5496"/>
          <w:sz w:val="22"/>
          <w:szCs w:val="22"/>
        </w:rPr>
        <w:t xml:space="preserve">3.2.1. Macrolocalización</w:t>
      </w:r>
    </w:p>
    <w:p>
      <w:pPr>
        <w:pBdr>
          <w:left w:val="single" w:color="2E7D32" w:sz="12" w:space="8"/>
        </w:pBdr>
        <w:spacing w:after="160" w:line="280"/>
        <w:ind w:left="288"/>
        <w:jc w:val="both"/>
      </w:pPr>
      <w:r>
        <w:rPr>
          <w:rFonts w:ascii="Arial" w:cs="Arial" w:eastAsia="Arial" w:hAnsi="Arial"/>
          <w:i/>
          <w:iCs/>
          <w:color w:val="595959"/>
          <w:sz w:val="20"/>
          <w:szCs w:val="20"/>
        </w:rPr>
        <w:t xml:space="preserve">Comparación entre departamentos o provincias. Factores: cercanía a la materia prima, mercado, vías de acceso, servicios básicos, mano de obra.</w:t>
      </w:r>
    </w:p>
    <w:p>
      <w:pPr>
        <w:pStyle w:val="Heading3"/>
        <w:spacing w:after="100" w:before="180"/>
      </w:pPr>
      <w:r>
        <w:rPr>
          <w:rFonts w:ascii="Arial" w:cs="Arial" w:eastAsia="Arial" w:hAnsi="Arial"/>
          <w:b/>
          <w:bCs/>
          <w:color w:val="2F5496"/>
          <w:sz w:val="22"/>
          <w:szCs w:val="22"/>
        </w:rPr>
        <w:t xml:space="preserve">3.2.2. Microlocalización</w:t>
      </w:r>
    </w:p>
    <w:p>
      <w:pPr>
        <w:pBdr>
          <w:left w:val="single" w:color="2E7D32" w:sz="12" w:space="8"/>
        </w:pBdr>
        <w:spacing w:after="160" w:line="280"/>
        <w:ind w:left="288"/>
        <w:jc w:val="both"/>
      </w:pPr>
      <w:r>
        <w:rPr>
          <w:rFonts w:ascii="Arial" w:cs="Arial" w:eastAsia="Arial" w:hAnsi="Arial"/>
          <w:i/>
          <w:iCs/>
          <w:color w:val="595959"/>
          <w:sz w:val="20"/>
          <w:szCs w:val="20"/>
        </w:rPr>
        <w:t xml:space="preserve">Aplica el método de factores ponderados: asigna un peso a cada factor (suman 1.00), califica cada alternativa de 1 a 10, multiplica y suma. Gana el puntaje más alto. Presenta la matriz completa.</w:t>
      </w:r>
    </w:p>
    <w:p>
      <w:pPr>
        <w:spacing w:after="120" w:line="300"/>
        <w:jc w:val="both"/>
      </w:pPr>
      <w:r>
        <w:rPr>
          <w:rFonts w:ascii="Arial" w:cs="Arial" w:eastAsia="Arial" w:hAnsi="Arial"/>
          <w:b/>
          <w:bCs/>
          <w:i w:val="false"/>
          <w:iCs w:val="false"/>
          <w:sz w:val="22"/>
          <w:szCs w:val="22"/>
        </w:rPr>
        <w:t xml:space="preserve">Matriz de factores ponderados (modelo):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Factor</w:t>
            </w:r>
          </w:p>
        </w:tc>
        <w:tc>
          <w:tcPr>
            <w:tcW w:type="dxa" w:w="34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Peso</w:t>
            </w:r>
          </w:p>
        </w:tc>
        <w:tc>
          <w:tcPr>
            <w:tcW w:type="dxa" w:w="34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Alternativa A  /  B  /  C</w:t>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Cercanía materia prima</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0.30</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Cercanía al mercado</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0.20</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Servicios básicos</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0.15</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Vías de acceso</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0.15</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Costo del terreno</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0.10</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Disponibilidad de mano de obra</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0.10</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TOTAL</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1.00</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bl>
    <w:p>
      <w:pPr>
        <w:spacing w:after="120" w:line="300"/>
        <w:jc w:val="both"/>
      </w:pPr>
      <w:r>
        <w:rPr>
          <w:rFonts w:ascii="Arial" w:cs="Arial" w:eastAsia="Arial" w:hAnsi="Arial"/>
          <w:b w:val="false"/>
          <w:bCs w:val="false"/>
          <w:i w:val="false"/>
          <w:iCs w:val="false"/>
          <w:sz w:val="22"/>
          <w:szCs w:val="22"/>
        </w:rPr>
        <w:t xml:space="preserve"/>
      </w:r>
    </w:p>
    <w:p>
      <w:pPr>
        <w:pStyle w:val="Heading2"/>
        <w:spacing w:after="120" w:before="260"/>
      </w:pPr>
      <w:r>
        <w:rPr>
          <w:rFonts w:ascii="Arial" w:cs="Arial" w:eastAsia="Arial" w:hAnsi="Arial"/>
          <w:b/>
          <w:bCs/>
          <w:color w:val="1F3864"/>
          <w:sz w:val="24"/>
          <w:szCs w:val="24"/>
        </w:rPr>
        <w:t xml:space="preserve">3.3. Ingeniería del proyecto</w:t>
      </w:r>
    </w:p>
    <w:p>
      <w:pPr>
        <w:pStyle w:val="Heading3"/>
        <w:spacing w:after="100" w:before="180"/>
      </w:pPr>
      <w:r>
        <w:rPr>
          <w:rFonts w:ascii="Arial" w:cs="Arial" w:eastAsia="Arial" w:hAnsi="Arial"/>
          <w:b/>
          <w:bCs/>
          <w:color w:val="2F5496"/>
          <w:sz w:val="22"/>
          <w:szCs w:val="22"/>
        </w:rPr>
        <w:t xml:space="preserve">3.3.1. Descripción del proceso productivo</w:t>
      </w:r>
    </w:p>
    <w:p>
      <w:pPr>
        <w:pBdr>
          <w:left w:val="single" w:color="2E7D32" w:sz="12" w:space="8"/>
        </w:pBdr>
        <w:spacing w:after="160" w:line="280"/>
        <w:ind w:left="288"/>
        <w:jc w:val="both"/>
      </w:pPr>
      <w:r>
        <w:rPr>
          <w:rFonts w:ascii="Arial" w:cs="Arial" w:eastAsia="Arial" w:hAnsi="Arial"/>
          <w:i/>
          <w:iCs/>
          <w:color w:val="595959"/>
          <w:sz w:val="20"/>
          <w:szCs w:val="20"/>
        </w:rPr>
        <w:t xml:space="preserve">Describe cada operación unitaria con sus parámetros de control: temperatura, tiempo, °Brix, pH, humedad, velocidad. Sin parámetros numéricos, el capítulo no es de ingeniería.</w:t>
      </w:r>
    </w:p>
    <w:p>
      <w:pPr>
        <w:pStyle w:val="Heading3"/>
        <w:spacing w:after="100" w:before="180"/>
      </w:pPr>
      <w:r>
        <w:rPr>
          <w:rFonts w:ascii="Arial" w:cs="Arial" w:eastAsia="Arial" w:hAnsi="Arial"/>
          <w:b/>
          <w:bCs/>
          <w:color w:val="2F5496"/>
          <w:sz w:val="22"/>
          <w:szCs w:val="22"/>
        </w:rPr>
        <w:t xml:space="preserve">3.3.2. Diagrama de flujo del proceso (DOP / DAP)</w:t>
      </w:r>
    </w:p>
    <w:p>
      <w:pPr>
        <w:pBdr>
          <w:left w:val="single" w:color="2E7D32" w:sz="12" w:space="8"/>
        </w:pBdr>
        <w:spacing w:after="160" w:line="280"/>
        <w:ind w:left="288"/>
        <w:jc w:val="both"/>
      </w:pPr>
      <w:r>
        <w:rPr>
          <w:rFonts w:ascii="Arial" w:cs="Arial" w:eastAsia="Arial" w:hAnsi="Arial"/>
          <w:i/>
          <w:iCs/>
          <w:color w:val="595959"/>
          <w:sz w:val="20"/>
          <w:szCs w:val="20"/>
        </w:rPr>
        <w:t xml:space="preserve">Diagrama de operaciones con símbolos normalizados. Va como figura numerada.</w:t>
      </w:r>
    </w:p>
    <w:p>
      <w:pPr>
        <w:pStyle w:val="Heading3"/>
        <w:spacing w:after="100" w:before="180"/>
      </w:pPr>
      <w:r>
        <w:rPr>
          <w:rFonts w:ascii="Arial" w:cs="Arial" w:eastAsia="Arial" w:hAnsi="Arial"/>
          <w:b/>
          <w:bCs/>
          <w:color w:val="2F5496"/>
          <w:sz w:val="22"/>
          <w:szCs w:val="22"/>
        </w:rPr>
        <w:t xml:space="preserve">3.3.3. Balance de materia y de energía</w:t>
      </w:r>
    </w:p>
    <w:p>
      <w:pPr>
        <w:pBdr>
          <w:left w:val="single" w:color="2E7D32" w:sz="12" w:space="8"/>
        </w:pBdr>
        <w:spacing w:after="160" w:line="280"/>
        <w:ind w:left="288"/>
        <w:jc w:val="both"/>
      </w:pPr>
      <w:r>
        <w:rPr>
          <w:rFonts w:ascii="Arial" w:cs="Arial" w:eastAsia="Arial" w:hAnsi="Arial"/>
          <w:i/>
          <w:iCs/>
          <w:color w:val="595959"/>
          <w:sz w:val="20"/>
          <w:szCs w:val="20"/>
        </w:rPr>
        <w:t xml:space="preserve">Parte de 100 kg de materia prima y sigue las pérdidas por etapa hasta el producto terminado. De aquí sale el rendimiento (%), que es el que convierte tu demanda del proyecto en toneladas de materia prima a comprar.</w:t>
      </w:r>
    </w:p>
    <w:p>
      <w:pPr>
        <w:pStyle w:val="Heading3"/>
        <w:spacing w:after="100" w:before="180"/>
      </w:pPr>
      <w:r>
        <w:rPr>
          <w:rFonts w:ascii="Arial" w:cs="Arial" w:eastAsia="Arial" w:hAnsi="Arial"/>
          <w:b/>
          <w:bCs/>
          <w:color w:val="2F5496"/>
          <w:sz w:val="22"/>
          <w:szCs w:val="22"/>
        </w:rPr>
        <w:t xml:space="preserve">3.3.4. Requerimiento de maquinaria y equipos</w:t>
      </w:r>
    </w:p>
    <w:p>
      <w:pPr>
        <w:pBdr>
          <w:left w:val="single" w:color="2E7D32" w:sz="12" w:space="8"/>
        </w:pBdr>
        <w:spacing w:after="160" w:line="280"/>
        <w:ind w:left="288"/>
        <w:jc w:val="both"/>
      </w:pPr>
      <w:r>
        <w:rPr>
          <w:rFonts w:ascii="Arial" w:cs="Arial" w:eastAsia="Arial" w:hAnsi="Arial"/>
          <w:i/>
          <w:iCs/>
          <w:color w:val="595959"/>
          <w:sz w:val="20"/>
          <w:szCs w:val="20"/>
        </w:rPr>
        <w:t xml:space="preserve">Tabla con equipo, capacidad, cantidad, potencia (kW), proveedor y costo unitario. Esta tabla se copia tal cual a la hoja de inversiones del Excel.</w:t>
      </w:r>
    </w:p>
    <w:p>
      <w:pPr>
        <w:pStyle w:val="Heading3"/>
        <w:spacing w:after="100" w:before="180"/>
      </w:pPr>
      <w:r>
        <w:rPr>
          <w:rFonts w:ascii="Arial" w:cs="Arial" w:eastAsia="Arial" w:hAnsi="Arial"/>
          <w:b/>
          <w:bCs/>
          <w:color w:val="2F5496"/>
          <w:sz w:val="22"/>
          <w:szCs w:val="22"/>
        </w:rPr>
        <w:t xml:space="preserve">3.3.5. Requerimiento de materia prima e insumos</w:t>
      </w:r>
    </w:p>
    <w:p>
      <w:pPr>
        <w:pBdr>
          <w:left w:val="single" w:color="2E7D32" w:sz="12" w:space="8"/>
        </w:pBdr>
        <w:spacing w:after="160" w:line="280"/>
        <w:ind w:left="288"/>
        <w:jc w:val="both"/>
      </w:pPr>
      <w:r>
        <w:rPr>
          <w:rFonts w:ascii="Arial" w:cs="Arial" w:eastAsia="Arial" w:hAnsi="Arial"/>
          <w:i/>
          <w:iCs/>
          <w:color w:val="595959"/>
          <w:sz w:val="20"/>
          <w:szCs w:val="20"/>
        </w:rPr>
        <w:t xml:space="preserve">Por tonelada de producto y por año, para todo el horizonte. Incluye insumos, envases y etiquetas.</w:t>
      </w:r>
    </w:p>
    <w:p>
      <w:pPr>
        <w:pStyle w:val="Heading3"/>
        <w:spacing w:after="100" w:before="180"/>
      </w:pPr>
      <w:r>
        <w:rPr>
          <w:rFonts w:ascii="Arial" w:cs="Arial" w:eastAsia="Arial" w:hAnsi="Arial"/>
          <w:b/>
          <w:bCs/>
          <w:color w:val="2F5496"/>
          <w:sz w:val="22"/>
          <w:szCs w:val="22"/>
        </w:rPr>
        <w:t xml:space="preserve">3.3.6. Requerimiento de mano de obra</w:t>
      </w:r>
    </w:p>
    <w:p>
      <w:pPr>
        <w:pBdr>
          <w:left w:val="single" w:color="2E7D32" w:sz="12" w:space="8"/>
        </w:pBdr>
        <w:spacing w:after="160" w:line="280"/>
        <w:ind w:left="288"/>
        <w:jc w:val="both"/>
      </w:pPr>
      <w:r>
        <w:rPr>
          <w:rFonts w:ascii="Arial" w:cs="Arial" w:eastAsia="Arial" w:hAnsi="Arial"/>
          <w:i/>
          <w:iCs/>
          <w:color w:val="595959"/>
          <w:sz w:val="20"/>
          <w:szCs w:val="20"/>
        </w:rPr>
        <w:t xml:space="preserve">Separa mano de obra directa (operarios) de indirecta (supervisor, jefe de planta). Este dato va al costo de producción y al organigrama.</w:t>
      </w:r>
    </w:p>
    <w:p>
      <w:pPr>
        <w:pStyle w:val="Heading3"/>
        <w:spacing w:after="100" w:before="180"/>
      </w:pPr>
      <w:r>
        <w:rPr>
          <w:rFonts w:ascii="Arial" w:cs="Arial" w:eastAsia="Arial" w:hAnsi="Arial"/>
          <w:b/>
          <w:bCs/>
          <w:color w:val="2F5496"/>
          <w:sz w:val="22"/>
          <w:szCs w:val="22"/>
        </w:rPr>
        <w:t xml:space="preserve">3.3.7. Requerimiento de servicios</w:t>
      </w:r>
    </w:p>
    <w:p>
      <w:pPr>
        <w:pBdr>
          <w:left w:val="single" w:color="2E7D32" w:sz="12" w:space="8"/>
        </w:pBdr>
        <w:spacing w:after="160" w:line="280"/>
        <w:ind w:left="288"/>
        <w:jc w:val="both"/>
      </w:pPr>
      <w:r>
        <w:rPr>
          <w:rFonts w:ascii="Arial" w:cs="Arial" w:eastAsia="Arial" w:hAnsi="Arial"/>
          <w:i/>
          <w:iCs/>
          <w:color w:val="595959"/>
          <w:sz w:val="20"/>
          <w:szCs w:val="20"/>
        </w:rPr>
        <w:t xml:space="preserve">Agua, energía eléctrica, vapor, combustible. Estima consumos mensuales y sus costos.</w:t>
      </w:r>
    </w:p>
    <w:p>
      <w:pPr>
        <w:pStyle w:val="Heading3"/>
        <w:spacing w:after="100" w:before="180"/>
      </w:pPr>
      <w:r>
        <w:rPr>
          <w:rFonts w:ascii="Arial" w:cs="Arial" w:eastAsia="Arial" w:hAnsi="Arial"/>
          <w:b/>
          <w:bCs/>
          <w:color w:val="2F5496"/>
          <w:sz w:val="22"/>
          <w:szCs w:val="22"/>
        </w:rPr>
        <w:t xml:space="preserve">3.3.8. Distribución de planta</w:t>
      </w:r>
    </w:p>
    <w:p>
      <w:pPr>
        <w:pBdr>
          <w:left w:val="single" w:color="2E7D32" w:sz="12" w:space="8"/>
        </w:pBdr>
        <w:spacing w:after="160" w:line="280"/>
        <w:ind w:left="288"/>
        <w:jc w:val="both"/>
      </w:pPr>
      <w:r>
        <w:rPr>
          <w:rFonts w:ascii="Arial" w:cs="Arial" w:eastAsia="Arial" w:hAnsi="Arial"/>
          <w:i/>
          <w:iCs/>
          <w:color w:val="595959"/>
          <w:sz w:val="20"/>
          <w:szCs w:val="20"/>
        </w:rPr>
        <w:t xml:space="preserve">Áreas requeridas en m² y plano de distribución (layout). Puedes usar el método SLP (Systematic Layout Planning) con la tabla relacional de actividades.</w:t>
      </w:r>
    </w:p>
    <w:p>
      <w:pPr>
        <w:pStyle w:val="Heading3"/>
        <w:spacing w:after="100" w:before="180"/>
      </w:pPr>
      <w:r>
        <w:rPr>
          <w:rFonts w:ascii="Arial" w:cs="Arial" w:eastAsia="Arial" w:hAnsi="Arial"/>
          <w:b/>
          <w:bCs/>
          <w:color w:val="2F5496"/>
          <w:sz w:val="22"/>
          <w:szCs w:val="22"/>
        </w:rPr>
        <w:t xml:space="preserve">3.3.9. Control de calidad e inocuidad</w:t>
      </w:r>
    </w:p>
    <w:p>
      <w:pPr>
        <w:pBdr>
          <w:left w:val="single" w:color="2E7D32" w:sz="12" w:space="8"/>
        </w:pBdr>
        <w:spacing w:after="160" w:line="280"/>
        <w:ind w:left="288"/>
        <w:jc w:val="both"/>
      </w:pPr>
      <w:r>
        <w:rPr>
          <w:rFonts w:ascii="Arial" w:cs="Arial" w:eastAsia="Arial" w:hAnsi="Arial"/>
          <w:i/>
          <w:iCs/>
          <w:color w:val="595959"/>
          <w:sz w:val="20"/>
          <w:szCs w:val="20"/>
        </w:rPr>
        <w:t xml:space="preserve">BPM, POES y plan HACCP con la tabla de PCC. Menciona el registro sanitario ante DIGESA y, si aplica, la certificación SENASA o HACCP.</w:t>
      </w:r>
    </w:p>
    <w:p>
      <w:pPr>
        <w:pStyle w:val="Heading2"/>
        <w:spacing w:after="120" w:before="260"/>
      </w:pPr>
      <w:r>
        <w:rPr>
          <w:rFonts w:ascii="Arial" w:cs="Arial" w:eastAsia="Arial" w:hAnsi="Arial"/>
          <w:b/>
          <w:bCs/>
          <w:color w:val="1F3864"/>
          <w:sz w:val="24"/>
          <w:szCs w:val="24"/>
        </w:rPr>
        <w:t xml:space="preserve">3.4. Cronograma de ejecución del proyecto</w:t>
      </w:r>
    </w:p>
    <w:p>
      <w:pPr>
        <w:pBdr>
          <w:left w:val="single" w:color="2E7D32" w:sz="12" w:space="8"/>
        </w:pBdr>
        <w:spacing w:after="160" w:line="280"/>
        <w:ind w:left="288"/>
        <w:jc w:val="both"/>
      </w:pPr>
      <w:r>
        <w:rPr>
          <w:rFonts w:ascii="Arial" w:cs="Arial" w:eastAsia="Arial" w:hAnsi="Arial"/>
          <w:i/>
          <w:iCs/>
          <w:color w:val="595959"/>
          <w:sz w:val="20"/>
          <w:szCs w:val="20"/>
        </w:rPr>
        <w:t xml:space="preserve">Diagrama de Gantt con las etapas preoperativas: estudios, trámites, obra civil, compra e instalación de equipos, pruebas y puesta en marcha.</w:t>
      </w:r>
    </w:p>
    <w:p>
      <w:r>
        <w:br w:type="page"/>
      </w:r>
    </w:p>
    <w:p>
      <w:pPr>
        <w:pStyle w:val="Heading1"/>
        <w:spacing w:after="200" w:before="360"/>
      </w:pPr>
      <w:r>
        <w:rPr>
          <w:rFonts w:ascii="Arial" w:cs="Arial" w:eastAsia="Arial" w:hAnsi="Arial"/>
          <w:b/>
          <w:bCs/>
          <w:color w:val="1F3864"/>
          <w:sz w:val="30"/>
          <w:szCs w:val="30"/>
        </w:rPr>
        <w:t xml:space="preserve">CAPÍTULO IV: ESTUDIO ORGANIZACIONAL Y LEGAL</w:t>
      </w:r>
    </w:p>
    <w:p>
      <w:pPr>
        <w:pStyle w:val="Heading2"/>
        <w:spacing w:after="120" w:before="260"/>
      </w:pPr>
      <w:r>
        <w:rPr>
          <w:rFonts w:ascii="Arial" w:cs="Arial" w:eastAsia="Arial" w:hAnsi="Arial"/>
          <w:b/>
          <w:bCs/>
          <w:color w:val="1F3864"/>
          <w:sz w:val="24"/>
          <w:szCs w:val="24"/>
        </w:rPr>
        <w:t xml:space="preserve">4.1. Tipo de sociedad y constitución de la empresa</w:t>
      </w:r>
    </w:p>
    <w:p>
      <w:pPr>
        <w:pBdr>
          <w:left w:val="single" w:color="2E7D32" w:sz="12" w:space="8"/>
        </w:pBdr>
        <w:spacing w:after="160" w:line="280"/>
        <w:ind w:left="288"/>
        <w:jc w:val="both"/>
      </w:pPr>
      <w:r>
        <w:rPr>
          <w:rFonts w:ascii="Arial" w:cs="Arial" w:eastAsia="Arial" w:hAnsi="Arial"/>
          <w:i/>
          <w:iCs/>
          <w:color w:val="595959"/>
          <w:sz w:val="20"/>
          <w:szCs w:val="20"/>
        </w:rPr>
        <w:t xml:space="preserve">En Perú lo habitual es una S.A.C. Explica el trámite: reserva de nombre en SUNARP, minuta, escritura pública, inscripción, RUC ante SUNAT. Incluye los costos, que van a inversión intangible.</w:t>
      </w:r>
    </w:p>
    <w:p>
      <w:pPr>
        <w:pStyle w:val="Heading2"/>
        <w:spacing w:after="120" w:before="260"/>
      </w:pPr>
      <w:r>
        <w:rPr>
          <w:rFonts w:ascii="Arial" w:cs="Arial" w:eastAsia="Arial" w:hAnsi="Arial"/>
          <w:b/>
          <w:bCs/>
          <w:color w:val="1F3864"/>
          <w:sz w:val="24"/>
          <w:szCs w:val="24"/>
        </w:rPr>
        <w:t xml:space="preserve">4.2. Estructura orgánica</w:t>
      </w:r>
    </w:p>
    <w:p>
      <w:pPr>
        <w:pBdr>
          <w:left w:val="single" w:color="2E7D32" w:sz="12" w:space="8"/>
        </w:pBdr>
        <w:spacing w:after="160" w:line="280"/>
        <w:ind w:left="288"/>
        <w:jc w:val="both"/>
      </w:pPr>
      <w:r>
        <w:rPr>
          <w:rFonts w:ascii="Arial" w:cs="Arial" w:eastAsia="Arial" w:hAnsi="Arial"/>
          <w:i/>
          <w:iCs/>
          <w:color w:val="595959"/>
          <w:sz w:val="20"/>
          <w:szCs w:val="20"/>
        </w:rPr>
        <w:t xml:space="preserve">Organigrama de la empresa. Debe ser coherente con la mano de obra que definiste en el capítulo técnico: no pongas cargos que después no aparecen en la planilla.</w:t>
      </w:r>
    </w:p>
    <w:p>
      <w:pPr>
        <w:pStyle w:val="Heading2"/>
        <w:spacing w:after="120" w:before="260"/>
      </w:pPr>
      <w:r>
        <w:rPr>
          <w:rFonts w:ascii="Arial" w:cs="Arial" w:eastAsia="Arial" w:hAnsi="Arial"/>
          <w:b/>
          <w:bCs/>
          <w:color w:val="1F3864"/>
          <w:sz w:val="24"/>
          <w:szCs w:val="24"/>
        </w:rPr>
        <w:t xml:space="preserve">4.3. Manual de organización y funciones</w:t>
      </w:r>
    </w:p>
    <w:p>
      <w:pPr>
        <w:pBdr>
          <w:left w:val="single" w:color="2E7D32" w:sz="12" w:space="8"/>
        </w:pBdr>
        <w:spacing w:after="160" w:line="280"/>
        <w:ind w:left="288"/>
        <w:jc w:val="both"/>
      </w:pPr>
      <w:r>
        <w:rPr>
          <w:rFonts w:ascii="Arial" w:cs="Arial" w:eastAsia="Arial" w:hAnsi="Arial"/>
          <w:i/>
          <w:iCs/>
          <w:color w:val="595959"/>
          <w:sz w:val="20"/>
          <w:szCs w:val="20"/>
        </w:rPr>
        <w:t xml:space="preserve">Tabla por puesto: cargo, número de plazas, funciones principales, perfil requerido y remuneración mensual. La columna de remuneración alimenta el presupuesto de personal.</w:t>
      </w:r>
    </w:p>
    <w:p>
      <w:pPr>
        <w:pStyle w:val="Heading2"/>
        <w:spacing w:after="120" w:before="260"/>
      </w:pPr>
      <w:r>
        <w:rPr>
          <w:rFonts w:ascii="Arial" w:cs="Arial" w:eastAsia="Arial" w:hAnsi="Arial"/>
          <w:b/>
          <w:bCs/>
          <w:color w:val="1F3864"/>
          <w:sz w:val="24"/>
          <w:szCs w:val="24"/>
        </w:rPr>
        <w:t xml:space="preserve">4.4. Marco legal y normativo</w:t>
      </w:r>
    </w:p>
    <w:p>
      <w:pPr>
        <w:pBdr>
          <w:left w:val="single" w:color="2E7D32" w:sz="12" w:space="8"/>
        </w:pBdr>
        <w:spacing w:after="160" w:line="280"/>
        <w:ind w:left="288"/>
        <w:jc w:val="both"/>
      </w:pPr>
      <w:r>
        <w:rPr>
          <w:rFonts w:ascii="Arial" w:cs="Arial" w:eastAsia="Arial" w:hAnsi="Arial"/>
          <w:i/>
          <w:iCs/>
          <w:color w:val="595959"/>
          <w:sz w:val="20"/>
          <w:szCs w:val="20"/>
        </w:rPr>
        <w:t xml:space="preserve">Licencia de funcionamiento municipal, registro sanitario DIGESA, certificado de habilitación de planta, autorización SENASA si exportas, normas técnicas peruanas (NTP) aplicables a tu producto, Ley 30021 (octógonos) si es alimento procesado.</w:t>
      </w:r>
    </w:p>
    <w:p>
      <w:pPr>
        <w:pStyle w:val="Heading2"/>
        <w:spacing w:after="120" w:before="260"/>
      </w:pPr>
      <w:r>
        <w:rPr>
          <w:rFonts w:ascii="Arial" w:cs="Arial" w:eastAsia="Arial" w:hAnsi="Arial"/>
          <w:b/>
          <w:bCs/>
          <w:color w:val="1F3864"/>
          <w:sz w:val="24"/>
          <w:szCs w:val="24"/>
        </w:rPr>
        <w:t xml:space="preserve">4.5. Régimen tributario y laboral</w:t>
      </w:r>
    </w:p>
    <w:p>
      <w:pPr>
        <w:pBdr>
          <w:left w:val="single" w:color="2E7D32" w:sz="12" w:space="8"/>
        </w:pBdr>
        <w:spacing w:after="160" w:line="280"/>
        <w:ind w:left="288"/>
        <w:jc w:val="both"/>
      </w:pPr>
      <w:r>
        <w:rPr>
          <w:rFonts w:ascii="Arial" w:cs="Arial" w:eastAsia="Arial" w:hAnsi="Arial"/>
          <w:i/>
          <w:iCs/>
          <w:color w:val="595959"/>
          <w:sz w:val="20"/>
          <w:szCs w:val="20"/>
        </w:rPr>
        <w:t xml:space="preserve">Régimen tributario (RMT o Régimen General), IGV 18 %, impuesto a la renta 29.5 %. Régimen laboral: general o MYPE. Estos porcentajes van al Excel y afectan directamente el flujo de caja.</w:t>
      </w:r>
    </w:p>
    <w:p>
      <w:r>
        <w:br w:type="page"/>
      </w:r>
    </w:p>
    <w:p>
      <w:pPr>
        <w:pStyle w:val="Heading1"/>
        <w:spacing w:after="200" w:before="360"/>
      </w:pPr>
      <w:r>
        <w:rPr>
          <w:rFonts w:ascii="Arial" w:cs="Arial" w:eastAsia="Arial" w:hAnsi="Arial"/>
          <w:b/>
          <w:bCs/>
          <w:color w:val="1F3864"/>
          <w:sz w:val="30"/>
          <w:szCs w:val="30"/>
        </w:rPr>
        <w:t xml:space="preserve">CAPÍTULO V: ESTUDIO DE IMPACTO AMBIENTAL Y SOCIAL</w:t>
      </w:r>
    </w:p>
    <w:p>
      <w:pPr>
        <w:pStyle w:val="Heading2"/>
        <w:spacing w:after="120" w:before="260"/>
      </w:pPr>
      <w:r>
        <w:rPr>
          <w:rFonts w:ascii="Arial" w:cs="Arial" w:eastAsia="Arial" w:hAnsi="Arial"/>
          <w:b/>
          <w:bCs/>
          <w:color w:val="1F3864"/>
          <w:sz w:val="24"/>
          <w:szCs w:val="24"/>
        </w:rPr>
        <w:t xml:space="preserve">5.1. Identificación y evaluación de impactos</w:t>
      </w:r>
    </w:p>
    <w:p>
      <w:pPr>
        <w:pBdr>
          <w:left w:val="single" w:color="2E7D32" w:sz="12" w:space="8"/>
        </w:pBdr>
        <w:spacing w:after="160" w:line="280"/>
        <w:ind w:left="288"/>
        <w:jc w:val="both"/>
      </w:pPr>
      <w:r>
        <w:rPr>
          <w:rFonts w:ascii="Arial" w:cs="Arial" w:eastAsia="Arial" w:hAnsi="Arial"/>
          <w:i/>
          <w:iCs/>
          <w:color w:val="595959"/>
          <w:sz w:val="20"/>
          <w:szCs w:val="20"/>
        </w:rPr>
        <w:t xml:space="preserve">Usa la matriz de Leopold o la de importancia (Conesa). Evalúa impactos sobre agua, aire, suelo, ruido y componente social, en fase de construcción y de operación.</w:t>
      </w:r>
    </w:p>
    <w:p>
      <w:pPr>
        <w:pStyle w:val="Heading2"/>
        <w:spacing w:after="120" w:before="260"/>
      </w:pPr>
      <w:r>
        <w:rPr>
          <w:rFonts w:ascii="Arial" w:cs="Arial" w:eastAsia="Arial" w:hAnsi="Arial"/>
          <w:b/>
          <w:bCs/>
          <w:color w:val="1F3864"/>
          <w:sz w:val="24"/>
          <w:szCs w:val="24"/>
        </w:rPr>
        <w:t xml:space="preserve">5.2. Medidas de prevención y mitigación</w:t>
      </w:r>
    </w:p>
    <w:p>
      <w:pPr>
        <w:pBdr>
          <w:left w:val="single" w:color="2E7D32" w:sz="12" w:space="8"/>
        </w:pBdr>
        <w:spacing w:after="160" w:line="280"/>
        <w:ind w:left="288"/>
        <w:jc w:val="both"/>
      </w:pPr>
      <w:r>
        <w:rPr>
          <w:rFonts w:ascii="Arial" w:cs="Arial" w:eastAsia="Arial" w:hAnsi="Arial"/>
          <w:i/>
          <w:iCs/>
          <w:color w:val="595959"/>
          <w:sz w:val="20"/>
          <w:szCs w:val="20"/>
        </w:rPr>
        <w:t xml:space="preserve">Una medida concreta por cada impacto significativo, con su costo estimado. Ese costo debe aparecer en los gastos operativos del Excel.</w:t>
      </w:r>
    </w:p>
    <w:p>
      <w:pPr>
        <w:pStyle w:val="Heading2"/>
        <w:spacing w:after="120" w:before="260"/>
      </w:pPr>
      <w:r>
        <w:rPr>
          <w:rFonts w:ascii="Arial" w:cs="Arial" w:eastAsia="Arial" w:hAnsi="Arial"/>
          <w:b/>
          <w:bCs/>
          <w:color w:val="1F3864"/>
          <w:sz w:val="24"/>
          <w:szCs w:val="24"/>
        </w:rPr>
        <w:t xml:space="preserve">5.3. Manejo de residuos y efluentes</w:t>
      </w:r>
    </w:p>
    <w:p>
      <w:pPr>
        <w:pBdr>
          <w:left w:val="single" w:color="2E7D32" w:sz="12" w:space="8"/>
        </w:pBdr>
        <w:spacing w:after="160" w:line="280"/>
        <w:ind w:left="288"/>
        <w:jc w:val="both"/>
      </w:pPr>
      <w:r>
        <w:rPr>
          <w:rFonts w:ascii="Arial" w:cs="Arial" w:eastAsia="Arial" w:hAnsi="Arial"/>
          <w:i/>
          <w:iCs/>
          <w:color w:val="595959"/>
          <w:sz w:val="20"/>
          <w:szCs w:val="20"/>
        </w:rPr>
        <w:t xml:space="preserve">Muy valorado en agroindustria: qué haces con la cáscara, el bagazo, el suero o los descartes. Si los valorizas (compost, alimento animal, extracción de compuestos), menciónalo como ingreso secundario o como ahorro.</w:t>
      </w:r>
    </w:p>
    <w:p>
      <w:pPr>
        <w:pStyle w:val="Heading2"/>
        <w:spacing w:after="120" w:before="260"/>
      </w:pPr>
      <w:r>
        <w:rPr>
          <w:rFonts w:ascii="Arial" w:cs="Arial" w:eastAsia="Arial" w:hAnsi="Arial"/>
          <w:b/>
          <w:bCs/>
          <w:color w:val="1F3864"/>
          <w:sz w:val="24"/>
          <w:szCs w:val="24"/>
        </w:rPr>
        <w:t xml:space="preserve">5.4. Responsabilidad social y aporte al desarrollo local</w:t>
      </w:r>
    </w:p>
    <w:p>
      <w:pPr>
        <w:pBdr>
          <w:left w:val="single" w:color="2E7D32" w:sz="12" w:space="8"/>
        </w:pBdr>
        <w:spacing w:after="160" w:line="280"/>
        <w:ind w:left="288"/>
        <w:jc w:val="both"/>
      </w:pPr>
      <w:r>
        <w:rPr>
          <w:rFonts w:ascii="Arial" w:cs="Arial" w:eastAsia="Arial" w:hAnsi="Arial"/>
          <w:i/>
          <w:iCs/>
          <w:color w:val="595959"/>
          <w:sz w:val="20"/>
          <w:szCs w:val="20"/>
        </w:rPr>
        <w:t xml:space="preserve">Empleos generados, articulación con productores de la zona, capacitación a proveedores. Conecta esto con la competencia CG3 del sílabo (Gestión Ambiental, Social y de Gobernanza).</w:t>
      </w:r>
    </w:p>
    <w:p>
      <w:r>
        <w:br w:type="page"/>
      </w:r>
    </w:p>
    <w:p>
      <w:pPr>
        <w:pStyle w:val="Heading1"/>
        <w:spacing w:after="200" w:before="360"/>
      </w:pPr>
      <w:r>
        <w:rPr>
          <w:rFonts w:ascii="Arial" w:cs="Arial" w:eastAsia="Arial" w:hAnsi="Arial"/>
          <w:b/>
          <w:bCs/>
          <w:color w:val="1F3864"/>
          <w:sz w:val="30"/>
          <w:szCs w:val="30"/>
        </w:rPr>
        <w:t xml:space="preserve">CAPÍTULO VI: INVERSIONES Y FINANCIAMIENTO</w:t>
      </w:r>
    </w:p>
    <w:p>
      <w:pPr>
        <w:pBdr>
          <w:left w:val="single" w:color="2E7D32" w:sz="12" w:space="8"/>
        </w:pBdr>
        <w:spacing w:after="160" w:line="280"/>
        <w:ind w:left="288"/>
        <w:jc w:val="both"/>
      </w:pPr>
      <w:r>
        <w:rPr>
          <w:rFonts w:ascii="Arial" w:cs="Arial" w:eastAsia="Arial" w:hAnsi="Arial"/>
          <w:i/>
          <w:iCs/>
          <w:color w:val="595959"/>
          <w:sz w:val="20"/>
          <w:szCs w:val="20"/>
        </w:rPr>
        <w:t xml:space="preserve">A partir de aquí trabajas en el Excel adjunto. En el Word solo pegas las tablas resumen y explicas los resultados.</w:t>
      </w:r>
    </w:p>
    <w:p>
      <w:pPr>
        <w:pStyle w:val="Heading2"/>
        <w:spacing w:after="120" w:before="260"/>
      </w:pPr>
      <w:r>
        <w:rPr>
          <w:rFonts w:ascii="Arial" w:cs="Arial" w:eastAsia="Arial" w:hAnsi="Arial"/>
          <w:b/>
          <w:bCs/>
          <w:color w:val="1F3864"/>
          <w:sz w:val="24"/>
          <w:szCs w:val="24"/>
        </w:rPr>
        <w:t xml:space="preserve">6.1. Inversión fija tangible</w:t>
      </w:r>
    </w:p>
    <w:p>
      <w:pPr>
        <w:pBdr>
          <w:left w:val="single" w:color="2E7D32" w:sz="12" w:space="8"/>
        </w:pBdr>
        <w:spacing w:after="160" w:line="280"/>
        <w:ind w:left="288"/>
        <w:jc w:val="both"/>
      </w:pPr>
      <w:r>
        <w:rPr>
          <w:rFonts w:ascii="Arial" w:cs="Arial" w:eastAsia="Arial" w:hAnsi="Arial"/>
          <w:i/>
          <w:iCs/>
          <w:color w:val="595959"/>
          <w:sz w:val="20"/>
          <w:szCs w:val="20"/>
        </w:rPr>
        <w:t xml:space="preserve">Terreno, obras civiles, maquinaria y equipos, equipos de laboratorio, muebles y enseres, vehículos. Incluye IGV solo si la empresa no lo recupera; indica el criterio que usaste.</w:t>
      </w:r>
    </w:p>
    <w:p>
      <w:pPr>
        <w:pStyle w:val="Heading2"/>
        <w:spacing w:after="120" w:before="260"/>
      </w:pPr>
      <w:r>
        <w:rPr>
          <w:rFonts w:ascii="Arial" w:cs="Arial" w:eastAsia="Arial" w:hAnsi="Arial"/>
          <w:b/>
          <w:bCs/>
          <w:color w:val="1F3864"/>
          <w:sz w:val="24"/>
          <w:szCs w:val="24"/>
        </w:rPr>
        <w:t xml:space="preserve">6.2. Inversión fija intangible</w:t>
      </w:r>
    </w:p>
    <w:p>
      <w:pPr>
        <w:pBdr>
          <w:left w:val="single" w:color="2E7D32" w:sz="12" w:space="8"/>
        </w:pBdr>
        <w:spacing w:after="160" w:line="280"/>
        <w:ind w:left="288"/>
        <w:jc w:val="both"/>
      </w:pPr>
      <w:r>
        <w:rPr>
          <w:rFonts w:ascii="Arial" w:cs="Arial" w:eastAsia="Arial" w:hAnsi="Arial"/>
          <w:i/>
          <w:iCs/>
          <w:color w:val="595959"/>
          <w:sz w:val="20"/>
          <w:szCs w:val="20"/>
        </w:rPr>
        <w:t xml:space="preserve">Estudios, constitución de la empresa, licencias y permisos, registro sanitario, capacitación, puesta en marcha, software. Se amortiza en 5 años.</w:t>
      </w:r>
    </w:p>
    <w:p>
      <w:pPr>
        <w:pStyle w:val="Heading2"/>
        <w:spacing w:after="120" w:before="260"/>
      </w:pPr>
      <w:r>
        <w:rPr>
          <w:rFonts w:ascii="Arial" w:cs="Arial" w:eastAsia="Arial" w:hAnsi="Arial"/>
          <w:b/>
          <w:bCs/>
          <w:color w:val="1F3864"/>
          <w:sz w:val="24"/>
          <w:szCs w:val="24"/>
        </w:rPr>
        <w:t xml:space="preserve">6.3. Capital de trabajo</w:t>
      </w:r>
    </w:p>
    <w:p>
      <w:pPr>
        <w:pBdr>
          <w:left w:val="single" w:color="2E7D32" w:sz="12" w:space="8"/>
        </w:pBdr>
        <w:spacing w:after="160" w:line="280"/>
        <w:ind w:left="288"/>
        <w:jc w:val="both"/>
      </w:pPr>
      <w:r>
        <w:rPr>
          <w:rFonts w:ascii="Arial" w:cs="Arial" w:eastAsia="Arial" w:hAnsi="Arial"/>
          <w:i/>
          <w:iCs/>
          <w:color w:val="595959"/>
          <w:sz w:val="20"/>
          <w:szCs w:val="20"/>
        </w:rPr>
        <w:t xml:space="preserve">Método del ciclo de caja o del déficit acumulado máximo. Regla práctica: cubre entre 2 y 3 meses de costos operativos. Justifica el método que elegiste.</w:t>
      </w:r>
    </w:p>
    <w:p>
      <w:pPr>
        <w:pStyle w:val="Heading2"/>
        <w:spacing w:after="120" w:before="260"/>
      </w:pPr>
      <w:r>
        <w:rPr>
          <w:rFonts w:ascii="Arial" w:cs="Arial" w:eastAsia="Arial" w:hAnsi="Arial"/>
          <w:b/>
          <w:bCs/>
          <w:color w:val="1F3864"/>
          <w:sz w:val="24"/>
          <w:szCs w:val="24"/>
        </w:rPr>
        <w:t xml:space="preserve">6.4. Inversión total y cronograma de inversiones</w:t>
      </w:r>
    </w:p>
    <w:p>
      <w:pPr>
        <w:pBdr>
          <w:left w:val="single" w:color="2E7D32" w:sz="12" w:space="8"/>
        </w:pBdr>
        <w:spacing w:after="160" w:line="280"/>
        <w:ind w:left="288"/>
        <w:jc w:val="both"/>
      </w:pPr>
      <w:r>
        <w:rPr>
          <w:rFonts w:ascii="Arial" w:cs="Arial" w:eastAsia="Arial" w:hAnsi="Arial"/>
          <w:i/>
          <w:iCs/>
          <w:color w:val="595959"/>
          <w:sz w:val="20"/>
          <w:szCs w:val="20"/>
        </w:rPr>
        <w:t xml:space="preserve">Tabla resumen: tangible + intangible + capital de trabajo = inversión total. Distribúyela en el periodo preoperativo.</w:t>
      </w:r>
    </w:p>
    <w:p>
      <w:pPr>
        <w:pStyle w:val="Heading2"/>
        <w:spacing w:after="120" w:before="260"/>
      </w:pPr>
      <w:r>
        <w:rPr>
          <w:rFonts w:ascii="Arial" w:cs="Arial" w:eastAsia="Arial" w:hAnsi="Arial"/>
          <w:b/>
          <w:bCs/>
          <w:color w:val="1F3864"/>
          <w:sz w:val="24"/>
          <w:szCs w:val="24"/>
        </w:rPr>
        <w:t xml:space="preserve">6.5. Estructura de financiamiento</w:t>
      </w:r>
    </w:p>
    <w:p>
      <w:pPr>
        <w:pBdr>
          <w:left w:val="single" w:color="2E7D32" w:sz="12" w:space="8"/>
        </w:pBdr>
        <w:spacing w:after="160" w:line="280"/>
        <w:ind w:left="288"/>
        <w:jc w:val="both"/>
      </w:pPr>
      <w:r>
        <w:rPr>
          <w:rFonts w:ascii="Arial" w:cs="Arial" w:eastAsia="Arial" w:hAnsi="Arial"/>
          <w:i/>
          <w:iCs/>
          <w:color w:val="595959"/>
          <w:sz w:val="20"/>
          <w:szCs w:val="20"/>
        </w:rPr>
        <w:t xml:space="preserve">Define qué porcentaje es aporte propio y qué porcentaje es deuda (típico 40/60 o 30/70). Nombra la entidad financiera y la tasa efectiva anual (TEA) real de mercado, citando la fuente (SBS).</w:t>
      </w:r>
    </w:p>
    <w:p>
      <w:pPr>
        <w:pStyle w:val="Heading2"/>
        <w:spacing w:after="120" w:before="260"/>
      </w:pPr>
      <w:r>
        <w:rPr>
          <w:rFonts w:ascii="Arial" w:cs="Arial" w:eastAsia="Arial" w:hAnsi="Arial"/>
          <w:b/>
          <w:bCs/>
          <w:color w:val="1F3864"/>
          <w:sz w:val="24"/>
          <w:szCs w:val="24"/>
        </w:rPr>
        <w:t xml:space="preserve">6.6. Servicio de la deuda</w:t>
      </w:r>
    </w:p>
    <w:p>
      <w:pPr>
        <w:pBdr>
          <w:left w:val="single" w:color="2E7D32" w:sz="12" w:space="8"/>
        </w:pBdr>
        <w:spacing w:after="160" w:line="280"/>
        <w:ind w:left="288"/>
        <w:jc w:val="both"/>
      </w:pPr>
      <w:r>
        <w:rPr>
          <w:rFonts w:ascii="Arial" w:cs="Arial" w:eastAsia="Arial" w:hAnsi="Arial"/>
          <w:i/>
          <w:iCs/>
          <w:color w:val="595959"/>
          <w:sz w:val="20"/>
          <w:szCs w:val="20"/>
        </w:rPr>
        <w:t xml:space="preserve">Cuadro de amortización del préstamo: cuota, interés, amortización y saldo, año por año. El interés es gasto financiero y es deducible de impuestos: por eso el flujo financiero difiere del económico.</w:t>
      </w:r>
    </w:p>
    <w:p>
      <w:r>
        <w:br w:type="page"/>
      </w:r>
    </w:p>
    <w:p>
      <w:pPr>
        <w:pStyle w:val="Heading1"/>
        <w:spacing w:after="200" w:before="360"/>
      </w:pPr>
      <w:r>
        <w:rPr>
          <w:rFonts w:ascii="Arial" w:cs="Arial" w:eastAsia="Arial" w:hAnsi="Arial"/>
          <w:b/>
          <w:bCs/>
          <w:color w:val="1F3864"/>
          <w:sz w:val="30"/>
          <w:szCs w:val="30"/>
        </w:rPr>
        <w:t xml:space="preserve">CAPÍTULO VII: PRESUPUESTO DE INGRESOS Y EGRESOS</w:t>
      </w:r>
    </w:p>
    <w:p>
      <w:pPr>
        <w:pStyle w:val="Heading2"/>
        <w:spacing w:after="120" w:before="260"/>
      </w:pPr>
      <w:r>
        <w:rPr>
          <w:rFonts w:ascii="Arial" w:cs="Arial" w:eastAsia="Arial" w:hAnsi="Arial"/>
          <w:b/>
          <w:bCs/>
          <w:color w:val="1F3864"/>
          <w:sz w:val="24"/>
          <w:szCs w:val="24"/>
        </w:rPr>
        <w:t xml:space="preserve">7.1. Presupuesto de ingresos</w:t>
      </w:r>
    </w:p>
    <w:p>
      <w:pPr>
        <w:pBdr>
          <w:left w:val="single" w:color="2E7D32" w:sz="12" w:space="8"/>
        </w:pBdr>
        <w:spacing w:after="160" w:line="280"/>
        <w:ind w:left="288"/>
        <w:jc w:val="both"/>
      </w:pPr>
      <w:r>
        <w:rPr>
          <w:rFonts w:ascii="Arial" w:cs="Arial" w:eastAsia="Arial" w:hAnsi="Arial"/>
          <w:i/>
          <w:iCs/>
          <w:color w:val="595959"/>
          <w:sz w:val="20"/>
          <w:szCs w:val="20"/>
        </w:rPr>
        <w:t xml:space="preserve">Ingresos = unidades vendidas × precio unitario, año por año, siguiendo tu curva de utilización de capacidad. Suma ingresos por venta de subproductos si los tienes.</w:t>
      </w:r>
    </w:p>
    <w:p>
      <w:pPr>
        <w:pStyle w:val="Heading2"/>
        <w:spacing w:after="120" w:before="260"/>
      </w:pPr>
      <w:r>
        <w:rPr>
          <w:rFonts w:ascii="Arial" w:cs="Arial" w:eastAsia="Arial" w:hAnsi="Arial"/>
          <w:b/>
          <w:bCs/>
          <w:color w:val="1F3864"/>
          <w:sz w:val="24"/>
          <w:szCs w:val="24"/>
        </w:rPr>
        <w:t xml:space="preserve">7.2. Presupuesto de costos de producción</w:t>
      </w:r>
    </w:p>
    <w:p>
      <w:pPr>
        <w:pBdr>
          <w:left w:val="single" w:color="2E7D32" w:sz="12" w:space="8"/>
        </w:pBdr>
        <w:spacing w:after="160" w:line="280"/>
        <w:ind w:left="288"/>
        <w:jc w:val="both"/>
      </w:pPr>
      <w:r>
        <w:rPr>
          <w:rFonts w:ascii="Arial" w:cs="Arial" w:eastAsia="Arial" w:hAnsi="Arial"/>
          <w:i/>
          <w:iCs/>
          <w:color w:val="595959"/>
          <w:sz w:val="20"/>
          <w:szCs w:val="20"/>
        </w:rPr>
        <w:t xml:space="preserve">Materia prima directa + mano de obra directa + costos indirectos de fabricación (servicios, mantenimiento, depreciación de planta, materiales indirectos).</w:t>
      </w:r>
    </w:p>
    <w:p>
      <w:pPr>
        <w:pStyle w:val="Heading2"/>
        <w:spacing w:after="120" w:before="260"/>
      </w:pPr>
      <w:r>
        <w:rPr>
          <w:rFonts w:ascii="Arial" w:cs="Arial" w:eastAsia="Arial" w:hAnsi="Arial"/>
          <w:b/>
          <w:bCs/>
          <w:color w:val="1F3864"/>
          <w:sz w:val="24"/>
          <w:szCs w:val="24"/>
        </w:rPr>
        <w:t xml:space="preserve">7.3. Gastos administrativos y de ventas</w:t>
      </w:r>
    </w:p>
    <w:p>
      <w:pPr>
        <w:pBdr>
          <w:left w:val="single" w:color="2E7D32" w:sz="12" w:space="8"/>
        </w:pBdr>
        <w:spacing w:after="160" w:line="280"/>
        <w:ind w:left="288"/>
        <w:jc w:val="both"/>
      </w:pPr>
      <w:r>
        <w:rPr>
          <w:rFonts w:ascii="Arial" w:cs="Arial" w:eastAsia="Arial" w:hAnsi="Arial"/>
          <w:i/>
          <w:iCs/>
          <w:color w:val="595959"/>
          <w:sz w:val="20"/>
          <w:szCs w:val="20"/>
        </w:rPr>
        <w:t xml:space="preserve">Planilla administrativa, alquileres, servicios de oficina, publicidad, distribución, comisiones.</w:t>
      </w:r>
    </w:p>
    <w:p>
      <w:pPr>
        <w:pStyle w:val="Heading2"/>
        <w:spacing w:after="120" w:before="260"/>
      </w:pPr>
      <w:r>
        <w:rPr>
          <w:rFonts w:ascii="Arial" w:cs="Arial" w:eastAsia="Arial" w:hAnsi="Arial"/>
          <w:b/>
          <w:bCs/>
          <w:color w:val="1F3864"/>
          <w:sz w:val="24"/>
          <w:szCs w:val="24"/>
        </w:rPr>
        <w:t xml:space="preserve">7.4. Depreciación y amortización</w:t>
      </w:r>
    </w:p>
    <w:p>
      <w:pPr>
        <w:pBdr>
          <w:left w:val="single" w:color="2E7D32" w:sz="12" w:space="8"/>
        </w:pBdr>
        <w:spacing w:after="160" w:line="280"/>
        <w:ind w:left="288"/>
        <w:jc w:val="both"/>
      </w:pPr>
      <w:r>
        <w:rPr>
          <w:rFonts w:ascii="Arial" w:cs="Arial" w:eastAsia="Arial" w:hAnsi="Arial"/>
          <w:i/>
          <w:iCs/>
          <w:color w:val="595959"/>
          <w:sz w:val="20"/>
          <w:szCs w:val="20"/>
        </w:rPr>
        <w:t xml:space="preserve">Aplica las tasas de SUNAT: edificaciones 5 %, maquinaria y equipo 10 %, vehículos 20 %, equipos de cómputo 25 %. Intangibles se amortizan en 5 años. No es salida de caja, pero sí escudo fiscal: réstala antes de impuestos y súmala después.</w:t>
      </w:r>
    </w:p>
    <w:p>
      <w:pPr>
        <w:pStyle w:val="Heading2"/>
        <w:spacing w:after="120" w:before="260"/>
      </w:pPr>
      <w:r>
        <w:rPr>
          <w:rFonts w:ascii="Arial" w:cs="Arial" w:eastAsia="Arial" w:hAnsi="Arial"/>
          <w:b/>
          <w:bCs/>
          <w:color w:val="1F3864"/>
          <w:sz w:val="24"/>
          <w:szCs w:val="24"/>
        </w:rPr>
        <w:t xml:space="preserve">7.5. Costos fijos, variables y punto de equilibrio</w:t>
      </w:r>
    </w:p>
    <w:p>
      <w:pPr>
        <w:pBdr>
          <w:left w:val="single" w:color="2E7D32" w:sz="12" w:space="8"/>
        </w:pBdr>
        <w:spacing w:after="160" w:line="280"/>
        <w:ind w:left="288"/>
        <w:jc w:val="both"/>
      </w:pPr>
      <w:r>
        <w:rPr>
          <w:rFonts w:ascii="Arial" w:cs="Arial" w:eastAsia="Arial" w:hAnsi="Arial"/>
          <w:i/>
          <w:iCs/>
          <w:color w:val="595959"/>
          <w:sz w:val="20"/>
          <w:szCs w:val="20"/>
        </w:rPr>
        <w:t xml:space="preserve">Clasifica cada costo como fijo o variable y calcula el punto de equilibrio en unidades y en soles. Preséntalo también como gráfico. Un punto de equilibrio por debajo del 60 % de tu capacidad utilizada es señal de buen proyecto.</w:t>
      </w:r>
    </w:p>
    <w:p>
      <w:pPr>
        <w:pStyle w:val="Heading2"/>
        <w:spacing w:after="120" w:before="260"/>
      </w:pPr>
      <w:r>
        <w:rPr>
          <w:rFonts w:ascii="Arial" w:cs="Arial" w:eastAsia="Arial" w:hAnsi="Arial"/>
          <w:b/>
          <w:bCs/>
          <w:color w:val="1F3864"/>
          <w:sz w:val="24"/>
          <w:szCs w:val="24"/>
        </w:rPr>
        <w:t xml:space="preserve">7.6. Estados financieros proyectados</w:t>
      </w:r>
    </w:p>
    <w:p>
      <w:pPr>
        <w:pStyle w:val="Heading3"/>
        <w:spacing w:after="100" w:before="180"/>
      </w:pPr>
      <w:r>
        <w:rPr>
          <w:rFonts w:ascii="Arial" w:cs="Arial" w:eastAsia="Arial" w:hAnsi="Arial"/>
          <w:b/>
          <w:bCs/>
          <w:color w:val="2F5496"/>
          <w:sz w:val="22"/>
          <w:szCs w:val="22"/>
        </w:rPr>
        <w:t xml:space="preserve">7.6.1. Estado de resultados</w:t>
      </w:r>
    </w:p>
    <w:p>
      <w:pPr>
        <w:pBdr>
          <w:left w:val="single" w:color="2E7D32" w:sz="12" w:space="8"/>
        </w:pBdr>
        <w:spacing w:after="160" w:line="280"/>
        <w:ind w:left="288"/>
        <w:jc w:val="both"/>
      </w:pPr>
      <w:r>
        <w:rPr>
          <w:rFonts w:ascii="Arial" w:cs="Arial" w:eastAsia="Arial" w:hAnsi="Arial"/>
          <w:i/>
          <w:iCs/>
          <w:color w:val="595959"/>
          <w:sz w:val="20"/>
          <w:szCs w:val="20"/>
        </w:rPr>
        <w:t xml:space="preserve">Ventas − costo de ventas − gastos operativos − depreciación − gastos financieros = utilidad antes de impuestos; menos 29.5 % = utilidad neta.</w:t>
      </w:r>
    </w:p>
    <w:p>
      <w:pPr>
        <w:pStyle w:val="Heading3"/>
        <w:spacing w:after="100" w:before="180"/>
      </w:pPr>
      <w:r>
        <w:rPr>
          <w:rFonts w:ascii="Arial" w:cs="Arial" w:eastAsia="Arial" w:hAnsi="Arial"/>
          <w:b/>
          <w:bCs/>
          <w:color w:val="2F5496"/>
          <w:sz w:val="22"/>
          <w:szCs w:val="22"/>
        </w:rPr>
        <w:t xml:space="preserve">7.6.2. Flujo de caja proyectado</w:t>
      </w:r>
    </w:p>
    <w:p>
      <w:pPr>
        <w:pBdr>
          <w:left w:val="single" w:color="2E7D32" w:sz="12" w:space="8"/>
        </w:pBdr>
        <w:spacing w:after="160" w:line="280"/>
        <w:ind w:left="288"/>
        <w:jc w:val="both"/>
      </w:pPr>
      <w:r>
        <w:rPr>
          <w:rFonts w:ascii="Arial" w:cs="Arial" w:eastAsia="Arial" w:hAnsi="Arial"/>
          <w:i/>
          <w:iCs/>
          <w:color w:val="595959"/>
          <w:sz w:val="20"/>
          <w:szCs w:val="20"/>
        </w:rPr>
        <w:t xml:space="preserve">El corazón del trabajo. Debe separar claramente flujo de caja económico (sin deuda) y flujo de caja financiero (con deuda).</w:t>
      </w:r>
    </w:p>
    <w:p>
      <w:pPr>
        <w:pStyle w:val="Heading3"/>
        <w:spacing w:after="100" w:before="180"/>
      </w:pPr>
      <w:r>
        <w:rPr>
          <w:rFonts w:ascii="Arial" w:cs="Arial" w:eastAsia="Arial" w:hAnsi="Arial"/>
          <w:b/>
          <w:bCs/>
          <w:color w:val="2F5496"/>
          <w:sz w:val="22"/>
          <w:szCs w:val="22"/>
        </w:rPr>
        <w:t xml:space="preserve">7.6.3. Estado de situación financiera</w:t>
      </w:r>
    </w:p>
    <w:p>
      <w:pPr>
        <w:pBdr>
          <w:left w:val="single" w:color="2E7D32" w:sz="12" w:space="8"/>
        </w:pBdr>
        <w:spacing w:after="160" w:line="280"/>
        <w:ind w:left="288"/>
        <w:jc w:val="both"/>
      </w:pPr>
      <w:r>
        <w:rPr>
          <w:rFonts w:ascii="Arial" w:cs="Arial" w:eastAsia="Arial" w:hAnsi="Arial"/>
          <w:i/>
          <w:iCs/>
          <w:color w:val="595959"/>
          <w:sz w:val="20"/>
          <w:szCs w:val="20"/>
        </w:rPr>
        <w:t xml:space="preserve">Balance proyectado, si el sílabo lo exige.</w:t>
      </w:r>
    </w:p>
    <w:p>
      <w:r>
        <w:br w:type="page"/>
      </w:r>
    </w:p>
    <w:p>
      <w:pPr>
        <w:pStyle w:val="Heading1"/>
        <w:spacing w:after="200" w:before="360"/>
      </w:pPr>
      <w:r>
        <w:rPr>
          <w:rFonts w:ascii="Arial" w:cs="Arial" w:eastAsia="Arial" w:hAnsi="Arial"/>
          <w:b/>
          <w:bCs/>
          <w:color w:val="1F3864"/>
          <w:sz w:val="30"/>
          <w:szCs w:val="30"/>
        </w:rPr>
        <w:t xml:space="preserve">CAPÍTULO VIII: EVALUACIÓN DEL PROYECTO</w:t>
      </w:r>
    </w:p>
    <w:p>
      <w:pPr>
        <w:pStyle w:val="Heading2"/>
        <w:spacing w:after="120" w:before="260"/>
      </w:pPr>
      <w:r>
        <w:rPr>
          <w:rFonts w:ascii="Arial" w:cs="Arial" w:eastAsia="Arial" w:hAnsi="Arial"/>
          <w:b/>
          <w:bCs/>
          <w:color w:val="1F3864"/>
          <w:sz w:val="24"/>
          <w:szCs w:val="24"/>
        </w:rPr>
        <w:t xml:space="preserve">8.1. Costo de oportunidad del capital (COK) y WACC</w:t>
      </w:r>
    </w:p>
    <w:p>
      <w:pPr>
        <w:pBdr>
          <w:left w:val="single" w:color="2E7D32" w:sz="12" w:space="8"/>
        </w:pBdr>
        <w:spacing w:after="160" w:line="280"/>
        <w:ind w:left="288"/>
        <w:jc w:val="both"/>
      </w:pPr>
      <w:r>
        <w:rPr>
          <w:rFonts w:ascii="Arial" w:cs="Arial" w:eastAsia="Arial" w:hAnsi="Arial"/>
          <w:i/>
          <w:iCs/>
          <w:color w:val="595959"/>
          <w:sz w:val="20"/>
          <w:szCs w:val="20"/>
        </w:rPr>
        <w:t xml:space="preserve">COK por el modelo CAPM o por la tasa que exija el inversionista (en trabajos de curso suele fijarse entre 12 % y 20 %). El WACC pondera el COK del aporte propio con el costo de la deuda después de impuestos. Escribe la fórmula y el cálculo, no solo el resultado.</w:t>
      </w:r>
    </w:p>
    <w:p>
      <w:pPr>
        <w:pStyle w:val="Heading2"/>
        <w:spacing w:after="120" w:before="260"/>
      </w:pPr>
      <w:r>
        <w:rPr>
          <w:rFonts w:ascii="Arial" w:cs="Arial" w:eastAsia="Arial" w:hAnsi="Arial"/>
          <w:b/>
          <w:bCs/>
          <w:color w:val="1F3864"/>
          <w:sz w:val="24"/>
          <w:szCs w:val="24"/>
        </w:rPr>
        <w:t xml:space="preserve">8.2. Evaluación económica</w:t>
      </w:r>
    </w:p>
    <w:p>
      <w:pPr>
        <w:pBdr>
          <w:left w:val="single" w:color="2E7D32" w:sz="12" w:space="8"/>
        </w:pBdr>
        <w:spacing w:after="160" w:line="280"/>
        <w:ind w:left="288"/>
        <w:jc w:val="both"/>
      </w:pPr>
      <w:r>
        <w:rPr>
          <w:rFonts w:ascii="Arial" w:cs="Arial" w:eastAsia="Arial" w:hAnsi="Arial"/>
          <w:i/>
          <w:iCs/>
          <w:color w:val="595959"/>
          <w:sz w:val="20"/>
          <w:szCs w:val="20"/>
        </w:rPr>
        <w:t xml:space="preserve">Sobre el flujo de caja económico, descontado al COK: VANE, TIRE, B/C y periodo de recuperación. Mide si el negocio en sí es bueno, sin importar cómo se financie.</w:t>
      </w:r>
    </w:p>
    <w:p>
      <w:pPr>
        <w:pStyle w:val="Heading2"/>
        <w:spacing w:after="120" w:before="260"/>
      </w:pPr>
      <w:r>
        <w:rPr>
          <w:rFonts w:ascii="Arial" w:cs="Arial" w:eastAsia="Arial" w:hAnsi="Arial"/>
          <w:b/>
          <w:bCs/>
          <w:color w:val="1F3864"/>
          <w:sz w:val="24"/>
          <w:szCs w:val="24"/>
        </w:rPr>
        <w:t xml:space="preserve">8.3. Evaluación financiera</w:t>
      </w:r>
    </w:p>
    <w:p>
      <w:pPr>
        <w:pBdr>
          <w:left w:val="single" w:color="2E7D32" w:sz="12" w:space="8"/>
        </w:pBdr>
        <w:spacing w:after="160" w:line="280"/>
        <w:ind w:left="288"/>
        <w:jc w:val="both"/>
      </w:pPr>
      <w:r>
        <w:rPr>
          <w:rFonts w:ascii="Arial" w:cs="Arial" w:eastAsia="Arial" w:hAnsi="Arial"/>
          <w:i/>
          <w:iCs/>
          <w:color w:val="595959"/>
          <w:sz w:val="20"/>
          <w:szCs w:val="20"/>
        </w:rPr>
        <w:t xml:space="preserve">Sobre el flujo de caja financiero, descontado al WACC o al COK del accionista: VANF, TIRF, B/C y PRI. Mide qué gana el inversionista. Si el VANF supera al VANE, el apalancamiento le está agregando valor al proyecto: dilo explícitamente.</w:t>
      </w:r>
    </w:p>
    <w:p>
      <w:pPr>
        <w:spacing w:after="120" w:line="300"/>
        <w:jc w:val="both"/>
      </w:pPr>
      <w:r>
        <w:rPr>
          <w:rFonts w:ascii="Arial" w:cs="Arial" w:eastAsia="Arial" w:hAnsi="Arial"/>
          <w:b/>
          <w:bCs/>
          <w:i w:val="false"/>
          <w:iCs w:val="false"/>
          <w:sz w:val="22"/>
          <w:szCs w:val="22"/>
        </w:rPr>
        <w:t xml:space="preserve">Tabla resumen de resultados: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Indicador</w:t>
            </w:r>
          </w:p>
        </w:tc>
        <w:tc>
          <w:tcPr>
            <w:tcW w:type="dxa" w:w="34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Evaluación económica</w:t>
            </w:r>
          </w:p>
        </w:tc>
        <w:tc>
          <w:tcPr>
            <w:tcW w:type="dxa" w:w="34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Evaluación financiera</w:t>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VAN (S/)</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TIR (%)</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B/C</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r>
        <w:tc>
          <w:tcPr>
            <w:tcW w:type="dxa" w:w="22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PRI (años)</w:t>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c>
          <w:tcPr>
            <w:tcW w:type="dxa" w:w="34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
            </w:r>
          </w:p>
        </w:tc>
      </w:tr>
    </w:tbl>
    <w:p>
      <w:pPr>
        <w:spacing w:after="120" w:line="300"/>
        <w:jc w:val="both"/>
      </w:pPr>
      <w:r>
        <w:rPr>
          <w:rFonts w:ascii="Arial" w:cs="Arial" w:eastAsia="Arial" w:hAnsi="Arial"/>
          <w:b w:val="false"/>
          <w:bCs w:val="false"/>
          <w:i w:val="false"/>
          <w:iCs w:val="false"/>
          <w:sz w:val="22"/>
          <w:szCs w:val="22"/>
        </w:rPr>
        <w:t xml:space="preserve"/>
      </w:r>
    </w:p>
    <w:p>
      <w:pPr>
        <w:pStyle w:val="Heading2"/>
        <w:spacing w:after="120" w:before="260"/>
      </w:pPr>
      <w:r>
        <w:rPr>
          <w:rFonts w:ascii="Arial" w:cs="Arial" w:eastAsia="Arial" w:hAnsi="Arial"/>
          <w:b/>
          <w:bCs/>
          <w:color w:val="1F3864"/>
          <w:sz w:val="24"/>
          <w:szCs w:val="24"/>
        </w:rPr>
        <w:t xml:space="preserve">8.4. Criterios de decisión</w:t>
      </w:r>
    </w:p>
    <w:p>
      <w:pPr>
        <w:pBdr>
          <w:left w:val="single" w:color="2E7D32" w:sz="12" w:space="8"/>
        </w:pBdr>
        <w:spacing w:after="160" w:line="280"/>
        <w:ind w:left="288"/>
        <w:jc w:val="both"/>
      </w:pPr>
      <w:r>
        <w:rPr>
          <w:rFonts w:ascii="Arial" w:cs="Arial" w:eastAsia="Arial" w:hAnsi="Arial"/>
          <w:i/>
          <w:iCs/>
          <w:color w:val="595959"/>
          <w:sz w:val="20"/>
          <w:szCs w:val="20"/>
        </w:rPr>
        <w:t xml:space="preserve">VAN &gt; 0 → se acepta. TIR &gt; COK → se acepta. B/C &gt; 1 → se acepta. Redacta la conclusión comparando los tres, no solo el VAN.</w:t>
      </w:r>
    </w:p>
    <w:p>
      <w:pPr>
        <w:pStyle w:val="Heading2"/>
        <w:spacing w:after="120" w:before="260"/>
      </w:pPr>
      <w:r>
        <w:rPr>
          <w:rFonts w:ascii="Arial" w:cs="Arial" w:eastAsia="Arial" w:hAnsi="Arial"/>
          <w:b/>
          <w:bCs/>
          <w:color w:val="1F3864"/>
          <w:sz w:val="24"/>
          <w:szCs w:val="24"/>
        </w:rPr>
        <w:t xml:space="preserve">8.5. Análisis de sensibilidad</w:t>
      </w:r>
    </w:p>
    <w:p>
      <w:pPr>
        <w:pBdr>
          <w:left w:val="single" w:color="2E7D32" w:sz="12" w:space="8"/>
        </w:pBdr>
        <w:spacing w:after="160" w:line="280"/>
        <w:ind w:left="288"/>
        <w:jc w:val="both"/>
      </w:pPr>
      <w:r>
        <w:rPr>
          <w:rFonts w:ascii="Arial" w:cs="Arial" w:eastAsia="Arial" w:hAnsi="Arial"/>
          <w:i/>
          <w:iCs/>
          <w:color w:val="595959"/>
          <w:sz w:val="20"/>
          <w:szCs w:val="20"/>
        </w:rPr>
        <w:t xml:space="preserve">Mueve una variable a la vez y observa el VAN: precio de venta (−10 %, −20 %), costo de materia prima (+10 %, +20 %), volumen de ventas (−15 %). Identifica la variable crítica: la que hace que el VAN se vuelva negativo primero.</w:t>
      </w:r>
    </w:p>
    <w:p>
      <w:pPr>
        <w:pStyle w:val="Heading2"/>
        <w:spacing w:after="120" w:before="260"/>
      </w:pPr>
      <w:r>
        <w:rPr>
          <w:rFonts w:ascii="Arial" w:cs="Arial" w:eastAsia="Arial" w:hAnsi="Arial"/>
          <w:b/>
          <w:bCs/>
          <w:color w:val="1F3864"/>
          <w:sz w:val="24"/>
          <w:szCs w:val="24"/>
        </w:rPr>
        <w:t xml:space="preserve">8.6. Análisis de escenarios</w:t>
      </w:r>
    </w:p>
    <w:p>
      <w:pPr>
        <w:pBdr>
          <w:left w:val="single" w:color="2E7D32" w:sz="12" w:space="8"/>
        </w:pBdr>
        <w:spacing w:after="160" w:line="280"/>
        <w:ind w:left="288"/>
        <w:jc w:val="both"/>
      </w:pPr>
      <w:r>
        <w:rPr>
          <w:rFonts w:ascii="Arial" w:cs="Arial" w:eastAsia="Arial" w:hAnsi="Arial"/>
          <w:i/>
          <w:iCs/>
          <w:color w:val="595959"/>
          <w:sz w:val="20"/>
          <w:szCs w:val="20"/>
        </w:rPr>
        <w:t xml:space="preserve">Tres escenarios: pesimista, moderado (base) y optimista, cada uno con su VAN y TIR. Muestra la tabla comparativa.</w:t>
      </w:r>
    </w:p>
    <w:p>
      <w:pPr>
        <w:pStyle w:val="Heading2"/>
        <w:spacing w:after="120" w:before="260"/>
      </w:pPr>
      <w:r>
        <w:rPr>
          <w:rFonts w:ascii="Arial" w:cs="Arial" w:eastAsia="Arial" w:hAnsi="Arial"/>
          <w:b/>
          <w:bCs/>
          <w:color w:val="1F3864"/>
          <w:sz w:val="24"/>
          <w:szCs w:val="24"/>
        </w:rPr>
        <w:t xml:space="preserve">8.7. Evaluación social y ambiental del proyecto</w:t>
      </w:r>
    </w:p>
    <w:p>
      <w:pPr>
        <w:pBdr>
          <w:left w:val="single" w:color="2E7D32" w:sz="12" w:space="8"/>
        </w:pBdr>
        <w:spacing w:after="160" w:line="280"/>
        <w:ind w:left="288"/>
        <w:jc w:val="both"/>
      </w:pPr>
      <w:r>
        <w:rPr>
          <w:rFonts w:ascii="Arial" w:cs="Arial" w:eastAsia="Arial" w:hAnsi="Arial"/>
          <w:i/>
          <w:iCs/>
          <w:color w:val="595959"/>
          <w:sz w:val="20"/>
          <w:szCs w:val="20"/>
        </w:rPr>
        <w:t xml:space="preserve">Empleos directos e indirectos generados, aporte tributario anual, efecto en la cadena productiva local y balance ambiental del proyecto.</w:t>
      </w:r>
    </w:p>
    <w:p>
      <w:r>
        <w:br w:type="page"/>
      </w:r>
    </w:p>
    <w:p>
      <w:pPr>
        <w:pStyle w:val="Heading1"/>
        <w:spacing w:after="200" w:before="360"/>
      </w:pPr>
      <w:r>
        <w:rPr>
          <w:rFonts w:ascii="Arial" w:cs="Arial" w:eastAsia="Arial" w:hAnsi="Arial"/>
          <w:b/>
          <w:bCs/>
          <w:color w:val="1F3864"/>
          <w:sz w:val="30"/>
          <w:szCs w:val="30"/>
        </w:rPr>
        <w:t xml:space="preserve">CONCLUSIONES</w:t>
      </w:r>
    </w:p>
    <w:p>
      <w:pPr>
        <w:pBdr>
          <w:left w:val="single" w:color="2E7D32" w:sz="12" w:space="8"/>
        </w:pBdr>
        <w:spacing w:after="160" w:line="280"/>
        <w:ind w:left="288"/>
        <w:jc w:val="both"/>
      </w:pPr>
      <w:r>
        <w:rPr>
          <w:rFonts w:ascii="Arial" w:cs="Arial" w:eastAsia="Arial" w:hAnsi="Arial"/>
          <w:i/>
          <w:iCs/>
          <w:color w:val="595959"/>
          <w:sz w:val="20"/>
          <w:szCs w:val="20"/>
        </w:rPr>
        <w:t xml:space="preserve">Una conclusión por cada objetivo específico, en el mismo orden. Cada una debe cerrar con un número: «…con una demanda del proyecto de 480 t/año», «…con un VANF de S/ 1 240 500 y una TIR de 34.2 %».</w:t>
      </w:r>
    </w:p>
    <w:p>
      <w:r>
        <w:t xml:space="preserve"/>
      </w:r>
    </w:p>
    <w:p>
      <w:r>
        <w:t xml:space="preserve"/>
      </w:r>
    </w:p>
    <w:p>
      <w:pPr>
        <w:pStyle w:val="Heading1"/>
        <w:spacing w:after="200" w:before="360"/>
      </w:pPr>
      <w:r>
        <w:rPr>
          <w:rFonts w:ascii="Arial" w:cs="Arial" w:eastAsia="Arial" w:hAnsi="Arial"/>
          <w:b/>
          <w:bCs/>
          <w:color w:val="1F3864"/>
          <w:sz w:val="30"/>
          <w:szCs w:val="30"/>
        </w:rPr>
        <w:t xml:space="preserve">RECOMENDACIONES</w:t>
      </w:r>
    </w:p>
    <w:p>
      <w:pPr>
        <w:pBdr>
          <w:left w:val="single" w:color="2E7D32" w:sz="12" w:space="8"/>
        </w:pBdr>
        <w:spacing w:after="160" w:line="280"/>
        <w:ind w:left="288"/>
        <w:jc w:val="both"/>
      </w:pPr>
      <w:r>
        <w:rPr>
          <w:rFonts w:ascii="Arial" w:cs="Arial" w:eastAsia="Arial" w:hAnsi="Arial"/>
          <w:i/>
          <w:iCs/>
          <w:color w:val="595959"/>
          <w:sz w:val="20"/>
          <w:szCs w:val="20"/>
        </w:rPr>
        <w:t xml:space="preserve">Deben derivarse de tus hallazgos, sobre todo del análisis de sensibilidad. Ejemplo: si el precio de la materia prima resultó ser la variable crítica, recomienda contratos de abastecimiento a precio fijo con los productores.</w:t>
      </w:r>
    </w:p>
    <w:p>
      <w:r>
        <w:t xml:space="preserve"/>
      </w:r>
    </w:p>
    <w:p>
      <w:r>
        <w:t xml:space="preserve"/>
      </w:r>
    </w:p>
    <w:p>
      <w:pPr>
        <w:pStyle w:val="Heading1"/>
        <w:spacing w:after="200" w:before="360"/>
      </w:pPr>
      <w:r>
        <w:rPr>
          <w:rFonts w:ascii="Arial" w:cs="Arial" w:eastAsia="Arial" w:hAnsi="Arial"/>
          <w:b/>
          <w:bCs/>
          <w:color w:val="1F3864"/>
          <w:sz w:val="30"/>
          <w:szCs w:val="30"/>
        </w:rPr>
        <w:t xml:space="preserve">REFERENCIAS BIBLIOGRÁFICAS</w:t>
      </w:r>
    </w:p>
    <w:p>
      <w:pPr>
        <w:pBdr>
          <w:left w:val="single" w:color="2E7D32" w:sz="12" w:space="8"/>
        </w:pBdr>
        <w:spacing w:after="160" w:line="280"/>
        <w:ind w:left="288"/>
        <w:jc w:val="both"/>
      </w:pPr>
      <w:r>
        <w:rPr>
          <w:rFonts w:ascii="Arial" w:cs="Arial" w:eastAsia="Arial" w:hAnsi="Arial"/>
          <w:i/>
          <w:iCs/>
          <w:color w:val="595959"/>
          <w:sz w:val="20"/>
          <w:szCs w:val="20"/>
        </w:rPr>
        <w:t xml:space="preserve">Formato APA 7, ordenadas alfabéticamente, con sangría francesa. Mínimo 20 fuentes, priorizando los últimos 5 años.</w:t>
      </w:r>
    </w:p>
    <w:p>
      <w:r>
        <w:t xml:space="preserve"/>
      </w:r>
    </w:p>
    <w:p>
      <w:r>
        <w:t xml:space="preserve"/>
      </w:r>
    </w:p>
    <w:p>
      <w:pPr>
        <w:pStyle w:val="Heading1"/>
        <w:spacing w:after="200" w:before="360"/>
      </w:pPr>
      <w:r>
        <w:rPr>
          <w:rFonts w:ascii="Arial" w:cs="Arial" w:eastAsia="Arial" w:hAnsi="Arial"/>
          <w:b/>
          <w:bCs/>
          <w:color w:val="1F3864"/>
          <w:sz w:val="30"/>
          <w:szCs w:val="30"/>
        </w:rPr>
        <w:t xml:space="preserve">ANEXOS</w:t>
      </w:r>
    </w:p>
    <w:p>
      <w:pPr>
        <w:pStyle w:val="ListParagraph"/>
        <w:numPr>
          <w:ilvl w:val="0"/>
          <w:numId w:val="3"/>
        </w:numPr>
        <w:spacing w:after="60" w:line="280"/>
      </w:pPr>
      <w:r>
        <w:rPr>
          <w:rFonts w:ascii="Arial" w:cs="Arial" w:eastAsia="Arial" w:hAnsi="Arial"/>
          <w:sz w:val="21"/>
          <w:szCs w:val="21"/>
        </w:rPr>
        <w:t xml:space="preserve">Anexo A: Encuesta aplicada y tabulación de resultados.</w:t>
      </w:r>
    </w:p>
    <w:p>
      <w:pPr>
        <w:pStyle w:val="ListParagraph"/>
        <w:numPr>
          <w:ilvl w:val="0"/>
          <w:numId w:val="3"/>
        </w:numPr>
        <w:spacing w:after="60" w:line="280"/>
      </w:pPr>
      <w:r>
        <w:rPr>
          <w:rFonts w:ascii="Arial" w:cs="Arial" w:eastAsia="Arial" w:hAnsi="Arial"/>
          <w:sz w:val="21"/>
          <w:szCs w:val="21"/>
        </w:rPr>
        <w:t xml:space="preserve">Anexo B: Cotizaciones de maquinaria y equipos.</w:t>
      </w:r>
    </w:p>
    <w:p>
      <w:pPr>
        <w:pStyle w:val="ListParagraph"/>
        <w:numPr>
          <w:ilvl w:val="0"/>
          <w:numId w:val="3"/>
        </w:numPr>
        <w:spacing w:after="60" w:line="280"/>
      </w:pPr>
      <w:r>
        <w:rPr>
          <w:rFonts w:ascii="Arial" w:cs="Arial" w:eastAsia="Arial" w:hAnsi="Arial"/>
          <w:sz w:val="21"/>
          <w:szCs w:val="21"/>
        </w:rPr>
        <w:t xml:space="preserve">Anexo C: Plano de distribución de planta.</w:t>
      </w:r>
    </w:p>
    <w:p>
      <w:pPr>
        <w:pStyle w:val="ListParagraph"/>
        <w:numPr>
          <w:ilvl w:val="0"/>
          <w:numId w:val="3"/>
        </w:numPr>
        <w:spacing w:after="60" w:line="280"/>
      </w:pPr>
      <w:r>
        <w:rPr>
          <w:rFonts w:ascii="Arial" w:cs="Arial" w:eastAsia="Arial" w:hAnsi="Arial"/>
          <w:sz w:val="21"/>
          <w:szCs w:val="21"/>
        </w:rPr>
        <w:t xml:space="preserve">Anexo D: Diagrama de flujo del proceso.</w:t>
      </w:r>
    </w:p>
    <w:p>
      <w:pPr>
        <w:pStyle w:val="ListParagraph"/>
        <w:numPr>
          <w:ilvl w:val="0"/>
          <w:numId w:val="3"/>
        </w:numPr>
        <w:spacing w:after="60" w:line="280"/>
      </w:pPr>
      <w:r>
        <w:rPr>
          <w:rFonts w:ascii="Arial" w:cs="Arial" w:eastAsia="Arial" w:hAnsi="Arial"/>
          <w:sz w:val="21"/>
          <w:szCs w:val="21"/>
        </w:rPr>
        <w:t xml:space="preserve">Anexo E: Cuadros de cálculo del modelo financiero.</w:t>
      </w:r>
    </w:p>
    <w:p>
      <w:pPr>
        <w:pStyle w:val="ListParagraph"/>
        <w:numPr>
          <w:ilvl w:val="0"/>
          <w:numId w:val="3"/>
        </w:numPr>
        <w:spacing w:after="60" w:line="280"/>
      </w:pPr>
      <w:r>
        <w:rPr>
          <w:rFonts w:ascii="Arial" w:cs="Arial" w:eastAsia="Arial" w:hAnsi="Arial"/>
          <w:sz w:val="21"/>
          <w:szCs w:val="21"/>
        </w:rPr>
        <w:t xml:space="preserve">Anexo F: Matriz de consistencia del proyecto.</w:t>
      </w:r>
    </w:p>
    <w:p>
      <w:r>
        <w:br w:type="page"/>
      </w:r>
    </w:p>
    <w:p>
      <w:pPr>
        <w:pStyle w:val="Heading1"/>
        <w:spacing w:after="200" w:before="360"/>
      </w:pPr>
      <w:r>
        <w:rPr>
          <w:rFonts w:ascii="Arial" w:cs="Arial" w:eastAsia="Arial" w:hAnsi="Arial"/>
          <w:b/>
          <w:bCs/>
          <w:color w:val="1F3864"/>
          <w:sz w:val="30"/>
          <w:szCs w:val="30"/>
        </w:rPr>
        <w:t xml:space="preserve">GUÍA RÁPIDA: IDEAS DE PROYECTO PARA LA REGIÓN ICA</w:t>
      </w:r>
    </w:p>
    <w:p>
      <w:pPr>
        <w:spacing w:after="120" w:line="300"/>
        <w:jc w:val="both"/>
      </w:pPr>
      <w:r>
        <w:rPr>
          <w:rFonts w:ascii="Arial" w:cs="Arial" w:eastAsia="Arial" w:hAnsi="Arial"/>
          <w:b w:val="false"/>
          <w:bCs w:val="false"/>
          <w:i w:val="false"/>
          <w:iCs w:val="false"/>
          <w:sz w:val="22"/>
          <w:szCs w:val="22"/>
        </w:rPr>
        <w:t xml:space="preserve">Ica concentra uva, espárrago, palta, pecana, granada, mandarina, algodón y tomate. Un proyecto es más fácil de defender cuando la materia prima está a menos de una hora de la planta.</w:t>
      </w:r>
    </w:p>
    <w:p>
      <w:pPr>
        <w:pStyle w:val="Heading2"/>
        <w:spacing w:after="120" w:before="260"/>
      </w:pPr>
      <w:r>
        <w:rPr>
          <w:rFonts w:ascii="Arial" w:cs="Arial" w:eastAsia="Arial" w:hAnsi="Arial"/>
          <w:b/>
          <w:bCs/>
          <w:color w:val="1F3864"/>
          <w:sz w:val="24"/>
          <w:szCs w:val="24"/>
        </w:rPr>
        <w:t xml:space="preserve">Opciones con buena defensa técnica y comercial</w:t>
      </w:r>
    </w:p>
    <w:p>
      <w:pPr>
        <w:pStyle w:val="ListParagraph"/>
        <w:numPr>
          <w:ilvl w:val="0"/>
          <w:numId w:val="3"/>
        </w:numPr>
        <w:spacing w:after="60" w:line="280"/>
      </w:pPr>
      <w:r>
        <w:rPr>
          <w:rFonts w:ascii="Arial" w:cs="Arial" w:eastAsia="Arial" w:hAnsi="Arial"/>
          <w:sz w:val="21"/>
          <w:szCs w:val="21"/>
        </w:rPr>
        <w:t xml:space="preserve">Pulpa o néctar de fruta (mango, maracuyá, granada) — proceso conocido, equipos accesibles.</w:t>
      </w:r>
    </w:p>
    <w:p>
      <w:pPr>
        <w:pStyle w:val="ListParagraph"/>
        <w:numPr>
          <w:ilvl w:val="0"/>
          <w:numId w:val="3"/>
        </w:numPr>
        <w:spacing w:after="60" w:line="280"/>
      </w:pPr>
      <w:r>
        <w:rPr>
          <w:rFonts w:ascii="Arial" w:cs="Arial" w:eastAsia="Arial" w:hAnsi="Arial"/>
          <w:sz w:val="21"/>
          <w:szCs w:val="21"/>
        </w:rPr>
        <w:t xml:space="preserve">Deshidratado de frutas y hortalizas (mango, uva pasa, tomate seco) — alto valor agregado.</w:t>
      </w:r>
    </w:p>
    <w:p>
      <w:pPr>
        <w:pStyle w:val="ListParagraph"/>
        <w:numPr>
          <w:ilvl w:val="0"/>
          <w:numId w:val="3"/>
        </w:numPr>
        <w:spacing w:after="60" w:line="280"/>
      </w:pPr>
      <w:r>
        <w:rPr>
          <w:rFonts w:ascii="Arial" w:cs="Arial" w:eastAsia="Arial" w:hAnsi="Arial"/>
          <w:sz w:val="21"/>
          <w:szCs w:val="21"/>
        </w:rPr>
        <w:t xml:space="preserve">Harina de descarte de espárrago o de cáscara de uva — valorización de residuos, muy bien vista por el eje ambiental.</w:t>
      </w:r>
    </w:p>
    <w:p>
      <w:pPr>
        <w:pStyle w:val="ListParagraph"/>
        <w:numPr>
          <w:ilvl w:val="0"/>
          <w:numId w:val="3"/>
        </w:numPr>
        <w:spacing w:after="60" w:line="280"/>
      </w:pPr>
      <w:r>
        <w:rPr>
          <w:rFonts w:ascii="Arial" w:cs="Arial" w:eastAsia="Arial" w:hAnsi="Arial"/>
          <w:sz w:val="21"/>
          <w:szCs w:val="21"/>
        </w:rPr>
        <w:t xml:space="preserve">Aceite de pepa de uva o de palta — subproducto de alto precio.</w:t>
      </w:r>
    </w:p>
    <w:p>
      <w:pPr>
        <w:pStyle w:val="ListParagraph"/>
        <w:numPr>
          <w:ilvl w:val="0"/>
          <w:numId w:val="3"/>
        </w:numPr>
        <w:spacing w:after="60" w:line="280"/>
      </w:pPr>
      <w:r>
        <w:rPr>
          <w:rFonts w:ascii="Arial" w:cs="Arial" w:eastAsia="Arial" w:hAnsi="Arial"/>
          <w:sz w:val="21"/>
          <w:szCs w:val="21"/>
        </w:rPr>
        <w:t xml:space="preserve">Snacks horneados de pecana o de habas — mercado en crecimiento.</w:t>
      </w:r>
    </w:p>
    <w:p>
      <w:pPr>
        <w:pStyle w:val="ListParagraph"/>
        <w:numPr>
          <w:ilvl w:val="0"/>
          <w:numId w:val="3"/>
        </w:numPr>
        <w:spacing w:after="60" w:line="280"/>
      </w:pPr>
      <w:r>
        <w:rPr>
          <w:rFonts w:ascii="Arial" w:cs="Arial" w:eastAsia="Arial" w:hAnsi="Arial"/>
          <w:sz w:val="21"/>
          <w:szCs w:val="21"/>
        </w:rPr>
        <w:t xml:space="preserve">Recubrimientos comestibles para fruta de exportación — componente de innovación.</w:t>
      </w:r>
    </w:p>
    <w:p>
      <w:pPr>
        <w:pStyle w:val="ListParagraph"/>
        <w:numPr>
          <w:ilvl w:val="0"/>
          <w:numId w:val="3"/>
        </w:numPr>
        <w:spacing w:after="60" w:line="280"/>
      </w:pPr>
      <w:r>
        <w:rPr>
          <w:rFonts w:ascii="Arial" w:cs="Arial" w:eastAsia="Arial" w:hAnsi="Arial"/>
          <w:sz w:val="21"/>
          <w:szCs w:val="21"/>
        </w:rPr>
        <w:t xml:space="preserve">Compost o biofertilizante a partir de residuos agroindustriales — enlaza con economía circular.</w:t>
      </w:r>
    </w:p>
    <w:p>
      <w:pPr>
        <w:pBdr>
          <w:left w:val="single" w:color="2E7D32" w:sz="12" w:space="8"/>
        </w:pBdr>
        <w:spacing w:after="160" w:line="280"/>
        <w:ind w:left="288"/>
        <w:jc w:val="both"/>
      </w:pPr>
      <w:r>
        <w:rPr>
          <w:rFonts w:ascii="Arial" w:cs="Arial" w:eastAsia="Arial" w:hAnsi="Arial"/>
          <w:i/>
          <w:iCs/>
          <w:color w:val="595959"/>
          <w:sz w:val="20"/>
          <w:szCs w:val="20"/>
        </w:rPr>
        <w:t xml:space="preserve">Consejo: elige un producto del que puedas conseguir precios reales y una cotización de maquinaria. Sin esos dos datos, la parte financiera se te vuelve inventada y ahí es donde el jurado presiona.</w:t>
      </w:r>
    </w:p>
    <w:p>
      <w:pPr>
        <w:pStyle w:val="Heading2"/>
        <w:spacing w:after="120" w:before="260"/>
      </w:pPr>
      <w:r>
        <w:rPr>
          <w:rFonts w:ascii="Arial" w:cs="Arial" w:eastAsia="Arial" w:hAnsi="Arial"/>
          <w:b/>
          <w:bCs/>
          <w:color w:val="1F3864"/>
          <w:sz w:val="24"/>
          <w:szCs w:val="24"/>
        </w:rPr>
        <w:t xml:space="preserve">Fuentes de datos que sí aceptan como referencia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Fuente</w:t>
            </w:r>
          </w:p>
        </w:tc>
        <w:tc>
          <w:tcPr>
            <w:tcW w:type="dxa" w:w="40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Qué obtienes</w:t>
            </w:r>
          </w:p>
        </w:tc>
        <w:tc>
          <w:tcPr>
            <w:tcW w:type="dxa" w:w="3000"/>
            <w:shd w:fill="1F3864" w:color="auto" w:val="clear"/>
            <w:tcMar>
              <w:top w:type="dxa" w:w="60"/>
              <w:left w:type="dxa" w:w="100"/>
              <w:bottom w:type="dxa" w:w="60"/>
              <w:right w:type="dxa" w:w="100"/>
            </w:tcMar>
          </w:tcPr>
          <w:p>
            <w:pPr>
              <w:spacing w:after="0" w:line="260"/>
            </w:pPr>
            <w:r>
              <w:rPr>
                <w:rFonts w:ascii="Arial" w:cs="Arial" w:eastAsia="Arial" w:hAnsi="Arial"/>
                <w:b/>
                <w:bCs/>
                <w:color w:val="FFFFFF"/>
                <w:sz w:val="19"/>
                <w:szCs w:val="19"/>
              </w:rPr>
              <w:t xml:space="preserve">Uso en el proyecto</w:t>
            </w:r>
          </w:p>
        </w:tc>
      </w:tr>
      <w:tr>
        <w:tc>
          <w:tcPr>
            <w:tcW w:type="dxa" w:w="2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INEI</w:t>
            </w:r>
          </w:p>
        </w:tc>
        <w:tc>
          <w:tcPr>
            <w:tcW w:type="dxa" w:w="4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Población, hogares, gasto per cápita</w:t>
            </w:r>
          </w:p>
        </w:tc>
        <w:tc>
          <w:tcPr>
            <w:tcW w:type="dxa" w:w="3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Segmentación y demanda</w:t>
            </w:r>
          </w:p>
        </w:tc>
      </w:tr>
      <w:tr>
        <w:tc>
          <w:tcPr>
            <w:tcW w:type="dxa" w:w="2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MIDAGRI – SIEA</w:t>
            </w:r>
          </w:p>
        </w:tc>
        <w:tc>
          <w:tcPr>
            <w:tcW w:type="dxa" w:w="4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Producción, superficie, rendimiento y precios en chacra</w:t>
            </w:r>
          </w:p>
        </w:tc>
        <w:tc>
          <w:tcPr>
            <w:tcW w:type="dxa" w:w="3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Oferta y costo de materia prima</w:t>
            </w:r>
          </w:p>
        </w:tc>
      </w:tr>
      <w:tr>
        <w:tc>
          <w:tcPr>
            <w:tcW w:type="dxa" w:w="2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SUNAT / Veritrade</w:t>
            </w:r>
          </w:p>
        </w:tc>
        <w:tc>
          <w:tcPr>
            <w:tcW w:type="dxa" w:w="4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Importaciones y exportaciones por partida</w:t>
            </w:r>
          </w:p>
        </w:tc>
        <w:tc>
          <w:tcPr>
            <w:tcW w:type="dxa" w:w="3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Oferta y demanda del mercado</w:t>
            </w:r>
          </w:p>
        </w:tc>
      </w:tr>
      <w:tr>
        <w:tc>
          <w:tcPr>
            <w:tcW w:type="dxa" w:w="2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PRODUCE</w:t>
            </w:r>
          </w:p>
        </w:tc>
        <w:tc>
          <w:tcPr>
            <w:tcW w:type="dxa" w:w="4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Estadística industrial y empresas del rubro</w:t>
            </w:r>
          </w:p>
        </w:tc>
        <w:tc>
          <w:tcPr>
            <w:tcW w:type="dxa" w:w="3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Análisis de competencia</w:t>
            </w:r>
          </w:p>
        </w:tc>
      </w:tr>
      <w:tr>
        <w:tc>
          <w:tcPr>
            <w:tcW w:type="dxa" w:w="2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SBS</w:t>
            </w:r>
          </w:p>
        </w:tc>
        <w:tc>
          <w:tcPr>
            <w:tcW w:type="dxa" w:w="4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Tasas de interés vigentes (TEA)</w:t>
            </w:r>
          </w:p>
        </w:tc>
        <w:tc>
          <w:tcPr>
            <w:tcW w:type="dxa" w:w="3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Financiamiento y WACC</w:t>
            </w:r>
          </w:p>
        </w:tc>
      </w:tr>
      <w:tr>
        <w:tc>
          <w:tcPr>
            <w:tcW w:type="dxa" w:w="2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BCRP</w:t>
            </w:r>
          </w:p>
        </w:tc>
        <w:tc>
          <w:tcPr>
            <w:tcW w:type="dxa" w:w="4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Inflación, tipo de cambio, proyecciones</w:t>
            </w:r>
          </w:p>
        </w:tc>
        <w:tc>
          <w:tcPr>
            <w:tcW w:type="dxa" w:w="3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Supuestos macro del flujo</w:t>
            </w:r>
          </w:p>
        </w:tc>
      </w:tr>
      <w:tr>
        <w:tc>
          <w:tcPr>
            <w:tcW w:type="dxa" w:w="2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INACAL</w:t>
            </w:r>
          </w:p>
        </w:tc>
        <w:tc>
          <w:tcPr>
            <w:tcW w:type="dxa" w:w="4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Normas Técnicas Peruanas del producto</w:t>
            </w:r>
          </w:p>
        </w:tc>
        <w:tc>
          <w:tcPr>
            <w:tcW w:type="dxa" w:w="3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Ficha técnica y calidad</w:t>
            </w:r>
          </w:p>
        </w:tc>
      </w:tr>
      <w:tr>
        <w:tc>
          <w:tcPr>
            <w:tcW w:type="dxa" w:w="2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FAOSTAT</w:t>
            </w:r>
          </w:p>
        </w:tc>
        <w:tc>
          <w:tcPr>
            <w:tcW w:type="dxa" w:w="4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Datos internacionales de producción y consumo</w:t>
            </w:r>
          </w:p>
        </w:tc>
        <w:tc>
          <w:tcPr>
            <w:tcW w:type="dxa" w:w="3000"/>
            <w:shd w:fill="FFFFFF" w:color="auto" w:val="clear"/>
            <w:tcMar>
              <w:top w:type="dxa" w:w="60"/>
              <w:left w:type="dxa" w:w="100"/>
              <w:bottom w:type="dxa" w:w="60"/>
              <w:right w:type="dxa" w:w="100"/>
            </w:tcMar>
          </w:tcPr>
          <w:p>
            <w:pPr>
              <w:spacing w:after="0" w:line="260"/>
            </w:pPr>
            <w:r>
              <w:rPr>
                <w:rFonts w:ascii="Arial" w:cs="Arial" w:eastAsia="Arial" w:hAnsi="Arial"/>
                <w:b w:val="false"/>
                <w:bCs w:val="false"/>
                <w:color w:val="000000"/>
                <w:sz w:val="19"/>
                <w:szCs w:val="19"/>
              </w:rPr>
              <w:t xml:space="preserve">Contexto y benchmarking</w:t>
            </w:r>
          </w:p>
        </w:tc>
      </w:tr>
    </w:tbl>
    <w:p>
      <w:pPr>
        <w:spacing w:after="120" w:line="300"/>
        <w:jc w:val="both"/>
      </w:pPr>
      <w:r>
        <w:rPr>
          <w:rFonts w:ascii="Arial" w:cs="Arial" w:eastAsia="Arial" w:hAnsi="Arial"/>
          <w:b w:val="false"/>
          <w:bCs w:val="false"/>
          <w:i w:val="false"/>
          <w:iCs w:val="false"/>
          <w:sz w:val="22"/>
          <w:szCs w:val="22"/>
        </w:rPr>
        <w:t xml:space="preserve"/>
      </w:r>
    </w:p>
    <w:p>
      <w:pPr>
        <w:pStyle w:val="Heading2"/>
        <w:spacing w:after="120" w:before="260"/>
      </w:pPr>
      <w:r>
        <w:rPr>
          <w:rFonts w:ascii="Arial" w:cs="Arial" w:eastAsia="Arial" w:hAnsi="Arial"/>
          <w:b/>
          <w:bCs/>
          <w:color w:val="1F3864"/>
          <w:sz w:val="24"/>
          <w:szCs w:val="24"/>
        </w:rPr>
        <w:t xml:space="preserve">Errores que más cuestan nota</w:t>
      </w:r>
    </w:p>
    <w:p>
      <w:pPr>
        <w:pStyle w:val="ListParagraph"/>
        <w:numPr>
          <w:ilvl w:val="0"/>
          <w:numId w:val="2"/>
        </w:numPr>
        <w:spacing w:after="60" w:line="280"/>
      </w:pPr>
      <w:r>
        <w:rPr>
          <w:rFonts w:ascii="Arial" w:cs="Arial" w:eastAsia="Arial" w:hAnsi="Arial"/>
          <w:sz w:val="21"/>
          <w:szCs w:val="21"/>
        </w:rPr>
        <w:t xml:space="preserve">Que la demanda del proyecto no coincida con la capacidad de planta ni con los ingresos del flujo de caja.</w:t>
      </w:r>
    </w:p>
    <w:p>
      <w:pPr>
        <w:pStyle w:val="ListParagraph"/>
        <w:numPr>
          <w:ilvl w:val="0"/>
          <w:numId w:val="2"/>
        </w:numPr>
        <w:spacing w:after="60" w:line="280"/>
      </w:pPr>
      <w:r>
        <w:rPr>
          <w:rFonts w:ascii="Arial" w:cs="Arial" w:eastAsia="Arial" w:hAnsi="Arial"/>
          <w:sz w:val="21"/>
          <w:szCs w:val="21"/>
        </w:rPr>
        <w:t xml:space="preserve">Poner precios y costos sin cotización ni fuente.</w:t>
      </w:r>
    </w:p>
    <w:p>
      <w:pPr>
        <w:pStyle w:val="ListParagraph"/>
        <w:numPr>
          <w:ilvl w:val="0"/>
          <w:numId w:val="2"/>
        </w:numPr>
        <w:spacing w:after="60" w:line="280"/>
      </w:pPr>
      <w:r>
        <w:rPr>
          <w:rFonts w:ascii="Arial" w:cs="Arial" w:eastAsia="Arial" w:hAnsi="Arial"/>
          <w:sz w:val="21"/>
          <w:szCs w:val="21"/>
        </w:rPr>
        <w:t xml:space="preserve">Olvidar el capital de trabajo en la inversión total.</w:t>
      </w:r>
    </w:p>
    <w:p>
      <w:pPr>
        <w:pStyle w:val="ListParagraph"/>
        <w:numPr>
          <w:ilvl w:val="0"/>
          <w:numId w:val="2"/>
        </w:numPr>
        <w:spacing w:after="60" w:line="280"/>
      </w:pPr>
      <w:r>
        <w:rPr>
          <w:rFonts w:ascii="Arial" w:cs="Arial" w:eastAsia="Arial" w:hAnsi="Arial"/>
          <w:sz w:val="21"/>
          <w:szCs w:val="21"/>
        </w:rPr>
        <w:t xml:space="preserve">Calcular el VAN sin descontar correctamente: revisa que la tasa del Excel sea la misma que declaraste como COK.</w:t>
      </w:r>
    </w:p>
    <w:p>
      <w:pPr>
        <w:pStyle w:val="ListParagraph"/>
        <w:numPr>
          <w:ilvl w:val="0"/>
          <w:numId w:val="2"/>
        </w:numPr>
        <w:spacing w:after="60" w:line="280"/>
      </w:pPr>
      <w:r>
        <w:rPr>
          <w:rFonts w:ascii="Arial" w:cs="Arial" w:eastAsia="Arial" w:hAnsi="Arial"/>
          <w:sz w:val="21"/>
          <w:szCs w:val="21"/>
        </w:rPr>
        <w:t xml:space="preserve">Confundir flujo económico con financiero, o descontar ambos con la misma tasa sin justificarlo.</w:t>
      </w:r>
    </w:p>
    <w:p>
      <w:pPr>
        <w:pStyle w:val="ListParagraph"/>
        <w:numPr>
          <w:ilvl w:val="0"/>
          <w:numId w:val="2"/>
        </w:numPr>
        <w:spacing w:after="60" w:line="280"/>
      </w:pPr>
      <w:r>
        <w:rPr>
          <w:rFonts w:ascii="Arial" w:cs="Arial" w:eastAsia="Arial" w:hAnsi="Arial"/>
          <w:sz w:val="21"/>
          <w:szCs w:val="21"/>
        </w:rPr>
        <w:t xml:space="preserve">No incluir el valor residual o de recupero al final del horizonte.</w:t>
      </w:r>
    </w:p>
    <w:p>
      <w:pPr>
        <w:pStyle w:val="ListParagraph"/>
        <w:numPr>
          <w:ilvl w:val="0"/>
          <w:numId w:val="2"/>
        </w:numPr>
        <w:spacing w:after="60" w:line="280"/>
      </w:pPr>
      <w:r>
        <w:rPr>
          <w:rFonts w:ascii="Arial" w:cs="Arial" w:eastAsia="Arial" w:hAnsi="Arial"/>
          <w:sz w:val="21"/>
          <w:szCs w:val="21"/>
        </w:rPr>
        <w:t xml:space="preserve">Conclusiones genéricas, sin cifras.</w:t>
      </w:r>
    </w:p>
    <w:sectPr>
      <w:footerReference w:type="default" r:id="rId7"/>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del Proyecto de Inversión Agroindustrial</dc:title>
  <dc:creator>Proyecto Agroindustrial</dc:creator>
  <dc:description>Plantilla de trabajo para el curso Formulación y Evaluación de Proyectos</dc:description>
  <cp:lastModifiedBy>Un-named</cp:lastModifiedBy>
  <cp:revision>1</cp:revision>
  <dcterms:created xsi:type="dcterms:W3CDTF">2026-08-28T01:48:29.082Z</dcterms:created>
  <dcterms:modified xsi:type="dcterms:W3CDTF">2026-08-28T01:48:29.083Z</dcterms:modified>
</cp:coreProperties>
</file>

<file path=docProps/custom.xml><?xml version="1.0" encoding="utf-8"?>
<Properties xmlns="http://schemas.openxmlformats.org/officeDocument/2006/custom-properties" xmlns:vt="http://schemas.openxmlformats.org/officeDocument/2006/docPropsVTypes"/>
</file>