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C6" w:rsidRDefault="00B7483E" w:rsidP="002E32C6">
      <w:pPr>
        <w:pStyle w:val="Title"/>
      </w:pPr>
      <w:r>
        <w:t>Monitoring Tower Site Upgrade</w:t>
      </w:r>
      <w:r w:rsidR="002E32C6">
        <w:t xml:space="preserve"> </w:t>
      </w:r>
      <w:r>
        <w:t>(July)</w:t>
      </w:r>
    </w:p>
    <w:p w:rsidR="002E32C6" w:rsidRDefault="002E32C6" w:rsidP="002E32C6">
      <w:pPr>
        <w:pStyle w:val="Subtitle"/>
      </w:pPr>
      <w:r>
        <w:t>Vineyard Pilot Study (2015)</w:t>
      </w:r>
    </w:p>
    <w:p w:rsidR="005F28CC" w:rsidRDefault="005F28CC" w:rsidP="005F28CC">
      <w:pPr>
        <w:pStyle w:val="Heading1"/>
      </w:pPr>
      <w:r>
        <w:t>Overview</w:t>
      </w:r>
    </w:p>
    <w:p w:rsidR="00367359" w:rsidRDefault="002E32C6" w:rsidP="00367359">
      <w:r>
        <w:t xml:space="preserve">The Laboratory for Atmospheric Research at </w:t>
      </w:r>
      <w:r w:rsidR="00B7483E">
        <w:t>WSU</w:t>
      </w:r>
      <w:r>
        <w:t xml:space="preserve"> began operating a pilot-scale greenhouse gas monitoring tower in May 2015 at a vineyard</w:t>
      </w:r>
      <w:r w:rsidR="00367359">
        <w:t xml:space="preserve"> in southeast Washington State. The tower provides measurements of trace gas fluxes (CO</w:t>
      </w:r>
      <w:r w:rsidR="00367359" w:rsidRPr="00367359">
        <w:rPr>
          <w:vertAlign w:val="subscript"/>
        </w:rPr>
        <w:t>2</w:t>
      </w:r>
      <w:r w:rsidR="00367359">
        <w:t>/H</w:t>
      </w:r>
      <w:r w:rsidR="00367359" w:rsidRPr="00367359">
        <w:rPr>
          <w:vertAlign w:val="subscript"/>
        </w:rPr>
        <w:t>2</w:t>
      </w:r>
      <w:r w:rsidR="00367359">
        <w:t>O), heat fluxes (H</w:t>
      </w:r>
      <w:r w:rsidR="00367359" w:rsidRPr="00C27A5F">
        <w:rPr>
          <w:vertAlign w:val="subscript"/>
        </w:rPr>
        <w:t>S</w:t>
      </w:r>
      <w:r w:rsidR="00367359">
        <w:t>/L</w:t>
      </w:r>
      <w:r w:rsidR="00367359" w:rsidRPr="00C27A5F">
        <w:rPr>
          <w:vertAlign w:val="subscript"/>
        </w:rPr>
        <w:t>E</w:t>
      </w:r>
      <w:r w:rsidR="00367359">
        <w:t xml:space="preserve">) and meteorological scalars (T/P/RH/WS/WD/PAR/NR). </w:t>
      </w:r>
    </w:p>
    <w:p w:rsidR="002E32C6" w:rsidRDefault="00367359" w:rsidP="00367359">
      <w:r>
        <w:t>To complement existing measurements, several subsurface sensors will be insta</w:t>
      </w:r>
      <w:r w:rsidR="005E6B2C">
        <w:t>lled:</w:t>
      </w:r>
      <w:r>
        <w:t xml:space="preserve"> </w:t>
      </w:r>
    </w:p>
    <w:p w:rsidR="0086108D" w:rsidRDefault="0086108D" w:rsidP="0086108D">
      <w:pPr>
        <w:pStyle w:val="ListParagraph"/>
        <w:numPr>
          <w:ilvl w:val="0"/>
          <w:numId w:val="1"/>
        </w:numPr>
      </w:pPr>
      <w:r>
        <w:t>(2) soil heat flux plate</w:t>
      </w:r>
      <w:r w:rsidR="00367359">
        <w:t>s</w:t>
      </w:r>
      <w:r>
        <w:t xml:space="preserve"> (HFP01; Campbell Scientific)</w:t>
      </w:r>
    </w:p>
    <w:p w:rsidR="0086108D" w:rsidRDefault="0086108D" w:rsidP="0086108D">
      <w:pPr>
        <w:pStyle w:val="ListParagraph"/>
        <w:numPr>
          <w:ilvl w:val="0"/>
          <w:numId w:val="1"/>
        </w:numPr>
      </w:pPr>
      <w:r>
        <w:t>(2) temperature probe</w:t>
      </w:r>
      <w:r w:rsidR="00367359">
        <w:t>s</w:t>
      </w:r>
      <w:r>
        <w:t xml:space="preserve"> (109SS; Campbell Scientific)</w:t>
      </w:r>
    </w:p>
    <w:p w:rsidR="0086108D" w:rsidRDefault="0086108D" w:rsidP="0086108D">
      <w:pPr>
        <w:pStyle w:val="ListParagraph"/>
        <w:numPr>
          <w:ilvl w:val="0"/>
          <w:numId w:val="1"/>
        </w:numPr>
      </w:pPr>
      <w:r>
        <w:t>(8) soil water content and temperature sensor (5TM; Decagon Devices)</w:t>
      </w:r>
    </w:p>
    <w:p w:rsidR="0086108D" w:rsidRDefault="00367359" w:rsidP="0086108D">
      <w:r>
        <w:t xml:space="preserve">Additionally, a faulty </w:t>
      </w:r>
      <w:proofErr w:type="spellStart"/>
      <w:r w:rsidR="00B7483E">
        <w:t>photosynthetically</w:t>
      </w:r>
      <w:proofErr w:type="spellEnd"/>
      <w:r w:rsidR="00B7483E">
        <w:t xml:space="preserve"> active radiation (PAR) </w:t>
      </w:r>
      <w:r>
        <w:t>sensor will be replaced:</w:t>
      </w:r>
    </w:p>
    <w:p w:rsidR="00367359" w:rsidRDefault="00B7483E" w:rsidP="00367359">
      <w:pPr>
        <w:pStyle w:val="ListParagraph"/>
        <w:numPr>
          <w:ilvl w:val="0"/>
          <w:numId w:val="2"/>
        </w:numPr>
      </w:pPr>
      <w:r>
        <w:t>Removing “LI-190SB” (L</w:t>
      </w:r>
      <w:r w:rsidR="005F28CC">
        <w:t>I-COR</w:t>
      </w:r>
      <w:r>
        <w:t xml:space="preserve"> via Campbell Scientific), s/n Q45241, 6.69 </w:t>
      </w:r>
      <w:r>
        <w:rPr>
          <w:rFonts w:ascii="Arial" w:eastAsiaTheme="minorHAnsi" w:hAnsi="Arial" w:cs="Arial"/>
          <w:lang w:eastAsia="ja-JP"/>
        </w:rPr>
        <w:t>µ</w:t>
      </w:r>
      <w:r w:rsidR="005F28CC">
        <w:rPr>
          <w:rFonts w:ascii="Arial" w:eastAsiaTheme="minorHAnsi" w:hAnsi="Arial" w:cs="Arial"/>
          <w:lang w:eastAsia="ja-JP"/>
        </w:rPr>
        <w:t>A</w:t>
      </w:r>
      <w:r>
        <w:rPr>
          <w:rFonts w:ascii="Arial" w:eastAsiaTheme="minorHAnsi" w:hAnsi="Arial" w:cs="Arial"/>
          <w:lang w:eastAsia="ja-JP"/>
        </w:rPr>
        <w:t>/</w:t>
      </w:r>
      <w:r w:rsidR="005F28CC">
        <w:rPr>
          <w:rFonts w:ascii="Arial" w:eastAsiaTheme="minorHAnsi" w:hAnsi="Arial" w:cs="Arial"/>
          <w:lang w:eastAsia="ja-JP"/>
        </w:rPr>
        <w:t>(</w:t>
      </w:r>
      <w:proofErr w:type="spellStart"/>
      <w:r w:rsidR="005F28CC">
        <w:rPr>
          <w:rFonts w:ascii="Arial" w:eastAsiaTheme="minorHAnsi" w:hAnsi="Arial" w:cs="Arial"/>
          <w:lang w:eastAsia="ja-JP"/>
        </w:rPr>
        <w:t>mmol</w:t>
      </w:r>
      <w:proofErr w:type="spellEnd"/>
      <w:r w:rsidR="005F28CC">
        <w:rPr>
          <w:rFonts w:ascii="Arial" w:eastAsiaTheme="minorHAnsi" w:hAnsi="Arial" w:cs="Arial"/>
          <w:lang w:eastAsia="ja-JP"/>
        </w:rPr>
        <w:t xml:space="preserve"> s</w:t>
      </w:r>
      <w:r w:rsidR="005F28CC" w:rsidRPr="005F28CC">
        <w:rPr>
          <w:rFonts w:ascii="Arial" w:eastAsiaTheme="minorHAnsi" w:hAnsi="Arial" w:cs="Arial"/>
          <w:vertAlign w:val="superscript"/>
          <w:lang w:eastAsia="ja-JP"/>
        </w:rPr>
        <w:t>-1</w:t>
      </w:r>
      <w:r w:rsidR="005F28CC">
        <w:rPr>
          <w:rFonts w:ascii="Arial" w:eastAsiaTheme="minorHAnsi" w:hAnsi="Arial" w:cs="Arial"/>
          <w:lang w:eastAsia="ja-JP"/>
        </w:rPr>
        <w:t xml:space="preserve"> </w:t>
      </w:r>
      <w:r>
        <w:rPr>
          <w:rFonts w:ascii="Arial" w:eastAsiaTheme="minorHAnsi" w:hAnsi="Arial" w:cs="Arial"/>
          <w:lang w:eastAsia="ja-JP"/>
        </w:rPr>
        <w:t>m</w:t>
      </w:r>
      <w:r w:rsidRPr="00B7483E">
        <w:rPr>
          <w:rFonts w:ascii="Arial" w:eastAsiaTheme="minorHAnsi" w:hAnsi="Arial" w:cs="Arial"/>
          <w:vertAlign w:val="superscript"/>
          <w:lang w:eastAsia="ja-JP"/>
        </w:rPr>
        <w:t>-2</w:t>
      </w:r>
      <w:r w:rsidR="005F28CC">
        <w:rPr>
          <w:rFonts w:ascii="Arial" w:eastAsiaTheme="minorHAnsi" w:hAnsi="Arial" w:cs="Arial"/>
          <w:lang w:eastAsia="ja-JP"/>
        </w:rPr>
        <w:t>)</w:t>
      </w:r>
    </w:p>
    <w:p w:rsidR="00B7483E" w:rsidRPr="005F28CC" w:rsidRDefault="00B7483E" w:rsidP="00367359">
      <w:pPr>
        <w:pStyle w:val="ListParagraph"/>
        <w:numPr>
          <w:ilvl w:val="0"/>
          <w:numId w:val="2"/>
        </w:numPr>
      </w:pPr>
      <w:r>
        <w:t>Installing “</w:t>
      </w:r>
      <w:r w:rsidR="005F28CC">
        <w:t>LI-190R</w:t>
      </w:r>
      <w:r>
        <w:t xml:space="preserve">” (LI-COR), s/n </w:t>
      </w:r>
      <w:r w:rsidR="005F28CC">
        <w:t xml:space="preserve">Q100279, 6.97 </w:t>
      </w:r>
      <w:r w:rsidR="005F28CC">
        <w:rPr>
          <w:rFonts w:ascii="Arial" w:eastAsiaTheme="minorHAnsi" w:hAnsi="Arial" w:cs="Arial"/>
          <w:lang w:eastAsia="ja-JP"/>
        </w:rPr>
        <w:t>µA/(</w:t>
      </w:r>
      <w:proofErr w:type="spellStart"/>
      <w:r w:rsidR="005F28CC">
        <w:rPr>
          <w:rFonts w:ascii="Arial" w:eastAsiaTheme="minorHAnsi" w:hAnsi="Arial" w:cs="Arial"/>
          <w:lang w:eastAsia="ja-JP"/>
        </w:rPr>
        <w:t>mmol</w:t>
      </w:r>
      <w:proofErr w:type="spellEnd"/>
      <w:r w:rsidR="005F28CC">
        <w:rPr>
          <w:rFonts w:ascii="Arial" w:eastAsiaTheme="minorHAnsi" w:hAnsi="Arial" w:cs="Arial"/>
          <w:lang w:eastAsia="ja-JP"/>
        </w:rPr>
        <w:t xml:space="preserve"> s</w:t>
      </w:r>
      <w:r w:rsidR="005F28CC" w:rsidRPr="005F28CC">
        <w:rPr>
          <w:rFonts w:ascii="Arial" w:eastAsiaTheme="minorHAnsi" w:hAnsi="Arial" w:cs="Arial"/>
          <w:vertAlign w:val="superscript"/>
          <w:lang w:eastAsia="ja-JP"/>
        </w:rPr>
        <w:t>-1</w:t>
      </w:r>
      <w:r w:rsidR="005F28CC">
        <w:rPr>
          <w:rFonts w:ascii="Arial" w:eastAsiaTheme="minorHAnsi" w:hAnsi="Arial" w:cs="Arial"/>
          <w:lang w:eastAsia="ja-JP"/>
        </w:rPr>
        <w:t xml:space="preserve"> m</w:t>
      </w:r>
      <w:r w:rsidR="005F28CC" w:rsidRPr="00B7483E">
        <w:rPr>
          <w:rFonts w:ascii="Arial" w:eastAsiaTheme="minorHAnsi" w:hAnsi="Arial" w:cs="Arial"/>
          <w:vertAlign w:val="superscript"/>
          <w:lang w:eastAsia="ja-JP"/>
        </w:rPr>
        <w:t>-2</w:t>
      </w:r>
      <w:r w:rsidR="005F28CC">
        <w:rPr>
          <w:rFonts w:ascii="Arial" w:eastAsiaTheme="minorHAnsi" w:hAnsi="Arial" w:cs="Arial"/>
          <w:lang w:eastAsia="ja-JP"/>
        </w:rPr>
        <w:t>)</w:t>
      </w:r>
    </w:p>
    <w:p w:rsidR="005F28CC" w:rsidRDefault="005F28CC" w:rsidP="005F28CC">
      <w:pPr>
        <w:pStyle w:val="Heading1"/>
      </w:pPr>
      <w:r>
        <w:t>Installation</w:t>
      </w:r>
    </w:p>
    <w:p w:rsidR="00D64270" w:rsidRDefault="00D64270" w:rsidP="005F28CC">
      <w:pPr>
        <w:pStyle w:val="Heading2"/>
      </w:pPr>
      <w:r>
        <w:t>PAR Sensor</w:t>
      </w:r>
    </w:p>
    <w:p w:rsidR="00D64270" w:rsidRDefault="00D64270" w:rsidP="00D64270">
      <w:r>
        <w:t xml:space="preserve">This is the easy one. </w:t>
      </w:r>
    </w:p>
    <w:p w:rsidR="00D64270" w:rsidRDefault="00D64270" w:rsidP="00D64270">
      <w:pPr>
        <w:pStyle w:val="ListParagraph"/>
        <w:numPr>
          <w:ilvl w:val="0"/>
          <w:numId w:val="4"/>
        </w:numPr>
      </w:pPr>
      <w:r>
        <w:t xml:space="preserve">Remove installed sensor from mounting base. </w:t>
      </w:r>
    </w:p>
    <w:p w:rsidR="00D64270" w:rsidRDefault="001A12F7" w:rsidP="00D64270">
      <w:pPr>
        <w:pStyle w:val="ListParagraph"/>
        <w:numPr>
          <w:ilvl w:val="0"/>
          <w:numId w:val="4"/>
        </w:numPr>
      </w:pPr>
      <w:r>
        <w:t>Affix replacement sensor to mounting base.</w:t>
      </w:r>
    </w:p>
    <w:p w:rsidR="001A12F7" w:rsidRDefault="001A12F7" w:rsidP="00D64270">
      <w:pPr>
        <w:pStyle w:val="ListParagraph"/>
        <w:numPr>
          <w:ilvl w:val="0"/>
          <w:numId w:val="4"/>
        </w:numPr>
      </w:pPr>
      <w:r>
        <w:t>Adjust leveling fixture, if necessary.</w:t>
      </w:r>
    </w:p>
    <w:p w:rsidR="001A12F7" w:rsidRDefault="001A12F7" w:rsidP="00D64270">
      <w:pPr>
        <w:pStyle w:val="ListParagraph"/>
        <w:numPr>
          <w:ilvl w:val="0"/>
          <w:numId w:val="4"/>
        </w:numPr>
      </w:pPr>
      <w:r>
        <w:t xml:space="preserve">Replace wiring connections into </w:t>
      </w:r>
      <w:proofErr w:type="spellStart"/>
      <w:r>
        <w:t>datalogger</w:t>
      </w:r>
      <w:proofErr w:type="spellEnd"/>
      <w:r w:rsidR="00C260F4">
        <w:t>:</w:t>
      </w:r>
    </w:p>
    <w:tbl>
      <w:tblPr>
        <w:tblStyle w:val="GridTable4"/>
        <w:tblW w:w="0" w:type="auto"/>
        <w:jc w:val="center"/>
        <w:tblLook w:val="0420" w:firstRow="1" w:lastRow="0" w:firstColumn="0" w:lastColumn="0" w:noHBand="0" w:noVBand="1"/>
      </w:tblPr>
      <w:tblGrid>
        <w:gridCol w:w="1988"/>
        <w:gridCol w:w="1710"/>
        <w:gridCol w:w="2069"/>
      </w:tblGrid>
      <w:tr w:rsidR="00C260F4" w:rsidTr="00C2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C260F4" w:rsidRDefault="00C260F4" w:rsidP="00C260F4">
            <w:pPr>
              <w:jc w:val="center"/>
            </w:pPr>
            <w:proofErr w:type="spellStart"/>
            <w:r>
              <w:t>Datalogger</w:t>
            </w:r>
            <w:proofErr w:type="spellEnd"/>
            <w:r>
              <w:t xml:space="preserve"> channel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Existing sensor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Replacement sensor</w:t>
            </w:r>
          </w:p>
        </w:tc>
      </w:tr>
      <w:tr w:rsidR="00C260F4" w:rsidTr="00C2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DF 6 H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PAR signal (RED)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signal ref. (BLK)</w:t>
            </w:r>
          </w:p>
        </w:tc>
      </w:tr>
      <w:tr w:rsidR="00C260F4" w:rsidTr="00C260F4">
        <w:trPr>
          <w:jc w:val="center"/>
        </w:trPr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DF 6 L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signal ref. (WHT)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PAR signal (RED)</w:t>
            </w:r>
          </w:p>
        </w:tc>
      </w:tr>
      <w:tr w:rsidR="00C260F4" w:rsidTr="00C2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earth</w:t>
            </w:r>
          </w:p>
        </w:tc>
        <w:tc>
          <w:tcPr>
            <w:tcW w:w="0" w:type="auto"/>
          </w:tcPr>
          <w:p w:rsidR="00C260F4" w:rsidRDefault="00C260F4" w:rsidP="00C260F4">
            <w:pPr>
              <w:jc w:val="center"/>
            </w:pPr>
            <w:r>
              <w:t>shield (CLR)</w:t>
            </w:r>
          </w:p>
        </w:tc>
        <w:tc>
          <w:tcPr>
            <w:tcW w:w="0" w:type="auto"/>
          </w:tcPr>
          <w:p w:rsidR="00C260F4" w:rsidRPr="00C260F4" w:rsidRDefault="00C260F4" w:rsidP="00C260F4">
            <w:pPr>
              <w:jc w:val="center"/>
            </w:pPr>
            <w:r>
              <w:rPr>
                <w:i/>
              </w:rPr>
              <w:t>jumper to DF 6 L</w:t>
            </w:r>
          </w:p>
        </w:tc>
      </w:tr>
    </w:tbl>
    <w:p w:rsidR="00C260F4" w:rsidRDefault="00C260F4" w:rsidP="00C260F4"/>
    <w:p w:rsidR="00C260F4" w:rsidRPr="00D64270" w:rsidRDefault="00C260F4" w:rsidP="00C260F4">
      <w:r>
        <w:t xml:space="preserve">That’s right: </w:t>
      </w:r>
      <w:r w:rsidR="000C4A7F">
        <w:t>sensor</w:t>
      </w:r>
      <w:r>
        <w:t xml:space="preserve"> signal is tied to the cable shield to improve noise immunity so the differential voltage measurement is ‘backwards’ to convention.</w:t>
      </w:r>
      <w:r w:rsidR="000C4A7F">
        <w:t xml:space="preserve"> (A negative scaling multiplier results in positive values in engineering units.)</w:t>
      </w:r>
    </w:p>
    <w:p w:rsidR="00C260F4" w:rsidRDefault="00C260F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F28CC" w:rsidRDefault="005F28CC" w:rsidP="005F28CC">
      <w:pPr>
        <w:pStyle w:val="Heading2"/>
      </w:pPr>
      <w:r>
        <w:lastRenderedPageBreak/>
        <w:t>Soil Probes</w:t>
      </w:r>
    </w:p>
    <w:p w:rsidR="00694AB1" w:rsidRDefault="00C260F4" w:rsidP="005F28CC">
      <w:r>
        <w:t>P</w:t>
      </w:r>
      <w:r w:rsidR="00FE10BE">
        <w:t xml:space="preserve">robes </w:t>
      </w:r>
      <w:r w:rsidR="00D64270">
        <w:t xml:space="preserve">are </w:t>
      </w:r>
      <w:r w:rsidR="00BC0E11">
        <w:t>installed in two vertical profiles</w:t>
      </w:r>
      <w:r>
        <w:t>. Both locations are in-row, between the drip irrigation point and dripline of foliage.</w:t>
      </w:r>
      <w:r w:rsidR="00B40E43">
        <w:t xml:space="preserve"> The lowest probe</w:t>
      </w:r>
      <w:r w:rsidR="00694AB1">
        <w:t>s</w:t>
      </w:r>
      <w:r w:rsidR="00B40E43">
        <w:t xml:space="preserve"> </w:t>
      </w:r>
      <w:r w:rsidR="00694AB1">
        <w:t>are</w:t>
      </w:r>
      <w:r w:rsidR="00B40E43">
        <w:t xml:space="preserve"> installed below the root zone, at the </w:t>
      </w:r>
      <w:proofErr w:type="gramStart"/>
      <w:r w:rsidR="00B40E43">
        <w:t>higher</w:t>
      </w:r>
      <w:proofErr w:type="gramEnd"/>
      <w:r w:rsidR="00B40E43">
        <w:t xml:space="preserve"> </w:t>
      </w:r>
      <w:r w:rsidR="00694AB1">
        <w:t xml:space="preserve">of 30 or 40cm (but at same depth). </w:t>
      </w:r>
    </w:p>
    <w:tbl>
      <w:tblPr>
        <w:tblStyle w:val="GridTable4"/>
        <w:tblW w:w="0" w:type="auto"/>
        <w:jc w:val="center"/>
        <w:tblLook w:val="0420" w:firstRow="1" w:lastRow="0" w:firstColumn="0" w:lastColumn="0" w:noHBand="0" w:noVBand="1"/>
      </w:tblPr>
      <w:tblGrid>
        <w:gridCol w:w="1273"/>
        <w:gridCol w:w="1971"/>
        <w:gridCol w:w="1238"/>
        <w:gridCol w:w="1222"/>
        <w:gridCol w:w="1222"/>
      </w:tblGrid>
      <w:tr w:rsidR="00FE10BE" w:rsidTr="000C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FE10BE" w:rsidRDefault="00FE10BE" w:rsidP="005F28CC">
            <w:r>
              <w:t>Depth</w:t>
            </w:r>
          </w:p>
        </w:tc>
        <w:tc>
          <w:tcPr>
            <w:tcW w:w="0" w:type="auto"/>
          </w:tcPr>
          <w:p w:rsidR="00FE10BE" w:rsidRDefault="00FE10BE" w:rsidP="005F28CC">
            <w:r>
              <w:t>Measurement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Instrument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Hole #1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Hole #2</w:t>
            </w:r>
          </w:p>
        </w:tc>
      </w:tr>
      <w:tr w:rsidR="00FE10BE" w:rsidTr="000C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FE10BE" w:rsidRDefault="00FE10BE" w:rsidP="005F28CC">
            <w:r>
              <w:t>5 cm</w:t>
            </w:r>
          </w:p>
        </w:tc>
        <w:tc>
          <w:tcPr>
            <w:tcW w:w="0" w:type="auto"/>
          </w:tcPr>
          <w:p w:rsidR="00FE10BE" w:rsidRDefault="00FE10BE" w:rsidP="00FE10BE">
            <w:r>
              <w:t>temperature, VWC</w:t>
            </w:r>
            <w:r w:rsidR="000C406D">
              <w:rPr>
                <w:rStyle w:val="FootnoteReference"/>
              </w:rPr>
              <w:footnoteReference w:id="1"/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5TM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5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9</w:t>
            </w:r>
          </w:p>
        </w:tc>
      </w:tr>
      <w:tr w:rsidR="00FE10BE" w:rsidTr="000C4A7F">
        <w:trPr>
          <w:jc w:val="center"/>
        </w:trPr>
        <w:tc>
          <w:tcPr>
            <w:tcW w:w="0" w:type="auto"/>
            <w:vMerge w:val="restart"/>
            <w:vAlign w:val="center"/>
          </w:tcPr>
          <w:p w:rsidR="00FE10BE" w:rsidRDefault="00FE10BE" w:rsidP="000C406D">
            <w:r>
              <w:t>8 cm</w:t>
            </w:r>
          </w:p>
        </w:tc>
        <w:tc>
          <w:tcPr>
            <w:tcW w:w="0" w:type="auto"/>
          </w:tcPr>
          <w:p w:rsidR="00FE10BE" w:rsidRDefault="00FE10BE" w:rsidP="005F28CC">
            <w:r>
              <w:t>heat flux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HFP01</w:t>
            </w:r>
          </w:p>
        </w:tc>
        <w:tc>
          <w:tcPr>
            <w:tcW w:w="0" w:type="auto"/>
          </w:tcPr>
          <w:p w:rsidR="00FE10BE" w:rsidRDefault="000C406D" w:rsidP="00FE10BE">
            <w:pPr>
              <w:jc w:val="center"/>
            </w:pPr>
            <w:r>
              <w:t>s/n 005029</w:t>
            </w:r>
          </w:p>
        </w:tc>
        <w:tc>
          <w:tcPr>
            <w:tcW w:w="0" w:type="auto"/>
          </w:tcPr>
          <w:p w:rsidR="00FE10BE" w:rsidRDefault="000C406D" w:rsidP="00FE10BE">
            <w:pPr>
              <w:jc w:val="center"/>
            </w:pPr>
            <w:r>
              <w:t>s/n 005031</w:t>
            </w:r>
          </w:p>
        </w:tc>
      </w:tr>
      <w:tr w:rsidR="00FE10BE" w:rsidTr="000C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vMerge/>
          </w:tcPr>
          <w:p w:rsidR="00FE10BE" w:rsidRDefault="00FE10BE" w:rsidP="005F28CC"/>
        </w:tc>
        <w:tc>
          <w:tcPr>
            <w:tcW w:w="0" w:type="auto"/>
          </w:tcPr>
          <w:p w:rsidR="00FE10BE" w:rsidRDefault="00FE10BE" w:rsidP="005F28CC">
            <w:r>
              <w:t>temperature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109SS</w:t>
            </w:r>
          </w:p>
        </w:tc>
        <w:tc>
          <w:tcPr>
            <w:tcW w:w="0" w:type="auto"/>
          </w:tcPr>
          <w:p w:rsidR="00FE10BE" w:rsidRDefault="000C406D" w:rsidP="00FE10BE">
            <w:pPr>
              <w:jc w:val="center"/>
            </w:pPr>
            <w:r>
              <w:t>#001</w:t>
            </w:r>
          </w:p>
        </w:tc>
        <w:tc>
          <w:tcPr>
            <w:tcW w:w="0" w:type="auto"/>
          </w:tcPr>
          <w:p w:rsidR="00FE10BE" w:rsidRDefault="000C406D" w:rsidP="00FE10BE">
            <w:pPr>
              <w:jc w:val="center"/>
            </w:pPr>
            <w:r>
              <w:t>#002</w:t>
            </w:r>
          </w:p>
        </w:tc>
      </w:tr>
      <w:tr w:rsidR="00FE10BE" w:rsidTr="000C4A7F">
        <w:trPr>
          <w:jc w:val="center"/>
        </w:trPr>
        <w:tc>
          <w:tcPr>
            <w:tcW w:w="0" w:type="auto"/>
          </w:tcPr>
          <w:p w:rsidR="00FE10BE" w:rsidRDefault="00FE10BE" w:rsidP="005F28CC">
            <w:r>
              <w:t>10 cm</w:t>
            </w:r>
          </w:p>
        </w:tc>
        <w:tc>
          <w:tcPr>
            <w:tcW w:w="0" w:type="auto"/>
          </w:tcPr>
          <w:p w:rsidR="00FE10BE" w:rsidRDefault="00FE10BE" w:rsidP="005F28CC">
            <w:r>
              <w:t>temperature, VWC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5TM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6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A</w:t>
            </w:r>
          </w:p>
        </w:tc>
      </w:tr>
      <w:tr w:rsidR="00FE10BE" w:rsidTr="000C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FE10BE" w:rsidRDefault="00FE10BE" w:rsidP="005F28CC">
            <w:r>
              <w:t>20 cm</w:t>
            </w:r>
          </w:p>
        </w:tc>
        <w:tc>
          <w:tcPr>
            <w:tcW w:w="0" w:type="auto"/>
          </w:tcPr>
          <w:p w:rsidR="00FE10BE" w:rsidRDefault="00FE10BE" w:rsidP="005F28CC">
            <w:r>
              <w:t>temperature, VWC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5TM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7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B</w:t>
            </w:r>
          </w:p>
        </w:tc>
      </w:tr>
      <w:tr w:rsidR="00FE10BE" w:rsidTr="000C4A7F">
        <w:trPr>
          <w:jc w:val="center"/>
        </w:trPr>
        <w:tc>
          <w:tcPr>
            <w:tcW w:w="0" w:type="auto"/>
          </w:tcPr>
          <w:p w:rsidR="00FE10BE" w:rsidRDefault="00FE10BE" w:rsidP="005F28CC">
            <w:r>
              <w:t>30 or 40 cm</w:t>
            </w:r>
          </w:p>
        </w:tc>
        <w:tc>
          <w:tcPr>
            <w:tcW w:w="0" w:type="auto"/>
          </w:tcPr>
          <w:p w:rsidR="00FE10BE" w:rsidRDefault="00FE10BE" w:rsidP="005F28CC">
            <w:r>
              <w:t>temperature, VWC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5TM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8</w:t>
            </w:r>
          </w:p>
        </w:tc>
        <w:tc>
          <w:tcPr>
            <w:tcW w:w="0" w:type="auto"/>
          </w:tcPr>
          <w:p w:rsidR="00FE10BE" w:rsidRDefault="00FE10BE" w:rsidP="00FE10BE">
            <w:pPr>
              <w:jc w:val="center"/>
            </w:pPr>
            <w:r>
              <w:t>ID# C</w:t>
            </w:r>
          </w:p>
        </w:tc>
      </w:tr>
    </w:tbl>
    <w:p w:rsidR="00FE10BE" w:rsidRDefault="00FE10BE" w:rsidP="005F28CC"/>
    <w:p w:rsidR="002553F0" w:rsidRPr="005F28CC" w:rsidRDefault="003F677C" w:rsidP="005F28CC">
      <w:r>
        <w:t xml:space="preserve">To avoid crossing the path of row-traveling machinery, while still placing the sensors “within” the crop, the target installation area is </w:t>
      </w:r>
      <w:r w:rsidR="00694AB1">
        <w:t xml:space="preserve">the same row-path, </w:t>
      </w:r>
      <w:r>
        <w:t>south of the tower. In the image below, the yellow line extends about 25 feet; sensor cables are no less than 40 feet.</w:t>
      </w:r>
      <w:r w:rsidR="002553F0">
        <w:t xml:space="preserve"> Cabling is bundled inside plastic split-loom conduit and run above-ground along this path. If necessary, the cable may be buried or placed in metal conduit (red path) to permit machine traffic.</w:t>
      </w:r>
    </w:p>
    <w:p w:rsidR="0086108D" w:rsidRDefault="005F28CC" w:rsidP="005052BF">
      <w:pPr>
        <w:jc w:val="center"/>
      </w:pPr>
      <w:r>
        <w:rPr>
          <w:noProof/>
        </w:rPr>
        <w:drawing>
          <wp:inline distT="0" distB="0" distL="0" distR="0">
            <wp:extent cx="3333750" cy="4019550"/>
            <wp:effectExtent l="0" t="0" r="0" b="0"/>
            <wp:docPr id="1" name="Picture 1" descr="E:\2015 Vineyard\soil probe install 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5 Vineyard\soil probe install lo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BE" w:rsidRDefault="00FE10BE" w:rsidP="00FE10BE">
      <w:pPr>
        <w:spacing w:after="0" w:line="240" w:lineRule="auto"/>
      </w:pPr>
      <w:r>
        <w:separator/>
      </w:r>
    </w:p>
  </w:endnote>
  <w:endnote w:type="continuationSeparator" w:id="0">
    <w:p w:rsidR="00FE10BE" w:rsidRDefault="00FE10BE" w:rsidP="00FE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BE" w:rsidRDefault="00FE10BE" w:rsidP="00FE10BE">
      <w:pPr>
        <w:spacing w:after="0" w:line="240" w:lineRule="auto"/>
      </w:pPr>
      <w:r>
        <w:separator/>
      </w:r>
    </w:p>
  </w:footnote>
  <w:footnote w:type="continuationSeparator" w:id="0">
    <w:p w:rsidR="00FE10BE" w:rsidRDefault="00FE10BE" w:rsidP="00FE10BE">
      <w:pPr>
        <w:spacing w:after="0" w:line="240" w:lineRule="auto"/>
      </w:pPr>
      <w:r>
        <w:continuationSeparator/>
      </w:r>
    </w:p>
  </w:footnote>
  <w:footnote w:id="1">
    <w:p w:rsidR="000C406D" w:rsidRDefault="000C406D">
      <w:pPr>
        <w:pStyle w:val="FootnoteText"/>
      </w:pPr>
      <w:r>
        <w:rPr>
          <w:rStyle w:val="FootnoteReference"/>
        </w:rPr>
        <w:footnoteRef/>
      </w:r>
      <w:r>
        <w:t xml:space="preserve"> Well, dielectric permittivity, which is used to calculate volumetric water content (VWC) with the </w:t>
      </w:r>
      <w:proofErr w:type="spellStart"/>
      <w:r>
        <w:t>Topp</w:t>
      </w:r>
      <w:proofErr w:type="spellEnd"/>
      <w:r>
        <w:t xml:space="preserve"> eqn.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8D2"/>
    <w:multiLevelType w:val="hybridMultilevel"/>
    <w:tmpl w:val="A26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042"/>
    <w:multiLevelType w:val="hybridMultilevel"/>
    <w:tmpl w:val="40A6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2AB5"/>
    <w:multiLevelType w:val="hybridMultilevel"/>
    <w:tmpl w:val="4BFE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27463"/>
    <w:multiLevelType w:val="hybridMultilevel"/>
    <w:tmpl w:val="A8C0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6"/>
    <w:rsid w:val="000C406D"/>
    <w:rsid w:val="000C4A7F"/>
    <w:rsid w:val="001A12F7"/>
    <w:rsid w:val="002553F0"/>
    <w:rsid w:val="002E32C6"/>
    <w:rsid w:val="002F6169"/>
    <w:rsid w:val="00315CD6"/>
    <w:rsid w:val="00367359"/>
    <w:rsid w:val="003F677C"/>
    <w:rsid w:val="005052BF"/>
    <w:rsid w:val="005E6B2C"/>
    <w:rsid w:val="005F28CC"/>
    <w:rsid w:val="00694AB1"/>
    <w:rsid w:val="0086108D"/>
    <w:rsid w:val="00B40E43"/>
    <w:rsid w:val="00B7483E"/>
    <w:rsid w:val="00BC0E11"/>
    <w:rsid w:val="00C260F4"/>
    <w:rsid w:val="00C27A5F"/>
    <w:rsid w:val="00D64270"/>
    <w:rsid w:val="00E42C21"/>
    <w:rsid w:val="00E84645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B4BB5-258F-4948-8C7A-0948F1C1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2C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7A5F"/>
    <w:pPr>
      <w:ind w:left="720"/>
      <w:contextualSpacing/>
    </w:pPr>
  </w:style>
  <w:style w:type="table" w:styleId="TableGrid">
    <w:name w:val="Table Grid"/>
    <w:basedOn w:val="TableNormal"/>
    <w:uiPriority w:val="39"/>
    <w:rsid w:val="00C2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27A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7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10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0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0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50A50-D783-437C-AAEC-7AA18648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12</cp:revision>
  <dcterms:created xsi:type="dcterms:W3CDTF">2015-07-20T20:26:00Z</dcterms:created>
  <dcterms:modified xsi:type="dcterms:W3CDTF">2015-07-28T00:40:00Z</dcterms:modified>
</cp:coreProperties>
</file>