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8A0" w:rsidRDefault="008E08A0" w:rsidP="00AA5494">
      <w:pPr>
        <w:pStyle w:val="Heading1"/>
        <w:spacing w:before="0"/>
      </w:pPr>
      <w:bookmarkStart w:id="0" w:name="_Toc207088812"/>
      <w:r>
        <w:t>Scope</w:t>
      </w:r>
      <w:bookmarkEnd w:id="0"/>
      <w:r>
        <w:t xml:space="preserve"> </w:t>
      </w:r>
    </w:p>
    <w:p w:rsidR="00462188" w:rsidRDefault="008E08A0">
      <w:r>
        <w:t>This document describes the de</w:t>
      </w:r>
      <w:r w:rsidR="00AB183B">
        <w:t xml:space="preserve">tails of operation, methodology, assembly </w:t>
      </w:r>
      <w:r w:rsidR="002912D5">
        <w:t xml:space="preserve">and modification of a </w:t>
      </w:r>
      <w:r>
        <w:t xml:space="preserve">denuder-based relaxed eddy accumulation </w:t>
      </w:r>
      <w:r w:rsidR="00513E85">
        <w:t xml:space="preserve">(REA) </w:t>
      </w:r>
      <w:r>
        <w:t xml:space="preserve">system. </w:t>
      </w:r>
    </w:p>
    <w:p w:rsidR="00CB2B71" w:rsidRDefault="00647766" w:rsidP="00CB2B71">
      <w:pPr>
        <w:pStyle w:val="Heading1"/>
      </w:pPr>
      <w:bookmarkStart w:id="1" w:name="_Toc207088813"/>
      <w:r>
        <w:t>Principle</w:t>
      </w:r>
      <w:r w:rsidR="00CB2B71">
        <w:t xml:space="preserve"> of Operation</w:t>
      </w:r>
      <w:bookmarkEnd w:id="1"/>
    </w:p>
    <w:p w:rsidR="00761568" w:rsidRDefault="00B5741E" w:rsidP="00761568">
      <w:r>
        <w:t>Relaxed eddy accumulation is a sampling method which is conceptually similar to methods such as eddy covariance, disjunct eddy covariance and eddy accumulation. The system evaluates micrometeorological data to conditionally sample ascending or descending air parcels into one of two denuders. Denud</w:t>
      </w:r>
      <w:r w:rsidR="002912D5">
        <w:t xml:space="preserve">ers are advantageous because </w:t>
      </w:r>
      <w:r>
        <w:t xml:space="preserve">slow-response equipment </w:t>
      </w:r>
      <w:r w:rsidR="002912D5">
        <w:t>is permissible for analysis</w:t>
      </w:r>
      <w:r>
        <w:t xml:space="preserve"> and </w:t>
      </w:r>
      <w:r w:rsidR="002912D5">
        <w:t xml:space="preserve">samples can be stored </w:t>
      </w:r>
      <w:r>
        <w:t xml:space="preserve">prior to analysis. After a sampling run, </w:t>
      </w:r>
      <w:r w:rsidR="002912D5">
        <w:t xml:space="preserve">the amount </w:t>
      </w:r>
      <w:r>
        <w:t xml:space="preserve">of compound trapped </w:t>
      </w:r>
      <w:r w:rsidR="002912D5">
        <w:t xml:space="preserve">in </w:t>
      </w:r>
      <w:r>
        <w:t>up and down parcels</w:t>
      </w:r>
      <w:r w:rsidR="002912D5">
        <w:t xml:space="preserve"> is evaluated; the</w:t>
      </w:r>
      <w:r w:rsidR="00AB183B">
        <w:t xml:space="preserve"> mass difference and micro</w:t>
      </w:r>
      <w:r>
        <w:t>met</w:t>
      </w:r>
      <w:r w:rsidR="00AB183B">
        <w:t>eorological</w:t>
      </w:r>
      <w:r>
        <w:t xml:space="preserve"> data are used </w:t>
      </w:r>
      <w:r w:rsidR="002912D5">
        <w:t xml:space="preserve">in conjunction </w:t>
      </w:r>
      <w:r>
        <w:t xml:space="preserve">to </w:t>
      </w:r>
      <w:r w:rsidR="002912D5">
        <w:t xml:space="preserve">determine an </w:t>
      </w:r>
      <w:r>
        <w:t xml:space="preserve">overall flux. </w:t>
      </w:r>
    </w:p>
    <w:p w:rsidR="00E359D3" w:rsidRDefault="00E359D3" w:rsidP="00761568">
      <w:r>
        <w:t>Because of variability in eddy velocity and compound concentration, a composite sample proportioned upon actual eddy velocity would be desirable. However</w:t>
      </w:r>
      <w:r w:rsidR="00796E12">
        <w:t xml:space="preserve">, the sampling rate of this system is too high to make </w:t>
      </w:r>
      <w:r>
        <w:t>gathering a sample in this manner</w:t>
      </w:r>
      <w:r w:rsidR="00796E12">
        <w:t xml:space="preserve"> possible</w:t>
      </w:r>
      <w:r>
        <w:t xml:space="preserve">. The term ‘relaxed’ indicates the sampling rate is chosen independently from the instantaneous vertical </w:t>
      </w:r>
      <w:r w:rsidR="00AB183B">
        <w:t>eddy</w:t>
      </w:r>
      <w:r>
        <w:t xml:space="preserve"> velocity </w:t>
      </w:r>
      <w:r>
        <w:rPr>
          <w:i/>
        </w:rPr>
        <w:t>w</w:t>
      </w:r>
      <w:r>
        <w:t xml:space="preserve">. </w:t>
      </w:r>
      <w:r w:rsidR="00AB183B">
        <w:t>The</w:t>
      </w:r>
      <w:r>
        <w:t xml:space="preserve"> vertical flux estimate </w:t>
      </w:r>
      <w:r>
        <w:rPr>
          <w:i/>
        </w:rPr>
        <w:t>F</w:t>
      </w:r>
      <w:r>
        <w:t xml:space="preserve"> is </w:t>
      </w:r>
      <w:r w:rsidR="00796E12">
        <w:t xml:space="preserve">then </w:t>
      </w:r>
      <w:r>
        <w:t xml:space="preserve">determined by an empirical coefficient </w:t>
      </w:r>
      <w:r w:rsidR="00B2560F" w:rsidRPr="00B2560F">
        <w:rPr>
          <w:rFonts w:ascii="Arial" w:hAnsi="Arial" w:cs="Arial"/>
          <w:i/>
        </w:rPr>
        <w:t>β</w:t>
      </w:r>
      <w:r>
        <w:t>, the standard deviation of vertical wind velocity σ</w:t>
      </w:r>
      <w:r w:rsidRPr="00E359D3">
        <w:rPr>
          <w:vertAlign w:val="subscript"/>
        </w:rPr>
        <w:t>w</w:t>
      </w:r>
      <w:r>
        <w:t xml:space="preserve"> and the difference in mean concentrations between ascending c</w:t>
      </w:r>
      <w:r w:rsidRPr="00E359D3">
        <w:rPr>
          <w:vertAlign w:val="superscript"/>
        </w:rPr>
        <w:t>+</w:t>
      </w:r>
      <w:r>
        <w:t xml:space="preserve"> and descending c</w:t>
      </w:r>
      <w:r w:rsidRPr="00E359D3">
        <w:rPr>
          <w:vertAlign w:val="superscript"/>
        </w:rPr>
        <w:t>-</w:t>
      </w:r>
      <w:r>
        <w:t xml:space="preserve"> samples (Businger &amp; Oncley, 1990). In most situations, the coefficient </w:t>
      </w:r>
      <w:r w:rsidR="00B2560F" w:rsidRPr="00B2560F">
        <w:rPr>
          <w:rFonts w:ascii="Arial" w:hAnsi="Arial" w:cs="Arial"/>
          <w:i/>
        </w:rPr>
        <w:t>β</w:t>
      </w:r>
      <w:r>
        <w:t xml:space="preserve"> is roughly 0.6. Over-bars denote </w:t>
      </w:r>
      <w:r w:rsidR="00647766">
        <w:t>a</w:t>
      </w:r>
      <w:r>
        <w:t xml:space="preserve"> mean quantity. </w:t>
      </w:r>
    </w:p>
    <w:p w:rsidR="006A1008" w:rsidRPr="00761568" w:rsidRDefault="006A1008" w:rsidP="006A1008">
      <m:oMathPara>
        <m:oMath>
          <m:r>
            <w:rPr>
              <w:rFonts w:ascii="Cambria Math" w:hAnsi="Cambria Math"/>
            </w:rPr>
            <m:t>F≅β</m:t>
          </m:r>
          <m:sSub>
            <m:sSubPr>
              <m:ctrlPr>
                <w:rPr>
                  <w:rFonts w:ascii="Cambria Math" w:hAnsi="Cambria Math"/>
                  <w:i/>
                </w:rPr>
              </m:ctrlPr>
            </m:sSubPr>
            <m:e>
              <m:r>
                <w:rPr>
                  <w:rFonts w:ascii="Cambria Math" w:hAnsi="Cambria Math"/>
                </w:rPr>
                <m:t>σ</m:t>
              </m:r>
            </m:e>
            <m:sub>
              <m:r>
                <w:rPr>
                  <w:rFonts w:ascii="Cambria Math" w:hAnsi="Cambria Math"/>
                </w:rPr>
                <m:t>w</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m:t>
                  </m:r>
                </m:sup>
              </m:sSup>
            </m:e>
          </m:d>
        </m:oMath>
      </m:oMathPara>
    </w:p>
    <w:p w:rsidR="00761568" w:rsidRPr="00761568" w:rsidRDefault="00761568" w:rsidP="00761568">
      <w:r w:rsidRPr="00761568">
        <w:t xml:space="preserve">The </w:t>
      </w:r>
      <w:r w:rsidR="00E359D3">
        <w:t xml:space="preserve">mean </w:t>
      </w:r>
      <w:r w:rsidRPr="00761568">
        <w:t xml:space="preserve">concentration of each sample depends upon the total </w:t>
      </w:r>
      <w:r w:rsidR="00647766">
        <w:t>sampling</w:t>
      </w:r>
      <w:r w:rsidRPr="00761568">
        <w:t xml:space="preserve"> duration </w:t>
      </w:r>
      <w:r w:rsidRPr="00761568">
        <w:rPr>
          <w:i/>
          <w:iCs/>
        </w:rPr>
        <w:t>t</w:t>
      </w:r>
      <w:r w:rsidRPr="00761568">
        <w:t xml:space="preserve">, mass collected in the up </w:t>
      </w:r>
      <w:r w:rsidRPr="00761568">
        <w:rPr>
          <w:i/>
          <w:iCs/>
        </w:rPr>
        <w:t>m</w:t>
      </w:r>
      <w:r w:rsidRPr="00761568">
        <w:rPr>
          <w:vertAlign w:val="superscript"/>
        </w:rPr>
        <w:t>+</w:t>
      </w:r>
      <w:r w:rsidRPr="00761568">
        <w:t xml:space="preserve"> and down </w:t>
      </w:r>
      <w:r w:rsidRPr="00761568">
        <w:rPr>
          <w:i/>
          <w:iCs/>
        </w:rPr>
        <w:t>m</w:t>
      </w:r>
      <w:r w:rsidRPr="00761568">
        <w:rPr>
          <w:vertAlign w:val="superscript"/>
        </w:rPr>
        <w:t>-</w:t>
      </w:r>
      <w:r w:rsidRPr="00761568">
        <w:t xml:space="preserve"> reservoirs, up </w:t>
      </w:r>
      <w:r w:rsidRPr="00761568">
        <w:rPr>
          <w:i/>
          <w:iCs/>
        </w:rPr>
        <w:t>f</w:t>
      </w:r>
      <w:r w:rsidRPr="00761568">
        <w:rPr>
          <w:vertAlign w:val="superscript"/>
        </w:rPr>
        <w:t>+</w:t>
      </w:r>
      <w:r w:rsidRPr="00761568">
        <w:t xml:space="preserve"> and down </w:t>
      </w:r>
      <w:r w:rsidRPr="00761568">
        <w:rPr>
          <w:i/>
          <w:iCs/>
        </w:rPr>
        <w:t>f</w:t>
      </w:r>
      <w:r w:rsidRPr="00761568">
        <w:rPr>
          <w:vertAlign w:val="superscript"/>
        </w:rPr>
        <w:t>-</w:t>
      </w:r>
      <w:r w:rsidRPr="00761568">
        <w:t xml:space="preserve"> sample flow rates, and the fraction of total time duration in which up </w:t>
      </w:r>
      <w:r w:rsidRPr="00761568">
        <w:rPr>
          <w:i/>
          <w:iCs/>
        </w:rPr>
        <w:t>α</w:t>
      </w:r>
      <w:r w:rsidRPr="00761568">
        <w:rPr>
          <w:vertAlign w:val="superscript"/>
        </w:rPr>
        <w:t>+</w:t>
      </w:r>
      <w:r w:rsidRPr="00761568">
        <w:t xml:space="preserve"> and down </w:t>
      </w:r>
      <w:r w:rsidRPr="00761568">
        <w:rPr>
          <w:i/>
          <w:iCs/>
        </w:rPr>
        <w:t>α</w:t>
      </w:r>
      <w:r w:rsidRPr="00761568">
        <w:rPr>
          <w:vertAlign w:val="superscript"/>
        </w:rPr>
        <w:t>-</w:t>
      </w:r>
      <w:r w:rsidRPr="00761568">
        <w:t xml:space="preserve"> sampling occurs (Baum and Ham, 2007). Expressing the flux in terms of these known quantities:</w:t>
      </w:r>
    </w:p>
    <w:p w:rsidR="00761568" w:rsidRDefault="006A1008" w:rsidP="00647766">
      <w:pPr>
        <w:jc w:val="center"/>
      </w:pPr>
      <m:oMathPara>
        <m:oMath>
          <m:r>
            <w:rPr>
              <w:rFonts w:ascii="Cambria Math" w:hAnsi="Cambria Math"/>
            </w:rPr>
            <m:t xml:space="preserve">F≅ </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σ</m:t>
                  </m:r>
                </m:e>
                <m:sub>
                  <m:r>
                    <w:rPr>
                      <w:rFonts w:ascii="Cambria Math" w:hAnsi="Cambria Math"/>
                    </w:rPr>
                    <m:t>w</m:t>
                  </m:r>
                </m:sub>
              </m:sSub>
            </m:num>
            <m:den>
              <m:r>
                <w:rPr>
                  <w:rFonts w:ascii="Cambria Math" w:hAnsi="Cambria Math"/>
                </w:rPr>
                <m:t>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m:t>
                      </m:r>
                    </m:sup>
                  </m:sSup>
                  <m:sSup>
                    <m:sSupPr>
                      <m:ctrlPr>
                        <w:rPr>
                          <w:rFonts w:ascii="Cambria Math" w:hAnsi="Cambria Math"/>
                          <w:i/>
                        </w:rPr>
                      </m:ctrlPr>
                    </m:sSupPr>
                    <m:e>
                      <m:r>
                        <w:rPr>
                          <w:rFonts w:ascii="Cambria Math" w:hAnsi="Cambria Math"/>
                        </w:rPr>
                        <m:t>α</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m:t>
                      </m:r>
                    </m:sup>
                  </m:sSup>
                  <m:sSup>
                    <m:sSupPr>
                      <m:ctrlPr>
                        <w:rPr>
                          <w:rFonts w:ascii="Cambria Math" w:hAnsi="Cambria Math"/>
                          <w:i/>
                        </w:rPr>
                      </m:ctrlPr>
                    </m:sSupPr>
                    <m:e>
                      <m:r>
                        <w:rPr>
                          <w:rFonts w:ascii="Cambria Math" w:hAnsi="Cambria Math"/>
                        </w:rPr>
                        <m:t>α</m:t>
                      </m:r>
                    </m:e>
                    <m:sup>
                      <m:r>
                        <w:rPr>
                          <w:rFonts w:ascii="Cambria Math" w:hAnsi="Cambria Math"/>
                        </w:rPr>
                        <m:t>-</m:t>
                      </m:r>
                    </m:sup>
                  </m:sSup>
                </m:den>
              </m:f>
            </m:e>
          </m:d>
        </m:oMath>
      </m:oMathPara>
    </w:p>
    <w:p w:rsidR="006D1F63" w:rsidRPr="00761568" w:rsidRDefault="00AB183B" w:rsidP="006D1F63">
      <w:r>
        <w:t>T</w:t>
      </w:r>
      <w:r w:rsidR="006D1F63">
        <w:t xml:space="preserve">he quantities in the above equation </w:t>
      </w:r>
      <w:r w:rsidR="002912D5">
        <w:t>are determined from micro</w:t>
      </w:r>
      <w:r>
        <w:t>met</w:t>
      </w:r>
      <w:r w:rsidR="002912D5">
        <w:t>eorological</w:t>
      </w:r>
      <w:r>
        <w:t xml:space="preserve"> </w:t>
      </w:r>
      <w:r w:rsidR="006D1F63">
        <w:t xml:space="preserve">data gathered by the data logger and from </w:t>
      </w:r>
      <w:r w:rsidR="002912D5">
        <w:t>a mass analysis of the denuders</w:t>
      </w:r>
      <w:r w:rsidR="006D1F63">
        <w:t xml:space="preserve"> </w:t>
      </w:r>
      <w:r w:rsidR="002912D5">
        <w:t>for the desired compound.</w:t>
      </w:r>
    </w:p>
    <w:p w:rsidR="00462188" w:rsidRDefault="00647766" w:rsidP="009B3CCD">
      <w:pPr>
        <w:pStyle w:val="Heading1"/>
      </w:pPr>
      <w:r>
        <w:br w:type="page"/>
      </w:r>
      <w:bookmarkStart w:id="2" w:name="_Toc207088814"/>
      <w:r w:rsidR="00462188">
        <w:lastRenderedPageBreak/>
        <w:t>Applicability to Ammonia</w:t>
      </w:r>
      <w:bookmarkEnd w:id="2"/>
    </w:p>
    <w:p w:rsidR="00AC3875" w:rsidRDefault="00462188">
      <w:r>
        <w:t>Ammonia (NH</w:t>
      </w:r>
      <w:r w:rsidRPr="00AC3875">
        <w:rPr>
          <w:vertAlign w:val="subscript"/>
        </w:rPr>
        <w:t>3</w:t>
      </w:r>
      <w:r>
        <w:t>) is a naturally occurring compound and important source of nitrogen for living systems.</w:t>
      </w:r>
      <w:r w:rsidR="00DF365B">
        <w:t xml:space="preserve"> At high concentrations, however, NH</w:t>
      </w:r>
      <w:r w:rsidR="00DF365B" w:rsidRPr="009B3CCD">
        <w:rPr>
          <w:vertAlign w:val="subscript"/>
        </w:rPr>
        <w:t>3</w:t>
      </w:r>
      <w:r w:rsidR="00DF365B">
        <w:t xml:space="preserve"> become</w:t>
      </w:r>
      <w:r w:rsidR="009B3CCD">
        <w:t>s</w:t>
      </w:r>
      <w:r w:rsidR="00DF365B">
        <w:t xml:space="preserve"> a public health and environmental nuisance: high exposure levels irritate or even burn skin, eyes and respiratory tissues</w:t>
      </w:r>
      <w:r w:rsidR="00DF365B">
        <w:rPr>
          <w:rStyle w:val="FootnoteReference"/>
        </w:rPr>
        <w:footnoteReference w:id="1"/>
      </w:r>
      <w:r w:rsidR="009B3CCD">
        <w:t>,</w:t>
      </w:r>
      <w:r w:rsidR="00DF365B">
        <w:t xml:space="preserve"> depositio</w:t>
      </w:r>
      <w:r w:rsidR="00270639">
        <w:t>n and runoff contribute to soil &amp; water body eutrophication</w:t>
      </w:r>
      <w:r w:rsidR="00270639">
        <w:rPr>
          <w:rStyle w:val="FootnoteReference"/>
        </w:rPr>
        <w:footnoteReference w:id="2"/>
      </w:r>
      <w:r w:rsidR="00270639" w:rsidRPr="00270639">
        <w:rPr>
          <w:vertAlign w:val="superscript"/>
        </w:rPr>
        <w:t>,</w:t>
      </w:r>
      <w:r w:rsidR="00270639">
        <w:rPr>
          <w:rStyle w:val="FootnoteReference"/>
        </w:rPr>
        <w:footnoteReference w:id="3"/>
      </w:r>
      <w:r w:rsidR="009B3CCD">
        <w:t>,</w:t>
      </w:r>
      <w:r w:rsidR="00270639">
        <w:t xml:space="preserve"> </w:t>
      </w:r>
      <w:r w:rsidR="009B3CCD">
        <w:t xml:space="preserve">and </w:t>
      </w:r>
      <w:r w:rsidR="000E6944">
        <w:t xml:space="preserve">it </w:t>
      </w:r>
      <w:r w:rsidR="009B3CCD">
        <w:t>promotes</w:t>
      </w:r>
      <w:r w:rsidR="000E6944">
        <w:t xml:space="preserve"> fine particulate matter (PM</w:t>
      </w:r>
      <w:r w:rsidR="000E6944" w:rsidRPr="000E6944">
        <w:rPr>
          <w:vertAlign w:val="subscript"/>
        </w:rPr>
        <w:t>2.5</w:t>
      </w:r>
      <w:r w:rsidR="000E6944">
        <w:t>) formation</w:t>
      </w:r>
      <w:r w:rsidR="000E6944">
        <w:rPr>
          <w:rStyle w:val="FootnoteReference"/>
        </w:rPr>
        <w:footnoteReference w:id="4"/>
      </w:r>
      <w:r w:rsidR="000E6944" w:rsidRPr="000E6944">
        <w:rPr>
          <w:vertAlign w:val="superscript"/>
        </w:rPr>
        <w:t>,</w:t>
      </w:r>
      <w:r w:rsidR="000E6944">
        <w:rPr>
          <w:rStyle w:val="FootnoteReference"/>
        </w:rPr>
        <w:footnoteReference w:id="5"/>
      </w:r>
      <w:r w:rsidR="009B3CCD">
        <w:t>. Further, volatilization of NH</w:t>
      </w:r>
      <w:r w:rsidR="009B3CCD" w:rsidRPr="00AC3875">
        <w:rPr>
          <w:vertAlign w:val="subscript"/>
        </w:rPr>
        <w:t>3</w:t>
      </w:r>
      <w:r w:rsidR="009B3CCD">
        <w:t xml:space="preserve"> from applied fertilizers reduces the </w:t>
      </w:r>
      <w:r w:rsidR="00AC3875">
        <w:t>nitrogen available to crops</w:t>
      </w:r>
      <w:r w:rsidR="00AC3875">
        <w:rPr>
          <w:rStyle w:val="FootnoteReference"/>
        </w:rPr>
        <w:footnoteReference w:id="6"/>
      </w:r>
      <w:r w:rsidR="00AC3875">
        <w:t xml:space="preserve">. </w:t>
      </w:r>
    </w:p>
    <w:p w:rsidR="00462188" w:rsidRDefault="00792C4E">
      <w:r>
        <w:t xml:space="preserve">A significant proportion of </w:t>
      </w:r>
      <w:r w:rsidR="00AE052A">
        <w:t>NH</w:t>
      </w:r>
      <w:r w:rsidR="00AE052A" w:rsidRPr="000D67E6">
        <w:rPr>
          <w:vertAlign w:val="subscript"/>
        </w:rPr>
        <w:t>3</w:t>
      </w:r>
      <w:r w:rsidR="00E202AA">
        <w:t xml:space="preserve"> emissions</w:t>
      </w:r>
      <w:r>
        <w:t xml:space="preserve"> originate from agricultural fields treated with </w:t>
      </w:r>
      <w:r w:rsidR="00AE052A">
        <w:t>NH</w:t>
      </w:r>
      <w:r w:rsidR="00AE052A" w:rsidRPr="000D67E6">
        <w:rPr>
          <w:vertAlign w:val="subscript"/>
        </w:rPr>
        <w:t>3</w:t>
      </w:r>
      <w:r>
        <w:t xml:space="preserve">-based fertilizers and from </w:t>
      </w:r>
      <w:r w:rsidR="00AE052A">
        <w:t xml:space="preserve">waste produced within </w:t>
      </w:r>
      <w:r>
        <w:t>confined animal feeding operations (CAFOs)</w:t>
      </w:r>
      <w:r w:rsidR="00AE052A">
        <w:t>.</w:t>
      </w:r>
      <w:r>
        <w:t xml:space="preserve"> </w:t>
      </w:r>
      <w:r w:rsidR="00AE052A">
        <w:t>Q</w:t>
      </w:r>
      <w:r>
        <w:t xml:space="preserve">uantifying </w:t>
      </w:r>
      <w:r w:rsidR="00AE052A">
        <w:t>NH</w:t>
      </w:r>
      <w:r w:rsidR="00AE052A" w:rsidRPr="000D67E6">
        <w:rPr>
          <w:vertAlign w:val="subscript"/>
        </w:rPr>
        <w:t>3</w:t>
      </w:r>
      <w:r w:rsidR="00AE052A">
        <w:t xml:space="preserve"> emissions</w:t>
      </w:r>
      <w:r>
        <w:t xml:space="preserve"> from </w:t>
      </w:r>
      <w:r w:rsidR="00AE052A">
        <w:t>land sources such as these will substantially contribute to the overall understanding of ammonia’s behavior in the atmosphere. Such knowledge is needed as a basis for addressing the challenges above through regulatory changes and/or modifications in agricultural practices.</w:t>
      </w:r>
    </w:p>
    <w:p w:rsidR="00462188" w:rsidRDefault="009F3029">
      <w:r>
        <w:t>Direct measures</w:t>
      </w:r>
      <w:r w:rsidR="000D67E6">
        <w:t xml:space="preserve"> of </w:t>
      </w:r>
      <w:r w:rsidR="00CB57F3">
        <w:t>NH</w:t>
      </w:r>
      <w:r w:rsidR="00CB57F3" w:rsidRPr="00CB57F3">
        <w:rPr>
          <w:vertAlign w:val="subscript"/>
        </w:rPr>
        <w:t>3</w:t>
      </w:r>
      <w:r w:rsidR="00CB57F3">
        <w:t xml:space="preserve"> fluxes are hindered by a lack of fast-response instrumentation and by ammonia’s reactive nature. </w:t>
      </w:r>
      <w:r w:rsidR="00E13E5F">
        <w:t>The use of honeycomb denuders to trap gaseous NH</w:t>
      </w:r>
      <w:r w:rsidR="00E13E5F" w:rsidRPr="00E13E5F">
        <w:rPr>
          <w:vertAlign w:val="subscript"/>
        </w:rPr>
        <w:t>3</w:t>
      </w:r>
      <w:r w:rsidR="00E13E5F">
        <w:t xml:space="preserve"> satisfies t</w:t>
      </w:r>
      <w:r w:rsidR="00B07F7E">
        <w:t xml:space="preserve">he need for slow-response analytical techniques </w:t>
      </w:r>
      <w:r w:rsidR="00E13E5F">
        <w:t xml:space="preserve">since </w:t>
      </w:r>
      <w:r w:rsidR="00B07F7E">
        <w:t>extraction and analysis</w:t>
      </w:r>
      <w:r w:rsidR="00E13E5F">
        <w:t xml:space="preserve"> can occur at a later place and time.</w:t>
      </w:r>
      <w:r w:rsidR="00B07F7E">
        <w:t xml:space="preserve"> </w:t>
      </w:r>
      <w:r w:rsidR="00E13E5F">
        <w:t>To ensure only gaseous NH</w:t>
      </w:r>
      <w:r w:rsidR="00E13E5F" w:rsidRPr="00DB50E0">
        <w:rPr>
          <w:vertAlign w:val="subscript"/>
        </w:rPr>
        <w:t>3</w:t>
      </w:r>
      <w:r w:rsidR="00E13E5F">
        <w:t xml:space="preserve"> is collected, the system draws samples at a fairly consistent, relatively high flow rate so liquid and particulate forms </w:t>
      </w:r>
      <w:r w:rsidR="00777D11">
        <w:t>diffuse too slowly and become trapped in a filter pack. Sampling directly into the denuders minimizes possible losses due to NH</w:t>
      </w:r>
      <w:r w:rsidR="00777D11" w:rsidRPr="00777D11">
        <w:rPr>
          <w:vertAlign w:val="subscript"/>
        </w:rPr>
        <w:t>3</w:t>
      </w:r>
      <w:r>
        <w:t xml:space="preserve"> adsorption on sampling lines. T</w:t>
      </w:r>
      <w:r w:rsidR="005E5950">
        <w:t xml:space="preserve">he precautions </w:t>
      </w:r>
      <w:r>
        <w:t>in design were made considering NH</w:t>
      </w:r>
      <w:r w:rsidRPr="005E5950">
        <w:rPr>
          <w:vertAlign w:val="subscript"/>
        </w:rPr>
        <w:t>3</w:t>
      </w:r>
      <w:r>
        <w:t xml:space="preserve"> but </w:t>
      </w:r>
      <w:r w:rsidR="005E5950">
        <w:t xml:space="preserve">should improve the quality of sampling for any </w:t>
      </w:r>
      <w:r>
        <w:t>gaseous</w:t>
      </w:r>
      <w:r w:rsidR="005E5950">
        <w:t xml:space="preserve"> compound.</w:t>
      </w:r>
    </w:p>
    <w:p w:rsidR="00C07A36" w:rsidRDefault="00C07A36" w:rsidP="00C07A36">
      <w:pPr>
        <w:pStyle w:val="Heading1"/>
      </w:pPr>
      <w:r>
        <w:br w:type="page"/>
      </w:r>
      <w:bookmarkStart w:id="3" w:name="_Toc207088815"/>
      <w:r>
        <w:lastRenderedPageBreak/>
        <w:t>Usage Procedures</w:t>
      </w:r>
      <w:bookmarkEnd w:id="3"/>
    </w:p>
    <w:p w:rsidR="00C07A36" w:rsidRDefault="001D7DB9" w:rsidP="00C07A36">
      <w:pPr>
        <w:pStyle w:val="Heading2"/>
      </w:pPr>
      <w:bookmarkStart w:id="4" w:name="_Toc207088816"/>
      <w:r>
        <w:t>Sampling Site S</w:t>
      </w:r>
      <w:r w:rsidR="00C07A36">
        <w:t>etup</w:t>
      </w:r>
      <w:bookmarkEnd w:id="4"/>
    </w:p>
    <w:p w:rsidR="00AB183B" w:rsidRDefault="00AB183B" w:rsidP="00C07A36">
      <w:r>
        <w:t xml:space="preserve">The sampling site must be equipped with a 120vAC power source capable of providing </w:t>
      </w:r>
      <w:r w:rsidR="00E1640E">
        <w:t xml:space="preserve">up to 8A during typical operation and up to 20A for pump start-up. Additional instruments such as laptops or separate weather monitoring instruments will increase the power requirements. </w:t>
      </w:r>
    </w:p>
    <w:tbl>
      <w:tblPr>
        <w:tblStyle w:val="TableGrid"/>
        <w:tblW w:w="0" w:type="auto"/>
        <w:tblLook w:val="04A0"/>
      </w:tblPr>
      <w:tblGrid>
        <w:gridCol w:w="9576"/>
      </w:tblGrid>
      <w:tr w:rsidR="00176E1E" w:rsidTr="00176E1E">
        <w:tc>
          <w:tcPr>
            <w:tcW w:w="9576" w:type="dxa"/>
            <w:tcBorders>
              <w:top w:val="nil"/>
              <w:left w:val="nil"/>
              <w:bottom w:val="nil"/>
              <w:right w:val="nil"/>
            </w:tcBorders>
          </w:tcPr>
          <w:p w:rsidR="00176E1E" w:rsidRDefault="00176E1E" w:rsidP="00E6161E">
            <w:pPr>
              <w:spacing w:after="0"/>
            </w:pPr>
            <w:r>
              <w:rPr>
                <w:b/>
              </w:rPr>
              <w:t xml:space="preserve">CSAT3 Sonic </w:t>
            </w:r>
            <w:r w:rsidRPr="004E28C4">
              <w:rPr>
                <w:b/>
              </w:rPr>
              <w:t>Anemometer</w:t>
            </w:r>
            <w:r>
              <w:rPr>
                <w:b/>
              </w:rPr>
              <w:t xml:space="preserve"> [Sensor Head]</w:t>
            </w:r>
            <w:r>
              <w:t xml:space="preserve"> </w:t>
            </w:r>
          </w:p>
          <w:p w:rsidR="00176E1E" w:rsidRDefault="00176E1E" w:rsidP="00E6161E">
            <w:pPr>
              <w:numPr>
                <w:ilvl w:val="0"/>
                <w:numId w:val="4"/>
              </w:numPr>
              <w:spacing w:after="0"/>
            </w:pPr>
            <w:r>
              <w:t xml:space="preserve">Position the horizontal arm in the channel on top of the Bosch square tube so the sensor head mounting bolt is accessible at the end of the boom. Secure the horizontal arm using U-bolts. </w:t>
            </w:r>
          </w:p>
          <w:p w:rsidR="00176E1E" w:rsidRDefault="00176E1E" w:rsidP="00E6161E">
            <w:pPr>
              <w:numPr>
                <w:ilvl w:val="0"/>
                <w:numId w:val="4"/>
              </w:numPr>
              <w:spacing w:after="0"/>
            </w:pPr>
            <w:r>
              <w:t>Mount the sensor head to the horizontal arm and finger-tighten the bolt underneath the block.</w:t>
            </w:r>
          </w:p>
          <w:p w:rsidR="00176E1E" w:rsidRDefault="00176E1E" w:rsidP="00E6161E">
            <w:pPr>
              <w:numPr>
                <w:ilvl w:val="0"/>
                <w:numId w:val="4"/>
              </w:numPr>
              <w:spacing w:after="0"/>
            </w:pPr>
            <w:r>
              <w:t xml:space="preserve">Rotate the sensor head so when the boom is mounted on the tower, the predominant wind direction is into the sensors. Adjust for terrain as well, if necessary: </w:t>
            </w:r>
          </w:p>
          <w:p w:rsidR="00176E1E" w:rsidRDefault="00176E1E" w:rsidP="001D7DB9">
            <w:pPr>
              <w:numPr>
                <w:ilvl w:val="1"/>
                <w:numId w:val="4"/>
              </w:numPr>
              <w:spacing w:after="0"/>
            </w:pPr>
            <w:r>
              <w:t>For flat level terrain, level the block using the bubble level located on top of the block.</w:t>
            </w:r>
          </w:p>
          <w:p w:rsidR="00176E1E" w:rsidRDefault="00176E1E" w:rsidP="001D7DB9">
            <w:pPr>
              <w:numPr>
                <w:ilvl w:val="1"/>
                <w:numId w:val="4"/>
              </w:numPr>
              <w:spacing w:after="0"/>
            </w:pPr>
            <w:r>
              <w:t xml:space="preserve">For sloping terrain, adjust the block so the top block surface is parallel to the terrain. </w:t>
            </w:r>
          </w:p>
          <w:p w:rsidR="00176E1E" w:rsidRDefault="00176E1E" w:rsidP="001D7DB9">
            <w:pPr>
              <w:numPr>
                <w:ilvl w:val="0"/>
                <w:numId w:val="4"/>
              </w:numPr>
              <w:spacing w:after="0"/>
            </w:pPr>
            <w:r>
              <w:t>Secure the lower bolt with a 9/16” wrench.</w:t>
            </w:r>
          </w:p>
          <w:p w:rsidR="00176E1E" w:rsidRDefault="00176E1E" w:rsidP="00E6161E">
            <w:pPr>
              <w:spacing w:after="0"/>
            </w:pPr>
          </w:p>
        </w:tc>
      </w:tr>
      <w:tr w:rsidR="00176E1E" w:rsidTr="00176E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9576" w:type="dxa"/>
          </w:tcPr>
          <w:p w:rsidR="00176E1E" w:rsidRDefault="00176E1E" w:rsidP="009A3AF7">
            <w:pPr>
              <w:spacing w:after="0"/>
            </w:pPr>
            <w:r>
              <w:rPr>
                <w:b/>
              </w:rPr>
              <w:t xml:space="preserve">Denuder Mounting Plate </w:t>
            </w:r>
          </w:p>
          <w:p w:rsidR="00176E1E" w:rsidRDefault="00176E1E" w:rsidP="001D7DB9">
            <w:pPr>
              <w:pStyle w:val="ListParagraph"/>
              <w:numPr>
                <w:ilvl w:val="0"/>
                <w:numId w:val="12"/>
              </w:numPr>
            </w:pPr>
            <w:r>
              <w:t xml:space="preserve">Secure the T-nuts on the back of the denuder mounting plate in a channel on the anticipated wind-ward side of the Bosch tubing. </w:t>
            </w:r>
          </w:p>
          <w:p w:rsidR="00176E1E" w:rsidRDefault="00176E1E" w:rsidP="001D7DB9">
            <w:pPr>
              <w:pStyle w:val="ListParagraph"/>
              <w:numPr>
                <w:ilvl w:val="0"/>
                <w:numId w:val="12"/>
              </w:numPr>
            </w:pPr>
            <w:r>
              <w:t xml:space="preserve">Locate the denuder mounting plate relatively close to the sonic. A distance of ≤1 ft is recommended. </w:t>
            </w:r>
          </w:p>
          <w:p w:rsidR="00176E1E" w:rsidRDefault="00176E1E" w:rsidP="001D7DB9">
            <w:pPr>
              <w:pStyle w:val="ListParagraph"/>
              <w:numPr>
                <w:ilvl w:val="0"/>
                <w:numId w:val="12"/>
              </w:numPr>
            </w:pPr>
            <w:r>
              <w:t>Secure the mounting plate by tightening the hex bolts holding the T-nuts.</w:t>
            </w:r>
          </w:p>
        </w:tc>
      </w:tr>
    </w:tbl>
    <w:p w:rsidR="00CF1378" w:rsidRPr="00CF1378" w:rsidRDefault="00CF1378" w:rsidP="009D790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07"/>
      </w:tblGrid>
      <w:tr w:rsidR="00176E1E" w:rsidTr="00176E1E">
        <w:trPr>
          <w:cantSplit/>
        </w:trPr>
        <w:tc>
          <w:tcPr>
            <w:tcW w:w="9207" w:type="dxa"/>
          </w:tcPr>
          <w:p w:rsidR="00176E1E" w:rsidRDefault="00176E1E" w:rsidP="009A3AF7">
            <w:pPr>
              <w:spacing w:after="0"/>
            </w:pPr>
            <w:r>
              <w:rPr>
                <w:b/>
              </w:rPr>
              <w:t xml:space="preserve">Boom (Bosch tubing) Mounting </w:t>
            </w:r>
          </w:p>
          <w:p w:rsidR="00176E1E" w:rsidRDefault="00176E1E" w:rsidP="00CF1378">
            <w:pPr>
              <w:pStyle w:val="ListParagraph"/>
              <w:numPr>
                <w:ilvl w:val="0"/>
                <w:numId w:val="13"/>
              </w:numPr>
            </w:pPr>
            <w:r>
              <w:t>Orient the boom so the instruments, particularly the sonic anemometer, are facing into the predominant wind direction. If the anemometer sensor head is not adequately oriented upwind, it should be adjusted before mounting the boom.</w:t>
            </w:r>
          </w:p>
          <w:p w:rsidR="00176E1E" w:rsidRDefault="00176E1E" w:rsidP="00CF1378">
            <w:pPr>
              <w:pStyle w:val="ListParagraph"/>
              <w:numPr>
                <w:ilvl w:val="0"/>
                <w:numId w:val="13"/>
              </w:numPr>
            </w:pPr>
            <w:r>
              <w:t>Ensure the denuders are safely within reach to facilitate swapping cartridges.</w:t>
            </w:r>
          </w:p>
          <w:p w:rsidR="00176E1E" w:rsidRDefault="00176E1E" w:rsidP="001D7DB9">
            <w:pPr>
              <w:pStyle w:val="ListParagraph"/>
              <w:numPr>
                <w:ilvl w:val="0"/>
                <w:numId w:val="13"/>
              </w:numPr>
            </w:pPr>
            <w:r>
              <w:t>Attach the boom securely to the tower using straps, clamps, U-bolts or another robust method.</w:t>
            </w:r>
          </w:p>
        </w:tc>
      </w:tr>
    </w:tbl>
    <w:p w:rsidR="00CF1378" w:rsidRDefault="00CF1378" w:rsidP="00270C9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176E1E" w:rsidTr="00176E1E">
        <w:tc>
          <w:tcPr>
            <w:tcW w:w="9576" w:type="dxa"/>
          </w:tcPr>
          <w:p w:rsidR="00176E1E" w:rsidRDefault="00176E1E" w:rsidP="00270C95">
            <w:pPr>
              <w:spacing w:after="0"/>
            </w:pPr>
            <w:r>
              <w:rPr>
                <w:b/>
              </w:rPr>
              <w:t xml:space="preserve">CSAT Sonic Anemometer [Cable Box] </w:t>
            </w:r>
          </w:p>
          <w:p w:rsidR="00176E1E" w:rsidRDefault="00176E1E" w:rsidP="00F4577C">
            <w:pPr>
              <w:pStyle w:val="ListParagraph"/>
              <w:numPr>
                <w:ilvl w:val="0"/>
                <w:numId w:val="15"/>
              </w:numPr>
              <w:spacing w:after="0"/>
            </w:pPr>
            <w:r>
              <w:t xml:space="preserve">Mount the anemometer electronics box securely to the tower near the boom. </w:t>
            </w:r>
          </w:p>
          <w:p w:rsidR="00176E1E" w:rsidRDefault="00176E1E" w:rsidP="00F4577C">
            <w:pPr>
              <w:pStyle w:val="ListParagraph"/>
              <w:numPr>
                <w:ilvl w:val="0"/>
                <w:numId w:val="15"/>
              </w:numPr>
              <w:spacing w:after="0"/>
            </w:pPr>
            <w:r>
              <w:t xml:space="preserve">Connect the cable from the anemometer sensors to the </w:t>
            </w:r>
            <w:r w:rsidRPr="00F4577C">
              <w:rPr>
                <w:i/>
              </w:rPr>
              <w:t>Transducer Head</w:t>
            </w:r>
            <w:r>
              <w:t xml:space="preserve"> input.</w:t>
            </w:r>
          </w:p>
          <w:p w:rsidR="00176E1E" w:rsidRPr="00F4577C" w:rsidRDefault="00176E1E" w:rsidP="00F4577C">
            <w:pPr>
              <w:pStyle w:val="ListParagraph"/>
              <w:numPr>
                <w:ilvl w:val="0"/>
                <w:numId w:val="15"/>
              </w:numPr>
              <w:spacing w:after="0"/>
            </w:pPr>
            <w:r>
              <w:t xml:space="preserve">Connect the dual gray cables from the data logger field box to the </w:t>
            </w:r>
            <w:r>
              <w:rPr>
                <w:i/>
              </w:rPr>
              <w:t>+12V SDM</w:t>
            </w:r>
            <w:r>
              <w:t xml:space="preserve"> input of the electronics box.</w:t>
            </w:r>
          </w:p>
        </w:tc>
      </w:tr>
    </w:tbl>
    <w:p w:rsidR="009E5DED" w:rsidRDefault="009E5DED" w:rsidP="00270C9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75"/>
      </w:tblGrid>
      <w:tr w:rsidR="00176E1E" w:rsidTr="00176E1E">
        <w:trPr>
          <w:cantSplit/>
        </w:trPr>
        <w:tc>
          <w:tcPr>
            <w:tcW w:w="9075" w:type="dxa"/>
          </w:tcPr>
          <w:p w:rsidR="00176E1E" w:rsidRDefault="00176E1E" w:rsidP="00270C95">
            <w:pPr>
              <w:spacing w:after="0"/>
            </w:pPr>
            <w:r>
              <w:rPr>
                <w:b/>
              </w:rPr>
              <w:t>Sampling Valves</w:t>
            </w:r>
          </w:p>
          <w:p w:rsidR="00176E1E" w:rsidRDefault="00176E1E" w:rsidP="00122165">
            <w:pPr>
              <w:pStyle w:val="ListParagraph"/>
              <w:numPr>
                <w:ilvl w:val="0"/>
                <w:numId w:val="16"/>
              </w:numPr>
              <w:spacing w:after="0"/>
            </w:pPr>
            <w:r>
              <w:t xml:space="preserve">The sampling valves on the denuder mounting plate connect to the data logger using the cable shown at right. </w:t>
            </w:r>
          </w:p>
          <w:p w:rsidR="00176E1E" w:rsidRDefault="00176E1E" w:rsidP="00122165">
            <w:pPr>
              <w:pStyle w:val="ListParagraph"/>
              <w:numPr>
                <w:ilvl w:val="0"/>
                <w:numId w:val="16"/>
              </w:numPr>
              <w:spacing w:after="0"/>
            </w:pPr>
            <w:r>
              <w:t>The white fitting connects inside the data logger field housing.</w:t>
            </w:r>
          </w:p>
          <w:p w:rsidR="00176E1E" w:rsidRPr="00122165" w:rsidRDefault="00176E1E" w:rsidP="00122165">
            <w:pPr>
              <w:pStyle w:val="ListParagraph"/>
              <w:numPr>
                <w:ilvl w:val="0"/>
                <w:numId w:val="16"/>
              </w:numPr>
              <w:spacing w:after="0"/>
            </w:pPr>
            <w:r>
              <w:t>The bulkhead fitting connects to the denuder mounting plate</w:t>
            </w:r>
          </w:p>
        </w:tc>
      </w:tr>
    </w:tbl>
    <w:p w:rsidR="00122165" w:rsidRPr="00CF1378" w:rsidRDefault="00122165" w:rsidP="00270C9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68"/>
      </w:tblGrid>
      <w:tr w:rsidR="00176E1E" w:rsidTr="00176E1E">
        <w:trPr>
          <w:cantSplit/>
        </w:trPr>
        <w:tc>
          <w:tcPr>
            <w:tcW w:w="9468" w:type="dxa"/>
          </w:tcPr>
          <w:p w:rsidR="00176E1E" w:rsidRDefault="00176E1E" w:rsidP="009A3AF7">
            <w:pPr>
              <w:spacing w:after="0"/>
              <w:rPr>
                <w:b/>
              </w:rPr>
            </w:pPr>
            <w:r>
              <w:rPr>
                <w:b/>
              </w:rPr>
              <w:lastRenderedPageBreak/>
              <w:t>HMP45AC Temp/RH Sensor</w:t>
            </w:r>
          </w:p>
          <w:p w:rsidR="00176E1E" w:rsidRDefault="00176E1E" w:rsidP="009E5DED">
            <w:pPr>
              <w:numPr>
                <w:ilvl w:val="0"/>
                <w:numId w:val="7"/>
              </w:numPr>
              <w:spacing w:after="0"/>
            </w:pPr>
            <w:r>
              <w:t xml:space="preserve">Remove the split nut on the bottom of the radiation shield. </w:t>
            </w:r>
          </w:p>
          <w:p w:rsidR="00176E1E" w:rsidRDefault="00176E1E" w:rsidP="009E5DED">
            <w:pPr>
              <w:numPr>
                <w:ilvl w:val="0"/>
                <w:numId w:val="7"/>
              </w:numPr>
              <w:spacing w:after="0"/>
            </w:pPr>
            <w:r>
              <w:t xml:space="preserve">Remove the protective yellow cap on the sensor and insert fully into the split nut. </w:t>
            </w:r>
          </w:p>
          <w:p w:rsidR="00176E1E" w:rsidRDefault="00176E1E" w:rsidP="009E5DED">
            <w:pPr>
              <w:numPr>
                <w:ilvl w:val="0"/>
                <w:numId w:val="7"/>
              </w:numPr>
              <w:spacing w:after="0"/>
            </w:pPr>
            <w:r>
              <w:t>Screw the split nut into the shield and tighten.</w:t>
            </w:r>
          </w:p>
          <w:p w:rsidR="00176E1E" w:rsidRDefault="00176E1E" w:rsidP="009E5DED">
            <w:pPr>
              <w:numPr>
                <w:ilvl w:val="0"/>
                <w:numId w:val="7"/>
              </w:numPr>
              <w:spacing w:after="0"/>
            </w:pPr>
            <w:r>
              <w:t xml:space="preserve">Affix the radiation shield mounting bracket to a tower leg using the supplied U-bolt. Position so the upper half of the radiation shield is roughly the same elevation as the boom. </w:t>
            </w:r>
          </w:p>
          <w:p w:rsidR="00176E1E" w:rsidRDefault="00176E1E" w:rsidP="00122165">
            <w:pPr>
              <w:numPr>
                <w:ilvl w:val="0"/>
                <w:numId w:val="7"/>
              </w:numPr>
              <w:spacing w:after="0"/>
            </w:pPr>
            <w:r>
              <w:t xml:space="preserve">The sensor is hard-wired into the data logger but if wiring is necessary, refer to Components Description &amp; Assembly. </w:t>
            </w:r>
          </w:p>
        </w:tc>
      </w:tr>
    </w:tbl>
    <w:p w:rsidR="00F8473B" w:rsidRDefault="00F8473B" w:rsidP="00270C9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83"/>
      </w:tblGrid>
      <w:tr w:rsidR="00176E1E" w:rsidTr="00176E1E">
        <w:tc>
          <w:tcPr>
            <w:tcW w:w="8983" w:type="dxa"/>
          </w:tcPr>
          <w:p w:rsidR="00176E1E" w:rsidRDefault="00176E1E" w:rsidP="00E6161E">
            <w:pPr>
              <w:spacing w:after="0"/>
              <w:rPr>
                <w:b/>
              </w:rPr>
            </w:pPr>
            <w:bookmarkStart w:id="5" w:name="_Toc207088817"/>
            <w:r>
              <w:rPr>
                <w:b/>
              </w:rPr>
              <w:t xml:space="preserve">Sampling Tubing </w:t>
            </w:r>
          </w:p>
          <w:p w:rsidR="00176E1E" w:rsidRDefault="00176E1E" w:rsidP="00E6161E">
            <w:pPr>
              <w:pStyle w:val="ListParagraph"/>
              <w:numPr>
                <w:ilvl w:val="0"/>
                <w:numId w:val="20"/>
              </w:numPr>
              <w:spacing w:after="0"/>
            </w:pPr>
            <w:r>
              <w:t>Make the following connections from the pump box:</w:t>
            </w:r>
          </w:p>
          <w:p w:rsidR="00176E1E" w:rsidRDefault="00176E1E" w:rsidP="00761137">
            <w:pPr>
              <w:pStyle w:val="ListParagraph"/>
              <w:numPr>
                <w:ilvl w:val="1"/>
                <w:numId w:val="20"/>
              </w:numPr>
              <w:tabs>
                <w:tab w:val="left" w:pos="2750"/>
              </w:tabs>
              <w:spacing w:after="0"/>
            </w:pPr>
            <w:r>
              <w:t xml:space="preserve"> DOWN-INLET </w:t>
            </w:r>
            <w:r>
              <w:tab/>
              <w:t>to ‘down’ denuder</w:t>
            </w:r>
          </w:p>
          <w:p w:rsidR="00176E1E" w:rsidRDefault="00176E1E" w:rsidP="00761137">
            <w:pPr>
              <w:pStyle w:val="ListParagraph"/>
              <w:numPr>
                <w:ilvl w:val="1"/>
                <w:numId w:val="20"/>
              </w:numPr>
              <w:tabs>
                <w:tab w:val="left" w:pos="2750"/>
              </w:tabs>
              <w:spacing w:after="0"/>
            </w:pPr>
            <w:r>
              <w:t xml:space="preserve">UP-INLET </w:t>
            </w:r>
            <w:r>
              <w:tab/>
              <w:t>to ‘up’ denuder</w:t>
            </w:r>
          </w:p>
          <w:p w:rsidR="00176E1E" w:rsidRDefault="00176E1E" w:rsidP="00761137">
            <w:pPr>
              <w:pStyle w:val="ListParagraph"/>
              <w:numPr>
                <w:ilvl w:val="1"/>
                <w:numId w:val="20"/>
              </w:numPr>
              <w:tabs>
                <w:tab w:val="left" w:pos="2750"/>
              </w:tabs>
              <w:spacing w:after="0"/>
            </w:pPr>
            <w:r>
              <w:t xml:space="preserve">DOWN-OUTLET </w:t>
            </w:r>
            <w:r>
              <w:tab/>
              <w:t>to field box DOWN-INLET</w:t>
            </w:r>
          </w:p>
          <w:p w:rsidR="00176E1E" w:rsidRDefault="00176E1E" w:rsidP="00761137">
            <w:pPr>
              <w:pStyle w:val="ListParagraph"/>
              <w:numPr>
                <w:ilvl w:val="1"/>
                <w:numId w:val="20"/>
              </w:numPr>
              <w:tabs>
                <w:tab w:val="left" w:pos="2750"/>
              </w:tabs>
              <w:spacing w:after="0"/>
            </w:pPr>
            <w:r>
              <w:t xml:space="preserve">UP-OUTLET </w:t>
            </w:r>
            <w:r>
              <w:tab/>
              <w:t>to field box UP-INLET</w:t>
            </w:r>
          </w:p>
          <w:p w:rsidR="00176E1E" w:rsidRDefault="00176E1E" w:rsidP="00761137">
            <w:pPr>
              <w:pStyle w:val="ListParagraph"/>
              <w:numPr>
                <w:ilvl w:val="0"/>
                <w:numId w:val="20"/>
              </w:numPr>
              <w:spacing w:after="0"/>
            </w:pPr>
            <w:r>
              <w:t>Make these connections from the field box:</w:t>
            </w:r>
          </w:p>
          <w:p w:rsidR="00176E1E" w:rsidRDefault="00176E1E" w:rsidP="00761137">
            <w:pPr>
              <w:pStyle w:val="ListParagraph"/>
              <w:numPr>
                <w:ilvl w:val="1"/>
                <w:numId w:val="20"/>
              </w:numPr>
              <w:tabs>
                <w:tab w:val="left" w:pos="2750"/>
              </w:tabs>
              <w:spacing w:after="0"/>
            </w:pPr>
            <w:r>
              <w:t xml:space="preserve">DOWN-OUTLET </w:t>
            </w:r>
            <w:r>
              <w:tab/>
              <w:t>to ‘down’ valve COM port</w:t>
            </w:r>
          </w:p>
          <w:p w:rsidR="00176E1E" w:rsidRDefault="00176E1E" w:rsidP="00761137">
            <w:pPr>
              <w:pStyle w:val="ListParagraph"/>
              <w:numPr>
                <w:ilvl w:val="1"/>
                <w:numId w:val="20"/>
              </w:numPr>
              <w:tabs>
                <w:tab w:val="left" w:pos="2750"/>
              </w:tabs>
              <w:spacing w:after="0"/>
            </w:pPr>
            <w:r>
              <w:t xml:space="preserve">UP-OUTLET </w:t>
            </w:r>
            <w:r>
              <w:tab/>
              <w:t>to ‘up’ valve COM port</w:t>
            </w:r>
          </w:p>
          <w:p w:rsidR="00176E1E" w:rsidRDefault="00176E1E" w:rsidP="00761137">
            <w:pPr>
              <w:pStyle w:val="ListParagraph"/>
              <w:numPr>
                <w:ilvl w:val="1"/>
                <w:numId w:val="20"/>
              </w:numPr>
              <w:tabs>
                <w:tab w:val="left" w:pos="2750"/>
              </w:tabs>
              <w:spacing w:after="0"/>
            </w:pPr>
            <w:r>
              <w:t xml:space="preserve">PURGE GAS </w:t>
            </w:r>
            <w:r>
              <w:tab/>
              <w:t xml:space="preserve">to zero air tank </w:t>
            </w:r>
          </w:p>
          <w:p w:rsidR="00176E1E" w:rsidRDefault="00176E1E" w:rsidP="00761137">
            <w:pPr>
              <w:pStyle w:val="ListParagraph"/>
              <w:numPr>
                <w:ilvl w:val="0"/>
                <w:numId w:val="20"/>
              </w:numPr>
              <w:spacing w:after="0"/>
            </w:pPr>
            <w:r>
              <w:t>Connect exhaust tubes to the NC ports of the ‘up’ and ‘down’ valves and route away from the sampling inlets.</w:t>
            </w:r>
          </w:p>
        </w:tc>
      </w:tr>
    </w:tbl>
    <w:p w:rsidR="00F23867" w:rsidRDefault="00F23867" w:rsidP="00F23867">
      <w:pPr>
        <w:spacing w:after="0"/>
      </w:pPr>
    </w:p>
    <w:p w:rsidR="00761137" w:rsidRDefault="00761137">
      <w:pPr>
        <w:spacing w:after="0" w:line="240" w:lineRule="auto"/>
        <w:rPr>
          <w:rFonts w:ascii="Cambria" w:eastAsia="Times New Roman" w:hAnsi="Cambria"/>
          <w:b/>
          <w:bCs/>
          <w:i/>
          <w:iCs/>
          <w:sz w:val="28"/>
          <w:szCs w:val="28"/>
        </w:rPr>
      </w:pPr>
      <w:bookmarkStart w:id="6" w:name="_Toc207088818"/>
      <w:bookmarkEnd w:id="5"/>
      <w:r>
        <w:br w:type="page"/>
      </w:r>
    </w:p>
    <w:p w:rsidR="00C07A36" w:rsidRDefault="00C07A36" w:rsidP="00C07A36">
      <w:pPr>
        <w:pStyle w:val="Heading2"/>
      </w:pPr>
      <w:r>
        <w:lastRenderedPageBreak/>
        <w:t>Data logger program setup</w:t>
      </w:r>
      <w:bookmarkEnd w:id="6"/>
    </w:p>
    <w:p w:rsidR="003449D5" w:rsidRDefault="003449D5" w:rsidP="003449D5">
      <w:pPr>
        <w:pStyle w:val="ListParagraph"/>
        <w:spacing w:after="0"/>
        <w:ind w:left="0"/>
      </w:pPr>
      <w:r>
        <w:t xml:space="preserve">The data logger program file ends in </w:t>
      </w:r>
      <w:r w:rsidRPr="003449D5">
        <w:rPr>
          <w:i/>
        </w:rPr>
        <w:t>.cr5</w:t>
      </w:r>
      <w:r>
        <w:t xml:space="preserve"> and is editable either in LoggerNet</w:t>
      </w:r>
      <w:r w:rsidR="009A09C1">
        <w:t xml:space="preserve"> or in MS Notepad.</w:t>
      </w:r>
      <w:r w:rsidR="00C06F25">
        <w:t xml:space="preserve"> </w:t>
      </w:r>
      <w:r w:rsidR="009A09C1">
        <w:t>If another program is used, ensure the file remains text-only. The variables below should be reviewed and edited for each new sampling position. Short descriptions are included in the program file too.</w:t>
      </w:r>
      <w:r>
        <w:t xml:space="preserve"> </w:t>
      </w:r>
    </w:p>
    <w:p w:rsidR="00C06F25" w:rsidRDefault="00176E1E" w:rsidP="003449D5">
      <w:pPr>
        <w:pStyle w:val="ListParagraph"/>
        <w:numPr>
          <w:ilvl w:val="0"/>
          <w:numId w:val="9"/>
        </w:numPr>
        <w:spacing w:after="0"/>
      </w:pPr>
      <w:r>
        <w:t>FLUX</w:t>
      </w:r>
      <w:r w:rsidR="00C06F25">
        <w:t xml:space="preserve">_INTERVAL: </w:t>
      </w:r>
      <w:r w:rsidR="009A09C1">
        <w:t>S</w:t>
      </w:r>
      <w:r w:rsidR="00C06F25">
        <w:t xml:space="preserve">pecifies how frequently covariance &amp; flux data are calculated </w:t>
      </w:r>
      <w:r w:rsidR="009A09C1">
        <w:t xml:space="preserve">and saved; also used to calculate necessary reserved space for data tables. </w:t>
      </w:r>
      <w:r w:rsidR="00C06F25">
        <w:t xml:space="preserve">Default value: </w:t>
      </w:r>
      <w:r w:rsidR="00C06F25" w:rsidRPr="00C06F25">
        <w:rPr>
          <w:b/>
        </w:rPr>
        <w:t>30</w:t>
      </w:r>
    </w:p>
    <w:p w:rsidR="003449D5" w:rsidRDefault="00C06F25" w:rsidP="003449D5">
      <w:pPr>
        <w:pStyle w:val="ListParagraph"/>
        <w:numPr>
          <w:ilvl w:val="0"/>
          <w:numId w:val="9"/>
        </w:numPr>
        <w:spacing w:after="0"/>
      </w:pPr>
      <w:r>
        <w:t xml:space="preserve">NUM_DAY_CPU:  Specify how many days worth of data should be stored in the data logger unit. Default value: </w:t>
      </w:r>
      <w:r>
        <w:rPr>
          <w:b/>
        </w:rPr>
        <w:t>1</w:t>
      </w:r>
    </w:p>
    <w:p w:rsidR="00C06F25" w:rsidRDefault="00C06F25" w:rsidP="003449D5">
      <w:pPr>
        <w:pStyle w:val="ListParagraph"/>
        <w:numPr>
          <w:ilvl w:val="0"/>
          <w:numId w:val="9"/>
        </w:numPr>
        <w:spacing w:after="0"/>
      </w:pPr>
      <w:r>
        <w:t xml:space="preserve">NUM_DAY_CRD: If the data logger is equipped with a card, specify how many days of data should be stored on </w:t>
      </w:r>
      <w:r w:rsidR="009A09C1">
        <w:t>the card;</w:t>
      </w:r>
      <w:r>
        <w:t xml:space="preserve"> enter </w:t>
      </w:r>
      <w:r>
        <w:rPr>
          <w:b/>
        </w:rPr>
        <w:t>0</w:t>
      </w:r>
      <w:r>
        <w:t xml:space="preserve"> if no card is present.</w:t>
      </w:r>
    </w:p>
    <w:p w:rsidR="00C06F25" w:rsidRDefault="00C06F25" w:rsidP="003449D5">
      <w:pPr>
        <w:pStyle w:val="ListParagraph"/>
        <w:numPr>
          <w:ilvl w:val="0"/>
          <w:numId w:val="9"/>
        </w:numPr>
        <w:spacing w:after="0"/>
      </w:pPr>
      <w:r>
        <w:t>CSAT3_</w:t>
      </w:r>
      <w:r>
        <w:tab/>
        <w:t xml:space="preserve">AZIMUTH: Describe the orientation of the sonic sensor head </w:t>
      </w:r>
      <w:r w:rsidR="00A77403">
        <w:t xml:space="preserve">by compass azimuth where north is 0, increasing clockwise (E=90, S=180, W=270 or -90). </w:t>
      </w:r>
      <w:r w:rsidR="00CA1BC5">
        <w:t xml:space="preserve">The program will normalize any </w:t>
      </w:r>
      <w:r w:rsidR="00A77403">
        <w:t>negative value</w:t>
      </w:r>
      <w:r w:rsidR="00CA1BC5">
        <w:t xml:space="preserve">s. </w:t>
      </w:r>
    </w:p>
    <w:p w:rsidR="00A77403" w:rsidRDefault="00A77403" w:rsidP="003449D5">
      <w:pPr>
        <w:pStyle w:val="ListParagraph"/>
        <w:numPr>
          <w:ilvl w:val="0"/>
          <w:numId w:val="9"/>
        </w:numPr>
        <w:spacing w:after="0"/>
      </w:pPr>
      <w:r>
        <w:t xml:space="preserve">zm: Enter the height (meters) of the sampling inlets above the measured surface. </w:t>
      </w:r>
    </w:p>
    <w:p w:rsidR="00A77403" w:rsidRDefault="00A77403" w:rsidP="00A77403">
      <w:pPr>
        <w:pStyle w:val="ListParagraph"/>
        <w:numPr>
          <w:ilvl w:val="0"/>
          <w:numId w:val="9"/>
        </w:numPr>
        <w:spacing w:after="0"/>
      </w:pPr>
      <w:r>
        <w:t>zo: Enter the surface roughness length (meters).</w:t>
      </w:r>
    </w:p>
    <w:p w:rsidR="00A77403" w:rsidRDefault="00A77403" w:rsidP="00A77403">
      <w:pPr>
        <w:pStyle w:val="ListParagraph"/>
        <w:numPr>
          <w:ilvl w:val="0"/>
          <w:numId w:val="9"/>
        </w:numPr>
        <w:spacing w:after="0"/>
      </w:pPr>
      <w:r>
        <w:t>x_east_max</w:t>
      </w:r>
      <w:r w:rsidR="009A2ADC">
        <w:t>: Enter the distance from tower to longitudinal, eastern sampling boundary (m).</w:t>
      </w:r>
    </w:p>
    <w:p w:rsidR="009A2ADC" w:rsidRDefault="009A2ADC" w:rsidP="00A77403">
      <w:pPr>
        <w:pStyle w:val="ListParagraph"/>
        <w:numPr>
          <w:ilvl w:val="0"/>
          <w:numId w:val="9"/>
        </w:numPr>
        <w:spacing w:after="0"/>
      </w:pPr>
      <w:r>
        <w:t>x_south_max: Enter the distance from tower to lateral, southern sampling boundary (m).</w:t>
      </w:r>
    </w:p>
    <w:p w:rsidR="009A2ADC" w:rsidRDefault="009A2ADC" w:rsidP="00A77403">
      <w:pPr>
        <w:pStyle w:val="ListParagraph"/>
        <w:numPr>
          <w:ilvl w:val="0"/>
          <w:numId w:val="9"/>
        </w:numPr>
        <w:spacing w:after="0"/>
      </w:pPr>
      <w:r>
        <w:t>x_west_max: Enter the distance from tower to longitudinal, western sampling boundary (m).</w:t>
      </w:r>
    </w:p>
    <w:p w:rsidR="009A2ADC" w:rsidRDefault="009A2ADC" w:rsidP="00A77403">
      <w:pPr>
        <w:pStyle w:val="ListParagraph"/>
        <w:numPr>
          <w:ilvl w:val="0"/>
          <w:numId w:val="9"/>
        </w:numPr>
        <w:spacing w:after="0"/>
      </w:pPr>
      <w:r>
        <w:t>x_north_max: Enter the distance from tower to lateral, northern sampling boundary (m).</w:t>
      </w:r>
    </w:p>
    <w:p w:rsidR="001807A2" w:rsidRDefault="001807A2" w:rsidP="00A77403">
      <w:pPr>
        <w:pStyle w:val="ListParagraph"/>
        <w:numPr>
          <w:ilvl w:val="0"/>
          <w:numId w:val="9"/>
        </w:numPr>
        <w:spacing w:after="0"/>
      </w:pPr>
      <w:r>
        <w:t xml:space="preserve">wdir_min: Specify the lower boundary of the sampling wedge, as described by compass azimuth. Range: </w:t>
      </w:r>
      <w:r w:rsidRPr="001807A2">
        <w:rPr>
          <w:b/>
        </w:rPr>
        <w:t>0-359</w:t>
      </w:r>
      <w:r>
        <w:t xml:space="preserve"> </w:t>
      </w:r>
      <w:r w:rsidRPr="001807A2">
        <w:t>Default</w:t>
      </w:r>
      <w:r>
        <w:t xml:space="preserve">: </w:t>
      </w:r>
      <w:r>
        <w:rPr>
          <w:b/>
        </w:rPr>
        <w:t>0</w:t>
      </w:r>
    </w:p>
    <w:p w:rsidR="001807A2" w:rsidRDefault="001807A2" w:rsidP="00A77403">
      <w:pPr>
        <w:pStyle w:val="ListParagraph"/>
        <w:numPr>
          <w:ilvl w:val="0"/>
          <w:numId w:val="9"/>
        </w:numPr>
        <w:spacing w:after="0"/>
      </w:pPr>
      <w:r>
        <w:t xml:space="preserve">wdir_max: Specify the upper boundary of the sampling wedge, as described by compass azimuth. Range: </w:t>
      </w:r>
      <w:r w:rsidRPr="001807A2">
        <w:rPr>
          <w:b/>
        </w:rPr>
        <w:t>1-360</w:t>
      </w:r>
      <w:r>
        <w:t xml:space="preserve"> Default: </w:t>
      </w:r>
      <w:r>
        <w:rPr>
          <w:b/>
        </w:rPr>
        <w:t>360</w:t>
      </w:r>
    </w:p>
    <w:p w:rsidR="003449D5" w:rsidRDefault="003449D5" w:rsidP="003449D5">
      <w:pPr>
        <w:pStyle w:val="ListParagraph"/>
        <w:spacing w:after="0"/>
        <w:ind w:left="0"/>
      </w:pPr>
    </w:p>
    <w:p w:rsidR="001807A2" w:rsidRPr="001807A2" w:rsidRDefault="001807A2" w:rsidP="003449D5">
      <w:pPr>
        <w:pStyle w:val="ListParagraph"/>
        <w:spacing w:after="0"/>
        <w:ind w:left="0"/>
      </w:pPr>
      <w:r>
        <w:t xml:space="preserve">The numerical and hard-wired constants are listed immediately after the user-defined constants but </w:t>
      </w:r>
      <w:r w:rsidRPr="004B0B39">
        <w:t>editing these is not advised</w:t>
      </w:r>
      <w:r>
        <w:t xml:space="preserve"> since </w:t>
      </w:r>
      <w:r w:rsidR="002856BD">
        <w:t xml:space="preserve">they are not site-dependent and some constants are critical to proper data collection.  </w:t>
      </w:r>
    </w:p>
    <w:p w:rsidR="001807A2" w:rsidRDefault="001807A2" w:rsidP="003449D5">
      <w:pPr>
        <w:pStyle w:val="ListParagraph"/>
        <w:spacing w:after="0"/>
        <w:ind w:left="0"/>
      </w:pPr>
    </w:p>
    <w:p w:rsidR="00C07A36" w:rsidRDefault="00C07A36" w:rsidP="00C07A36">
      <w:pPr>
        <w:pStyle w:val="Heading2"/>
      </w:pPr>
      <w:bookmarkStart w:id="7" w:name="_Toc207088819"/>
      <w:r>
        <w:t>Field verification prior to sampling run</w:t>
      </w:r>
      <w:bookmarkEnd w:id="7"/>
    </w:p>
    <w:p w:rsidR="00C07A36" w:rsidRDefault="00C07A36" w:rsidP="00C07A36">
      <w:pPr>
        <w:pStyle w:val="ListParagraph"/>
        <w:numPr>
          <w:ilvl w:val="0"/>
          <w:numId w:val="1"/>
        </w:numPr>
        <w:spacing w:after="0"/>
      </w:pPr>
      <w:r>
        <w:t>include any procedures which may need to be performed for calibration</w:t>
      </w:r>
    </w:p>
    <w:p w:rsidR="00C07A36" w:rsidRDefault="00C07A36" w:rsidP="00C07A36">
      <w:pPr>
        <w:pStyle w:val="ListParagraph"/>
        <w:numPr>
          <w:ilvl w:val="0"/>
          <w:numId w:val="1"/>
        </w:numPr>
        <w:spacing w:after="0"/>
      </w:pPr>
      <w:r>
        <w:t>provide checklist of things to verify before running for data</w:t>
      </w:r>
    </w:p>
    <w:p w:rsidR="00C07A36" w:rsidRDefault="00C07A36" w:rsidP="00C07A36">
      <w:pPr>
        <w:pStyle w:val="ListParagraph"/>
        <w:numPr>
          <w:ilvl w:val="0"/>
          <w:numId w:val="1"/>
        </w:numPr>
        <w:spacing w:after="0"/>
      </w:pPr>
      <w:r>
        <w:t>clearing out old/test data and initializing system</w:t>
      </w:r>
    </w:p>
    <w:p w:rsidR="00C07A36" w:rsidRDefault="00C07A36" w:rsidP="00C07A36">
      <w:pPr>
        <w:pStyle w:val="ListParagraph"/>
        <w:numPr>
          <w:ilvl w:val="0"/>
          <w:numId w:val="1"/>
        </w:numPr>
        <w:spacing w:after="0"/>
      </w:pPr>
      <w:r>
        <w:t>what to watch for when monitoring a data run</w:t>
      </w:r>
    </w:p>
    <w:p w:rsidR="00C07A36" w:rsidRDefault="00C07A36" w:rsidP="00C07A36">
      <w:pPr>
        <w:pStyle w:val="ListParagraph"/>
        <w:numPr>
          <w:ilvl w:val="0"/>
          <w:numId w:val="1"/>
        </w:numPr>
        <w:spacing w:after="0"/>
      </w:pPr>
      <w:r>
        <w:t>why &amp; how to end a data run</w:t>
      </w:r>
    </w:p>
    <w:p w:rsidR="00455599" w:rsidRDefault="00455599" w:rsidP="00455599">
      <w:pPr>
        <w:pStyle w:val="Heading2"/>
      </w:pPr>
      <w:bookmarkStart w:id="8" w:name="_Toc207088820"/>
      <w:r>
        <w:t>Denuder preparation</w:t>
      </w:r>
    </w:p>
    <w:p w:rsidR="00455599" w:rsidRPr="00CB6F2B" w:rsidRDefault="00455599" w:rsidP="00455599">
      <w:pPr>
        <w:spacing w:after="0"/>
        <w:rPr>
          <w:i/>
        </w:rPr>
      </w:pPr>
      <w:r>
        <w:rPr>
          <w:i/>
        </w:rPr>
        <w:t>Originally from PILS Manual, Appendix 26: Inorganic Vapors Denuder Rejuvenation Procedures</w:t>
      </w:r>
    </w:p>
    <w:p w:rsidR="00455599" w:rsidRDefault="00455599" w:rsidP="00455599">
      <w:pPr>
        <w:tabs>
          <w:tab w:val="left" w:pos="3600"/>
        </w:tabs>
        <w:spacing w:after="0"/>
        <w:ind w:left="360" w:hanging="360"/>
      </w:pPr>
      <w:r>
        <w:t>For collection of acids (nitric, nitrite, sulfur dioxide, acetate, HCl, formic and oxalic acid) one recommended coating solution contains 2% sodium carbonate in solution of:</w:t>
      </w:r>
    </w:p>
    <w:p w:rsidR="00455599" w:rsidRDefault="00455599" w:rsidP="00455599">
      <w:pPr>
        <w:tabs>
          <w:tab w:val="left" w:pos="3600"/>
        </w:tabs>
        <w:spacing w:after="0"/>
      </w:pPr>
      <w:r>
        <w:tab/>
        <w:t>500mL deionized water</w:t>
      </w:r>
    </w:p>
    <w:p w:rsidR="00455599" w:rsidRDefault="00455599" w:rsidP="00455599">
      <w:pPr>
        <w:tabs>
          <w:tab w:val="left" w:pos="3600"/>
        </w:tabs>
        <w:spacing w:after="0"/>
      </w:pPr>
      <w:r>
        <w:tab/>
        <w:t>20mL glycerol</w:t>
      </w:r>
    </w:p>
    <w:p w:rsidR="00455599" w:rsidRDefault="00455599" w:rsidP="00455599">
      <w:pPr>
        <w:tabs>
          <w:tab w:val="left" w:pos="3600"/>
        </w:tabs>
        <w:spacing w:after="0"/>
      </w:pPr>
      <w:r>
        <w:tab/>
        <w:t>750mL methanol</w:t>
      </w:r>
    </w:p>
    <w:p w:rsidR="00455599" w:rsidRDefault="00455599" w:rsidP="00455599">
      <w:pPr>
        <w:tabs>
          <w:tab w:val="left" w:pos="3600"/>
        </w:tabs>
        <w:spacing w:after="0"/>
      </w:pPr>
      <w:r>
        <w:t xml:space="preserve">For collection of bases (ammomia), phosphoric acid is substituted for sodium carbonate. </w:t>
      </w:r>
    </w:p>
    <w:p w:rsidR="00455599" w:rsidRDefault="00455599" w:rsidP="00455599">
      <w:pPr>
        <w:tabs>
          <w:tab w:val="left" w:pos="3600"/>
        </w:tabs>
        <w:spacing w:after="0"/>
      </w:pPr>
    </w:p>
    <w:p w:rsidR="000D32C6" w:rsidRDefault="000D32C6" w:rsidP="00455599">
      <w:pPr>
        <w:pStyle w:val="ListParagraph"/>
        <w:numPr>
          <w:ilvl w:val="0"/>
          <w:numId w:val="10"/>
        </w:numPr>
        <w:tabs>
          <w:tab w:val="left" w:pos="3600"/>
        </w:tabs>
        <w:spacing w:after="0"/>
      </w:pPr>
      <w:r>
        <w:t>Prepare the appropriate solution and obtain four solid denuder end caps.</w:t>
      </w:r>
    </w:p>
    <w:p w:rsidR="00455599" w:rsidRDefault="00455599" w:rsidP="00455599">
      <w:pPr>
        <w:pStyle w:val="ListParagraph"/>
        <w:numPr>
          <w:ilvl w:val="0"/>
          <w:numId w:val="10"/>
        </w:numPr>
        <w:tabs>
          <w:tab w:val="left" w:pos="3600"/>
        </w:tabs>
        <w:spacing w:after="0"/>
      </w:pPr>
      <w:r>
        <w:t>Ensure denuders &amp; end caps are clean and dry.</w:t>
      </w:r>
    </w:p>
    <w:p w:rsidR="00455599" w:rsidRDefault="00455599" w:rsidP="00455599">
      <w:pPr>
        <w:pStyle w:val="ListParagraph"/>
        <w:numPr>
          <w:ilvl w:val="0"/>
          <w:numId w:val="10"/>
        </w:numPr>
        <w:tabs>
          <w:tab w:val="left" w:pos="3600"/>
        </w:tabs>
        <w:spacing w:after="0"/>
      </w:pPr>
      <w:r>
        <w:lastRenderedPageBreak/>
        <w:t>Place one end cap on each denuder.</w:t>
      </w:r>
    </w:p>
    <w:p w:rsidR="00455599" w:rsidRDefault="00455599" w:rsidP="00455599">
      <w:pPr>
        <w:pStyle w:val="ListParagraph"/>
        <w:numPr>
          <w:ilvl w:val="0"/>
          <w:numId w:val="10"/>
        </w:numPr>
        <w:tabs>
          <w:tab w:val="left" w:pos="3600"/>
        </w:tabs>
        <w:spacing w:after="0"/>
      </w:pPr>
      <w:r>
        <w:t xml:space="preserve">Add 50mL of the appropriate coating solution to the denuder and secure an end cap over the remaining end of each denuder. </w:t>
      </w:r>
    </w:p>
    <w:p w:rsidR="00455599" w:rsidRDefault="00455599" w:rsidP="00455599">
      <w:pPr>
        <w:pStyle w:val="ListParagraph"/>
        <w:numPr>
          <w:ilvl w:val="0"/>
          <w:numId w:val="10"/>
        </w:numPr>
        <w:tabs>
          <w:tab w:val="left" w:pos="3600"/>
        </w:tabs>
        <w:spacing w:after="0"/>
      </w:pPr>
      <w:r>
        <w:t xml:space="preserve">Rotate for one minute before removing &amp; properly disposing of excess liquid. </w:t>
      </w:r>
    </w:p>
    <w:p w:rsidR="00455599" w:rsidRDefault="00455599" w:rsidP="00455599">
      <w:pPr>
        <w:pStyle w:val="ListParagraph"/>
        <w:numPr>
          <w:ilvl w:val="0"/>
          <w:numId w:val="10"/>
        </w:numPr>
        <w:tabs>
          <w:tab w:val="left" w:pos="3600"/>
        </w:tabs>
        <w:spacing w:after="0"/>
      </w:pPr>
      <w:r>
        <w:t xml:space="preserve">Allow denuder to dry under clean laminar flow hood or </w:t>
      </w:r>
      <w:r w:rsidR="00B14739">
        <w:t>use dry, filtered, chemically-scrubbed air to induce drying.</w:t>
      </w:r>
    </w:p>
    <w:p w:rsidR="00455599" w:rsidRDefault="00455599" w:rsidP="00455599">
      <w:pPr>
        <w:tabs>
          <w:tab w:val="left" w:pos="3600"/>
        </w:tabs>
        <w:spacing w:after="0"/>
      </w:pPr>
    </w:p>
    <w:p w:rsidR="00C07A36" w:rsidRDefault="00C07A36" w:rsidP="00C07A36">
      <w:pPr>
        <w:pStyle w:val="Heading2"/>
      </w:pPr>
      <w:r>
        <w:t>Denuder extraction</w:t>
      </w:r>
      <w:bookmarkEnd w:id="8"/>
      <w:r>
        <w:t xml:space="preserve"> </w:t>
      </w:r>
    </w:p>
    <w:p w:rsidR="00DB65FE" w:rsidRPr="00CB6F2B" w:rsidRDefault="00DB65FE" w:rsidP="00DB65FE">
      <w:pPr>
        <w:spacing w:after="0"/>
        <w:rPr>
          <w:i/>
        </w:rPr>
      </w:pPr>
      <w:r>
        <w:rPr>
          <w:i/>
        </w:rPr>
        <w:t>Originally from PILS Manual, Appendix 26: Inorganic Vapors Denuder Rejuvenation Procedures</w:t>
      </w:r>
    </w:p>
    <w:p w:rsidR="00DB65FE" w:rsidRDefault="00DB65FE" w:rsidP="00DB65FE">
      <w:pPr>
        <w:spacing w:after="0"/>
      </w:pPr>
    </w:p>
    <w:p w:rsidR="000D32C6" w:rsidRDefault="000D32C6" w:rsidP="000D32C6">
      <w:pPr>
        <w:pStyle w:val="ListParagraph"/>
        <w:numPr>
          <w:ilvl w:val="0"/>
          <w:numId w:val="11"/>
        </w:numPr>
        <w:spacing w:after="0"/>
      </w:pPr>
      <w:r>
        <w:t xml:space="preserve">Obtain four clean &amp; dry solid denuder end caps. </w:t>
      </w:r>
    </w:p>
    <w:p w:rsidR="000D32C6" w:rsidRDefault="000D32C6" w:rsidP="000D32C6">
      <w:pPr>
        <w:pStyle w:val="ListParagraph"/>
        <w:numPr>
          <w:ilvl w:val="0"/>
          <w:numId w:val="11"/>
        </w:numPr>
        <w:spacing w:after="0"/>
      </w:pPr>
      <w:r>
        <w:t>Place one end cap on each denuder.</w:t>
      </w:r>
    </w:p>
    <w:p w:rsidR="000D32C6" w:rsidRDefault="000D32C6" w:rsidP="000D32C6">
      <w:pPr>
        <w:pStyle w:val="ListParagraph"/>
        <w:numPr>
          <w:ilvl w:val="0"/>
          <w:numId w:val="11"/>
        </w:numPr>
        <w:spacing w:after="0"/>
      </w:pPr>
      <w:r>
        <w:t>Fill each denuder with MQ water before securing the other cap and rotate such that water reaches all the inside surfaces; roughly 30 times over 1 minute;</w:t>
      </w:r>
    </w:p>
    <w:p w:rsidR="000D32C6" w:rsidRDefault="000D32C6" w:rsidP="00DB65FE">
      <w:pPr>
        <w:spacing w:after="0"/>
      </w:pPr>
    </w:p>
    <w:p w:rsidR="00C07A36" w:rsidRDefault="00C07A36" w:rsidP="00DB65FE">
      <w:pPr>
        <w:spacing w:after="0"/>
      </w:pPr>
      <w:r>
        <w:t>removal of denuders from instrumentation</w:t>
      </w:r>
    </w:p>
    <w:p w:rsidR="00C07A36" w:rsidRDefault="00C07A36" w:rsidP="00DB65FE">
      <w:pPr>
        <w:spacing w:after="0"/>
      </w:pPr>
      <w:r>
        <w:t>procedures for transportation/storage</w:t>
      </w:r>
    </w:p>
    <w:p w:rsidR="00C07A36" w:rsidRDefault="00C07A36" w:rsidP="00DB65FE">
      <w:pPr>
        <w:spacing w:after="0"/>
      </w:pPr>
      <w:r>
        <w:t xml:space="preserve">how to extract the captured ammonia </w:t>
      </w:r>
    </w:p>
    <w:p w:rsidR="00C07A36" w:rsidRDefault="00C07A36" w:rsidP="00DB65FE">
      <w:pPr>
        <w:spacing w:after="0"/>
      </w:pPr>
      <w:r>
        <w:t>any intermediate preparation steps prior to…</w:t>
      </w:r>
    </w:p>
    <w:p w:rsidR="00C07A36" w:rsidRDefault="00C07A36" w:rsidP="00DB65FE">
      <w:pPr>
        <w:spacing w:after="0"/>
      </w:pPr>
      <w:r>
        <w:t>performing ion chromatography (instructions for)</w:t>
      </w:r>
    </w:p>
    <w:p w:rsidR="00C07A36" w:rsidRDefault="00C07A36" w:rsidP="00DB65FE">
      <w:pPr>
        <w:spacing w:after="0"/>
      </w:pPr>
      <w:r>
        <w:t>descriptions/instructions of other wet chemistry analytical techniques</w:t>
      </w:r>
    </w:p>
    <w:p w:rsidR="00C07A36" w:rsidRPr="00C07A36" w:rsidRDefault="00C07A36" w:rsidP="00C07A36">
      <w:pPr>
        <w:pStyle w:val="Heading2"/>
      </w:pPr>
      <w:bookmarkStart w:id="9" w:name="_Toc207088821"/>
      <w:r>
        <w:t>Storage &amp; maintenance</w:t>
      </w:r>
      <w:bookmarkEnd w:id="9"/>
    </w:p>
    <w:p w:rsidR="00C07A36" w:rsidRDefault="00C07A36" w:rsidP="00C07A36">
      <w:pPr>
        <w:pStyle w:val="ListParagraph"/>
        <w:numPr>
          <w:ilvl w:val="0"/>
          <w:numId w:val="1"/>
        </w:numPr>
        <w:spacing w:after="0"/>
      </w:pPr>
      <w:r>
        <w:t xml:space="preserve">which if any instruments should be disconnected </w:t>
      </w:r>
    </w:p>
    <w:p w:rsidR="00C07A36" w:rsidRDefault="00C07A36" w:rsidP="00C07A36">
      <w:pPr>
        <w:pStyle w:val="ListParagraph"/>
        <w:numPr>
          <w:ilvl w:val="0"/>
          <w:numId w:val="1"/>
        </w:numPr>
        <w:spacing w:after="0"/>
      </w:pPr>
      <w:r>
        <w:t>checklist for storage hoods/containers/etc</w:t>
      </w:r>
    </w:p>
    <w:p w:rsidR="00C07A36" w:rsidRDefault="00C07A36" w:rsidP="00C07A36">
      <w:pPr>
        <w:pStyle w:val="ListParagraph"/>
        <w:numPr>
          <w:ilvl w:val="0"/>
          <w:numId w:val="1"/>
        </w:numPr>
        <w:spacing w:after="0"/>
      </w:pPr>
      <w:r>
        <w:t>maintenance associated with components</w:t>
      </w:r>
    </w:p>
    <w:p w:rsidR="00C07A36" w:rsidRDefault="00C07A36" w:rsidP="00C07A36">
      <w:pPr>
        <w:pStyle w:val="ListParagraph"/>
        <w:numPr>
          <w:ilvl w:val="1"/>
          <w:numId w:val="1"/>
        </w:numPr>
        <w:spacing w:after="0"/>
      </w:pPr>
      <w:r>
        <w:t>annual pump diaphragm maint</w:t>
      </w:r>
    </w:p>
    <w:p w:rsidR="00C07A36" w:rsidRDefault="00C07A36" w:rsidP="00C07A36">
      <w:pPr>
        <w:pStyle w:val="ListParagraph"/>
        <w:numPr>
          <w:ilvl w:val="1"/>
          <w:numId w:val="1"/>
        </w:numPr>
        <w:spacing w:after="0"/>
      </w:pPr>
      <w:r>
        <w:t xml:space="preserve">periodic replacement of tubing? </w:t>
      </w:r>
    </w:p>
    <w:p w:rsidR="00C07A36" w:rsidRDefault="00C07A36" w:rsidP="00176E1E">
      <w:pPr>
        <w:pStyle w:val="ListParagraph"/>
        <w:numPr>
          <w:ilvl w:val="1"/>
          <w:numId w:val="1"/>
        </w:numPr>
        <w:spacing w:after="0"/>
      </w:pPr>
      <w:r>
        <w:t>scheduled calibrations of included equipment</w:t>
      </w:r>
    </w:p>
    <w:p w:rsidR="000D67E6" w:rsidRDefault="00C07A36" w:rsidP="005E5950">
      <w:pPr>
        <w:pStyle w:val="Heading1"/>
      </w:pPr>
      <w:r>
        <w:br w:type="page"/>
      </w:r>
      <w:bookmarkStart w:id="10" w:name="_Toc207088826"/>
      <w:r w:rsidR="005E5950">
        <w:lastRenderedPageBreak/>
        <w:t>Components</w:t>
      </w:r>
      <w:r w:rsidR="0039103D">
        <w:t xml:space="preserve"> List</w:t>
      </w:r>
      <w:bookmarkEnd w:id="10"/>
      <w:r w:rsidR="00176E1E">
        <w:t xml:space="preserve"> &amp; Descriptions</w:t>
      </w:r>
    </w:p>
    <w:p w:rsidR="00394969" w:rsidRPr="00394969" w:rsidRDefault="00394969" w:rsidP="00394969">
      <w:r>
        <w:t>This system is composed of the following components. A full breakdown of denuder parts is on the following page.</w:t>
      </w:r>
      <w:r w:rsidR="00F7738A">
        <w:t xml:space="preserve"> Ser</w:t>
      </w:r>
      <w:r w:rsidR="00707231">
        <w:t>ial numbers are available in the appendices</w:t>
      </w:r>
      <w:r w:rsidR="00F7738A">
        <w:t>.</w:t>
      </w:r>
    </w:p>
    <w:tbl>
      <w:tblPr>
        <w:tblW w:w="0" w:type="auto"/>
        <w:tblBorders>
          <w:top w:val="single" w:sz="8" w:space="0" w:color="4F81BD"/>
          <w:bottom w:val="single" w:sz="8" w:space="0" w:color="4F81BD"/>
        </w:tblBorders>
        <w:tblLayout w:type="fixed"/>
        <w:tblLook w:val="04A0"/>
      </w:tblPr>
      <w:tblGrid>
        <w:gridCol w:w="558"/>
        <w:gridCol w:w="3420"/>
        <w:gridCol w:w="2520"/>
        <w:gridCol w:w="3078"/>
      </w:tblGrid>
      <w:tr w:rsidR="002B1DF5" w:rsidTr="00EE6D00">
        <w:tc>
          <w:tcPr>
            <w:tcW w:w="558" w:type="dxa"/>
            <w:tcBorders>
              <w:top w:val="single" w:sz="8" w:space="0" w:color="4F81BD"/>
              <w:left w:val="nil"/>
              <w:bottom w:val="single" w:sz="8" w:space="0" w:color="4F81BD"/>
              <w:right w:val="nil"/>
            </w:tcBorders>
          </w:tcPr>
          <w:p w:rsidR="005E5950" w:rsidRPr="00EE6D00" w:rsidRDefault="001A56F8" w:rsidP="00EE6D00">
            <w:pPr>
              <w:spacing w:after="0"/>
              <w:jc w:val="center"/>
              <w:rPr>
                <w:b/>
                <w:bCs/>
                <w:color w:val="365F91"/>
              </w:rPr>
            </w:pPr>
            <w:r w:rsidRPr="00EE6D00">
              <w:rPr>
                <w:b/>
                <w:bCs/>
                <w:color w:val="365F91"/>
              </w:rPr>
              <w:t>Qty</w:t>
            </w:r>
          </w:p>
        </w:tc>
        <w:tc>
          <w:tcPr>
            <w:tcW w:w="3420" w:type="dxa"/>
            <w:tcBorders>
              <w:top w:val="single" w:sz="8" w:space="0" w:color="4F81BD"/>
              <w:left w:val="nil"/>
              <w:bottom w:val="single" w:sz="8" w:space="0" w:color="4F81BD"/>
              <w:right w:val="nil"/>
            </w:tcBorders>
          </w:tcPr>
          <w:p w:rsidR="005E5950" w:rsidRPr="00EE6D00" w:rsidRDefault="005E5950" w:rsidP="00EE6D00">
            <w:pPr>
              <w:spacing w:after="0"/>
              <w:rPr>
                <w:b/>
                <w:bCs/>
                <w:color w:val="365F91"/>
              </w:rPr>
            </w:pPr>
            <w:r w:rsidRPr="00EE6D00">
              <w:rPr>
                <w:b/>
                <w:bCs/>
                <w:color w:val="365F91"/>
              </w:rPr>
              <w:t>Component</w:t>
            </w:r>
          </w:p>
        </w:tc>
        <w:tc>
          <w:tcPr>
            <w:tcW w:w="2520" w:type="dxa"/>
            <w:tcBorders>
              <w:top w:val="single" w:sz="8" w:space="0" w:color="4F81BD"/>
              <w:left w:val="nil"/>
              <w:bottom w:val="single" w:sz="8" w:space="0" w:color="4F81BD"/>
              <w:right w:val="nil"/>
            </w:tcBorders>
          </w:tcPr>
          <w:p w:rsidR="005E5950" w:rsidRPr="00EE6D00" w:rsidRDefault="005E5950" w:rsidP="00EE6D00">
            <w:pPr>
              <w:spacing w:after="0"/>
              <w:rPr>
                <w:b/>
                <w:bCs/>
                <w:color w:val="365F91"/>
              </w:rPr>
            </w:pPr>
            <w:r w:rsidRPr="00EE6D00">
              <w:rPr>
                <w:b/>
                <w:bCs/>
                <w:color w:val="365F91"/>
              </w:rPr>
              <w:t xml:space="preserve">Part </w:t>
            </w:r>
            <w:r w:rsidR="001A56F8" w:rsidRPr="00EE6D00">
              <w:rPr>
                <w:b/>
                <w:bCs/>
                <w:color w:val="365F91"/>
              </w:rPr>
              <w:t>Name/</w:t>
            </w:r>
            <w:r w:rsidRPr="00EE6D00">
              <w:rPr>
                <w:b/>
                <w:bCs/>
                <w:color w:val="365F91"/>
              </w:rPr>
              <w:t>#</w:t>
            </w:r>
          </w:p>
        </w:tc>
        <w:tc>
          <w:tcPr>
            <w:tcW w:w="3078" w:type="dxa"/>
            <w:tcBorders>
              <w:top w:val="single" w:sz="8" w:space="0" w:color="4F81BD"/>
              <w:left w:val="nil"/>
              <w:bottom w:val="single" w:sz="8" w:space="0" w:color="4F81BD"/>
              <w:right w:val="nil"/>
            </w:tcBorders>
          </w:tcPr>
          <w:p w:rsidR="005E5950" w:rsidRPr="00EE6D00" w:rsidRDefault="005E5950" w:rsidP="00EE6D00">
            <w:pPr>
              <w:spacing w:after="0"/>
              <w:rPr>
                <w:b/>
                <w:bCs/>
                <w:color w:val="365F91"/>
              </w:rPr>
            </w:pPr>
            <w:r w:rsidRPr="00EE6D00">
              <w:rPr>
                <w:b/>
                <w:bCs/>
                <w:color w:val="365F91"/>
              </w:rPr>
              <w:t>Manufacturer</w:t>
            </w:r>
          </w:p>
        </w:tc>
      </w:tr>
      <w:tr w:rsidR="00A31C47" w:rsidTr="00EE6D00">
        <w:tc>
          <w:tcPr>
            <w:tcW w:w="558" w:type="dxa"/>
            <w:tcBorders>
              <w:left w:val="nil"/>
              <w:right w:val="nil"/>
            </w:tcBorders>
            <w:shd w:val="clear" w:color="auto" w:fill="D3DFEE"/>
          </w:tcPr>
          <w:p w:rsidR="00A31C47" w:rsidRPr="00EE6D00" w:rsidRDefault="00A31C47"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3D sonic anemometer</w:t>
            </w:r>
          </w:p>
        </w:tc>
        <w:tc>
          <w:tcPr>
            <w:tcW w:w="25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CSAT3</w:t>
            </w:r>
          </w:p>
        </w:tc>
        <w:tc>
          <w:tcPr>
            <w:tcW w:w="3078"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Campbell Scientific; Logan, UT</w:t>
            </w:r>
          </w:p>
        </w:tc>
      </w:tr>
      <w:tr w:rsidR="00A31C47" w:rsidTr="00EE6D00">
        <w:tc>
          <w:tcPr>
            <w:tcW w:w="558" w:type="dxa"/>
          </w:tcPr>
          <w:p w:rsidR="00A31C47" w:rsidRPr="00EE6D00" w:rsidRDefault="00A31C47" w:rsidP="00EE6D00">
            <w:pPr>
              <w:spacing w:after="0"/>
              <w:jc w:val="center"/>
              <w:rPr>
                <w:b/>
                <w:bCs/>
                <w:color w:val="365F91"/>
              </w:rPr>
            </w:pPr>
            <w:r w:rsidRPr="00EE6D00">
              <w:rPr>
                <w:b/>
                <w:bCs/>
                <w:color w:val="365F91"/>
              </w:rPr>
              <w:t>1</w:t>
            </w:r>
          </w:p>
        </w:tc>
        <w:tc>
          <w:tcPr>
            <w:tcW w:w="3420" w:type="dxa"/>
          </w:tcPr>
          <w:p w:rsidR="00A31C47" w:rsidRPr="00EE6D00" w:rsidRDefault="00176E1E" w:rsidP="00EE6D00">
            <w:pPr>
              <w:spacing w:after="0"/>
              <w:rPr>
                <w:color w:val="365F91"/>
              </w:rPr>
            </w:pPr>
            <w:r>
              <w:rPr>
                <w:color w:val="365F91"/>
              </w:rPr>
              <w:t>LI-7500</w:t>
            </w:r>
          </w:p>
        </w:tc>
        <w:tc>
          <w:tcPr>
            <w:tcW w:w="2520" w:type="dxa"/>
          </w:tcPr>
          <w:p w:rsidR="00A31C47" w:rsidRPr="00EE6D00" w:rsidRDefault="00A31C47" w:rsidP="00EE6D00">
            <w:pPr>
              <w:spacing w:after="0"/>
              <w:rPr>
                <w:color w:val="365F91"/>
              </w:rPr>
            </w:pPr>
          </w:p>
        </w:tc>
        <w:tc>
          <w:tcPr>
            <w:tcW w:w="3078" w:type="dxa"/>
          </w:tcPr>
          <w:p w:rsidR="00A31C47" w:rsidRPr="00EE6D00" w:rsidRDefault="00A31C47" w:rsidP="00EE6D00">
            <w:pPr>
              <w:spacing w:after="0"/>
              <w:rPr>
                <w:color w:val="365F91"/>
              </w:rPr>
            </w:pPr>
          </w:p>
        </w:tc>
      </w:tr>
      <w:tr w:rsidR="00A31C47" w:rsidTr="00EE6D00">
        <w:tc>
          <w:tcPr>
            <w:tcW w:w="558" w:type="dxa"/>
            <w:tcBorders>
              <w:left w:val="nil"/>
              <w:right w:val="nil"/>
            </w:tcBorders>
            <w:shd w:val="clear" w:color="auto" w:fill="D3DFEE"/>
          </w:tcPr>
          <w:p w:rsidR="00A31C47" w:rsidRPr="00EE6D00" w:rsidRDefault="00A31C47"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Barometric pressure transmitter</w:t>
            </w:r>
          </w:p>
        </w:tc>
        <w:tc>
          <w:tcPr>
            <w:tcW w:w="25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PTA-427 A</w:t>
            </w:r>
          </w:p>
        </w:tc>
        <w:tc>
          <w:tcPr>
            <w:tcW w:w="3078"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Campbell Scientific; Logan, UT</w:t>
            </w:r>
          </w:p>
        </w:tc>
      </w:tr>
      <w:tr w:rsidR="00A31C47" w:rsidTr="00EE6D00">
        <w:tc>
          <w:tcPr>
            <w:tcW w:w="558" w:type="dxa"/>
          </w:tcPr>
          <w:p w:rsidR="00A31C47" w:rsidRPr="00EE6D00" w:rsidRDefault="00A31C47" w:rsidP="00EE6D00">
            <w:pPr>
              <w:spacing w:after="0"/>
              <w:jc w:val="center"/>
              <w:rPr>
                <w:b/>
                <w:bCs/>
                <w:color w:val="365F91"/>
              </w:rPr>
            </w:pPr>
            <w:r w:rsidRPr="00EE6D00">
              <w:rPr>
                <w:b/>
                <w:bCs/>
                <w:color w:val="365F91"/>
              </w:rPr>
              <w:t>1</w:t>
            </w:r>
          </w:p>
        </w:tc>
        <w:tc>
          <w:tcPr>
            <w:tcW w:w="3420" w:type="dxa"/>
          </w:tcPr>
          <w:p w:rsidR="00A31C47" w:rsidRPr="00EE6D00" w:rsidRDefault="00A31C47" w:rsidP="00EE6D00">
            <w:pPr>
              <w:spacing w:after="0"/>
              <w:rPr>
                <w:color w:val="365F91"/>
              </w:rPr>
            </w:pPr>
            <w:r w:rsidRPr="00EE6D00">
              <w:rPr>
                <w:color w:val="365F91"/>
              </w:rPr>
              <w:t>Temp &amp; relative humidity probe</w:t>
            </w:r>
          </w:p>
        </w:tc>
        <w:tc>
          <w:tcPr>
            <w:tcW w:w="2520" w:type="dxa"/>
          </w:tcPr>
          <w:p w:rsidR="00A31C47" w:rsidRPr="00EE6D00" w:rsidRDefault="00A31C47" w:rsidP="00EE6D00">
            <w:pPr>
              <w:spacing w:after="0"/>
              <w:rPr>
                <w:color w:val="365F91"/>
              </w:rPr>
            </w:pPr>
            <w:r w:rsidRPr="00EE6D00">
              <w:rPr>
                <w:color w:val="365F91"/>
              </w:rPr>
              <w:t>HMP45AC</w:t>
            </w:r>
          </w:p>
        </w:tc>
        <w:tc>
          <w:tcPr>
            <w:tcW w:w="3078" w:type="dxa"/>
          </w:tcPr>
          <w:p w:rsidR="00A31C47" w:rsidRPr="00EE6D00" w:rsidRDefault="00A31C47" w:rsidP="00EE6D00">
            <w:pPr>
              <w:spacing w:after="0"/>
              <w:rPr>
                <w:color w:val="365F91"/>
              </w:rPr>
            </w:pPr>
            <w:r w:rsidRPr="00EE6D00">
              <w:rPr>
                <w:color w:val="365F91"/>
              </w:rPr>
              <w:t>Vaisala (Vendor: Campbell Sci. )</w:t>
            </w:r>
          </w:p>
        </w:tc>
      </w:tr>
      <w:tr w:rsidR="00A31C47" w:rsidTr="00EE6D00">
        <w:tc>
          <w:tcPr>
            <w:tcW w:w="558" w:type="dxa"/>
            <w:tcBorders>
              <w:left w:val="nil"/>
              <w:right w:val="nil"/>
            </w:tcBorders>
            <w:shd w:val="clear" w:color="auto" w:fill="D3DFEE"/>
          </w:tcPr>
          <w:p w:rsidR="00A31C47" w:rsidRPr="00EE6D00" w:rsidRDefault="00A31C47"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 xml:space="preserve">Tank containing ‘zero’ air </w:t>
            </w:r>
          </w:p>
        </w:tc>
        <w:tc>
          <w:tcPr>
            <w:tcW w:w="2520" w:type="dxa"/>
            <w:tcBorders>
              <w:left w:val="nil"/>
              <w:right w:val="nil"/>
            </w:tcBorders>
            <w:shd w:val="clear" w:color="auto" w:fill="D3DFEE"/>
          </w:tcPr>
          <w:p w:rsidR="00A31C47" w:rsidRPr="00EE6D00" w:rsidRDefault="00A31C47" w:rsidP="00EE6D00">
            <w:pPr>
              <w:spacing w:after="0"/>
              <w:rPr>
                <w:color w:val="365F91"/>
              </w:rPr>
            </w:pPr>
          </w:p>
        </w:tc>
        <w:tc>
          <w:tcPr>
            <w:tcW w:w="3078" w:type="dxa"/>
            <w:tcBorders>
              <w:left w:val="nil"/>
              <w:right w:val="nil"/>
            </w:tcBorders>
            <w:shd w:val="clear" w:color="auto" w:fill="D3DFEE"/>
          </w:tcPr>
          <w:p w:rsidR="00A31C47" w:rsidRPr="00EE6D00" w:rsidRDefault="00A31C47" w:rsidP="00EE6D00">
            <w:pPr>
              <w:spacing w:after="0"/>
              <w:rPr>
                <w:color w:val="365F91"/>
              </w:rPr>
            </w:pPr>
          </w:p>
        </w:tc>
      </w:tr>
      <w:tr w:rsidR="00A31C47" w:rsidTr="00EE6D00">
        <w:tc>
          <w:tcPr>
            <w:tcW w:w="558" w:type="dxa"/>
          </w:tcPr>
          <w:p w:rsidR="00A31C47" w:rsidRPr="00EE6D00" w:rsidRDefault="00A31C47" w:rsidP="00EE6D00">
            <w:pPr>
              <w:spacing w:after="0"/>
              <w:jc w:val="center"/>
              <w:rPr>
                <w:b/>
                <w:bCs/>
                <w:color w:val="365F91"/>
              </w:rPr>
            </w:pPr>
            <w:r w:rsidRPr="00EE6D00">
              <w:rPr>
                <w:b/>
                <w:bCs/>
                <w:color w:val="365F91"/>
              </w:rPr>
              <w:t>1</w:t>
            </w:r>
          </w:p>
        </w:tc>
        <w:tc>
          <w:tcPr>
            <w:tcW w:w="3420" w:type="dxa"/>
          </w:tcPr>
          <w:p w:rsidR="00A31C47" w:rsidRPr="00EE6D00" w:rsidRDefault="00A31C47" w:rsidP="00EE6D00">
            <w:pPr>
              <w:spacing w:after="0"/>
              <w:rPr>
                <w:color w:val="365F91"/>
              </w:rPr>
            </w:pPr>
            <w:r w:rsidRPr="00EE6D00">
              <w:rPr>
                <w:color w:val="365F91"/>
              </w:rPr>
              <w:t>Dual-head gas diaphragm pump</w:t>
            </w:r>
          </w:p>
        </w:tc>
        <w:tc>
          <w:tcPr>
            <w:tcW w:w="2520" w:type="dxa"/>
          </w:tcPr>
          <w:p w:rsidR="00A31C47" w:rsidRPr="00EE6D00" w:rsidRDefault="00A31C47" w:rsidP="00EE6D00">
            <w:pPr>
              <w:spacing w:after="0"/>
              <w:rPr>
                <w:color w:val="365F91"/>
              </w:rPr>
            </w:pPr>
            <w:r w:rsidRPr="00EE6D00">
              <w:rPr>
                <w:color w:val="365F91"/>
              </w:rPr>
              <w:t>R221-AT-AA1</w:t>
            </w:r>
          </w:p>
        </w:tc>
        <w:tc>
          <w:tcPr>
            <w:tcW w:w="3078" w:type="dxa"/>
          </w:tcPr>
          <w:p w:rsidR="00A31C47" w:rsidRPr="00EE6D00" w:rsidRDefault="00A31C47" w:rsidP="00EE6D00">
            <w:pPr>
              <w:spacing w:after="0"/>
              <w:rPr>
                <w:color w:val="365F91"/>
              </w:rPr>
            </w:pPr>
            <w:r w:rsidRPr="00EE6D00">
              <w:rPr>
                <w:color w:val="365F91"/>
              </w:rPr>
              <w:t>Air Dimensions</w:t>
            </w:r>
            <w:r w:rsidRPr="00EE6D00">
              <w:rPr>
                <w:color w:val="365F91"/>
              </w:rPr>
              <w:br/>
              <w:t>Deerfield Beach, FL</w:t>
            </w:r>
          </w:p>
        </w:tc>
      </w:tr>
      <w:tr w:rsidR="00A31C47" w:rsidTr="00EE6D00">
        <w:tc>
          <w:tcPr>
            <w:tcW w:w="558" w:type="dxa"/>
            <w:tcBorders>
              <w:left w:val="nil"/>
              <w:right w:val="nil"/>
            </w:tcBorders>
            <w:shd w:val="clear" w:color="auto" w:fill="D3DFEE"/>
          </w:tcPr>
          <w:p w:rsidR="00A31C47" w:rsidRPr="00EE6D00" w:rsidRDefault="00A31C47" w:rsidP="00EE6D00">
            <w:pPr>
              <w:spacing w:after="0"/>
              <w:jc w:val="center"/>
              <w:rPr>
                <w:b/>
                <w:bCs/>
                <w:color w:val="365F91"/>
              </w:rPr>
            </w:pPr>
            <w:r w:rsidRPr="00EE6D00">
              <w:rPr>
                <w:b/>
                <w:bCs/>
                <w:color w:val="365F91"/>
              </w:rPr>
              <w:t>4</w:t>
            </w:r>
          </w:p>
        </w:tc>
        <w:tc>
          <w:tcPr>
            <w:tcW w:w="34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Electropolished stainless steel cans used as ballasts</w:t>
            </w:r>
          </w:p>
        </w:tc>
        <w:tc>
          <w:tcPr>
            <w:tcW w:w="2520" w:type="dxa"/>
            <w:tcBorders>
              <w:left w:val="nil"/>
              <w:right w:val="nil"/>
            </w:tcBorders>
            <w:shd w:val="clear" w:color="auto" w:fill="D3DFEE"/>
          </w:tcPr>
          <w:p w:rsidR="00A31C47" w:rsidRPr="00EE6D00" w:rsidRDefault="00A31C47" w:rsidP="00EE6D00">
            <w:pPr>
              <w:spacing w:after="0"/>
              <w:rPr>
                <w:color w:val="365F91"/>
              </w:rPr>
            </w:pPr>
          </w:p>
        </w:tc>
        <w:tc>
          <w:tcPr>
            <w:tcW w:w="3078" w:type="dxa"/>
            <w:tcBorders>
              <w:left w:val="nil"/>
              <w:right w:val="nil"/>
            </w:tcBorders>
            <w:shd w:val="clear" w:color="auto" w:fill="D3DFEE"/>
          </w:tcPr>
          <w:p w:rsidR="00A31C47" w:rsidRPr="00EE6D00" w:rsidRDefault="00A31C47" w:rsidP="00EE6D00">
            <w:pPr>
              <w:spacing w:after="0"/>
              <w:rPr>
                <w:color w:val="365F91"/>
              </w:rPr>
            </w:pPr>
          </w:p>
        </w:tc>
      </w:tr>
      <w:tr w:rsidR="00A31C47" w:rsidTr="00EE6D00">
        <w:tc>
          <w:tcPr>
            <w:tcW w:w="558" w:type="dxa"/>
          </w:tcPr>
          <w:p w:rsidR="00A31C47" w:rsidRPr="00EE6D00" w:rsidRDefault="00A31C47" w:rsidP="00EE6D00">
            <w:pPr>
              <w:spacing w:after="0"/>
              <w:jc w:val="center"/>
              <w:rPr>
                <w:b/>
                <w:bCs/>
                <w:color w:val="365F91"/>
              </w:rPr>
            </w:pPr>
            <w:r w:rsidRPr="00EE6D00">
              <w:rPr>
                <w:b/>
                <w:bCs/>
                <w:color w:val="365F91"/>
              </w:rPr>
              <w:t>2</w:t>
            </w:r>
          </w:p>
        </w:tc>
        <w:tc>
          <w:tcPr>
            <w:tcW w:w="3420" w:type="dxa"/>
          </w:tcPr>
          <w:p w:rsidR="00A31C47" w:rsidRPr="00EE6D00" w:rsidRDefault="00A31C47" w:rsidP="00EE6D00">
            <w:pPr>
              <w:spacing w:after="0"/>
              <w:rPr>
                <w:color w:val="365F91"/>
              </w:rPr>
            </w:pPr>
            <w:r w:rsidRPr="00EE6D00">
              <w:rPr>
                <w:color w:val="365F91"/>
              </w:rPr>
              <w:t>Three-way 12V solenoid valves</w:t>
            </w:r>
            <w:r w:rsidRPr="00EE6D00">
              <w:rPr>
                <w:color w:val="365F91"/>
              </w:rPr>
              <w:br/>
              <w:t>(VAC-100 PSIG, DC 12V)</w:t>
            </w:r>
          </w:p>
        </w:tc>
        <w:tc>
          <w:tcPr>
            <w:tcW w:w="2520" w:type="dxa"/>
          </w:tcPr>
          <w:p w:rsidR="00A31C47" w:rsidRPr="00EE6D00" w:rsidRDefault="00A31C47" w:rsidP="00EE6D00">
            <w:pPr>
              <w:spacing w:after="0"/>
              <w:rPr>
                <w:color w:val="365F91"/>
              </w:rPr>
            </w:pPr>
            <w:r w:rsidRPr="00EE6D00">
              <w:rPr>
                <w:color w:val="365F91"/>
              </w:rPr>
              <w:t>091-0094-900</w:t>
            </w:r>
          </w:p>
        </w:tc>
        <w:tc>
          <w:tcPr>
            <w:tcW w:w="3078" w:type="dxa"/>
          </w:tcPr>
          <w:p w:rsidR="00A31C47" w:rsidRPr="00EE6D00" w:rsidRDefault="00A31C47" w:rsidP="00EE6D00">
            <w:pPr>
              <w:spacing w:after="0"/>
              <w:rPr>
                <w:color w:val="365F91"/>
              </w:rPr>
            </w:pPr>
            <w:r w:rsidRPr="00EE6D00">
              <w:rPr>
                <w:color w:val="365F91"/>
              </w:rPr>
              <w:t>Parker Hannifin Corp.</w:t>
            </w:r>
          </w:p>
          <w:p w:rsidR="00A31C47" w:rsidRPr="00EE6D00" w:rsidRDefault="00A31C47" w:rsidP="00EE6D00">
            <w:pPr>
              <w:spacing w:after="0"/>
              <w:rPr>
                <w:color w:val="365F91"/>
              </w:rPr>
            </w:pPr>
            <w:r w:rsidRPr="00EE6D00">
              <w:rPr>
                <w:color w:val="365F91"/>
              </w:rPr>
              <w:t>Cleveland, OH</w:t>
            </w:r>
          </w:p>
        </w:tc>
      </w:tr>
      <w:tr w:rsidR="00A31C47" w:rsidTr="00EE6D00">
        <w:tc>
          <w:tcPr>
            <w:tcW w:w="558" w:type="dxa"/>
            <w:tcBorders>
              <w:left w:val="nil"/>
              <w:right w:val="nil"/>
            </w:tcBorders>
            <w:shd w:val="clear" w:color="auto" w:fill="D3DFEE"/>
          </w:tcPr>
          <w:p w:rsidR="00A31C47" w:rsidRPr="00EE6D00" w:rsidRDefault="00A31C47" w:rsidP="00EE6D00">
            <w:pPr>
              <w:spacing w:after="0"/>
              <w:jc w:val="center"/>
              <w:rPr>
                <w:b/>
                <w:bCs/>
                <w:color w:val="365F91"/>
              </w:rPr>
            </w:pPr>
            <w:r w:rsidRPr="00EE6D00">
              <w:rPr>
                <w:b/>
                <w:bCs/>
                <w:color w:val="365F91"/>
              </w:rPr>
              <w:t>2</w:t>
            </w:r>
          </w:p>
        </w:tc>
        <w:tc>
          <w:tcPr>
            <w:tcW w:w="34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PTFE inlet tees</w:t>
            </w:r>
          </w:p>
        </w:tc>
        <w:tc>
          <w:tcPr>
            <w:tcW w:w="2520"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K-31320-35</w:t>
            </w:r>
          </w:p>
        </w:tc>
        <w:tc>
          <w:tcPr>
            <w:tcW w:w="3078" w:type="dxa"/>
            <w:tcBorders>
              <w:left w:val="nil"/>
              <w:right w:val="nil"/>
            </w:tcBorders>
            <w:shd w:val="clear" w:color="auto" w:fill="D3DFEE"/>
          </w:tcPr>
          <w:p w:rsidR="00A31C47" w:rsidRPr="00EE6D00" w:rsidRDefault="00A31C47" w:rsidP="00EE6D00">
            <w:pPr>
              <w:spacing w:after="0"/>
              <w:rPr>
                <w:color w:val="365F91"/>
              </w:rPr>
            </w:pPr>
            <w:r w:rsidRPr="00EE6D00">
              <w:rPr>
                <w:color w:val="365F91"/>
              </w:rPr>
              <w:t>Cole Parmer; Vernon Hills, IL</w:t>
            </w: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2</w:t>
            </w:r>
          </w:p>
        </w:tc>
        <w:tc>
          <w:tcPr>
            <w:tcW w:w="3420" w:type="dxa"/>
          </w:tcPr>
          <w:p w:rsidR="00CB0611" w:rsidRPr="00EE6D00" w:rsidRDefault="00CB0611" w:rsidP="00EE6D00">
            <w:pPr>
              <w:spacing w:after="0"/>
              <w:rPr>
                <w:color w:val="365F91"/>
              </w:rPr>
            </w:pPr>
            <w:r w:rsidRPr="00EE6D00">
              <w:rPr>
                <w:color w:val="365F91"/>
              </w:rPr>
              <w:t>Quick-disconnect denuder fitting</w:t>
            </w:r>
          </w:p>
        </w:tc>
        <w:tc>
          <w:tcPr>
            <w:tcW w:w="2520" w:type="dxa"/>
          </w:tcPr>
          <w:p w:rsidR="00CB0611" w:rsidRPr="00EE6D00" w:rsidRDefault="00CB0611" w:rsidP="00EE6D00">
            <w:pPr>
              <w:spacing w:after="0"/>
              <w:rPr>
                <w:color w:val="365F91"/>
              </w:rPr>
            </w:pPr>
            <w:r w:rsidRPr="00EE6D00">
              <w:rPr>
                <w:color w:val="365F91"/>
              </w:rPr>
              <w:t>K-31404-09</w:t>
            </w:r>
          </w:p>
        </w:tc>
        <w:tc>
          <w:tcPr>
            <w:tcW w:w="3078" w:type="dxa"/>
          </w:tcPr>
          <w:p w:rsidR="00CB0611" w:rsidRPr="00EE6D00" w:rsidRDefault="00CB0611" w:rsidP="00EE6D00">
            <w:pPr>
              <w:spacing w:after="0"/>
              <w:rPr>
                <w:color w:val="365F91"/>
              </w:rPr>
            </w:pPr>
            <w:r w:rsidRPr="00EE6D00">
              <w:rPr>
                <w:color w:val="365F91"/>
              </w:rPr>
              <w:t>Cole Parmer; Vernon Hills, IL</w:t>
            </w:r>
          </w:p>
        </w:tc>
      </w:tr>
      <w:tr w:rsidR="00CB0611" w:rsidTr="00EE6D00">
        <w:tc>
          <w:tcPr>
            <w:tcW w:w="558" w:type="dxa"/>
            <w:tcBorders>
              <w:left w:val="nil"/>
              <w:right w:val="nil"/>
            </w:tcBorders>
            <w:shd w:val="clear" w:color="auto" w:fill="D3DFEE"/>
          </w:tcPr>
          <w:p w:rsidR="00CB0611" w:rsidRPr="00EE6D00" w:rsidRDefault="00CB0611" w:rsidP="00EE6D00">
            <w:pPr>
              <w:spacing w:after="0"/>
              <w:jc w:val="center"/>
              <w:rPr>
                <w:b/>
                <w:bCs/>
                <w:color w:val="365F91"/>
              </w:rPr>
            </w:pPr>
            <w:r w:rsidRPr="00EE6D00">
              <w:rPr>
                <w:b/>
                <w:bCs/>
                <w:color w:val="365F91"/>
              </w:rPr>
              <w:t>2-4</w:t>
            </w:r>
          </w:p>
        </w:tc>
        <w:tc>
          <w:tcPr>
            <w:tcW w:w="34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Honeycomb denuder cartridges</w:t>
            </w:r>
          </w:p>
        </w:tc>
        <w:tc>
          <w:tcPr>
            <w:tcW w:w="25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ChemComb 3500</w:t>
            </w:r>
            <w:r w:rsidRPr="00EE6D00">
              <w:rPr>
                <w:color w:val="365F91"/>
              </w:rPr>
              <w:br/>
            </w:r>
            <w:r w:rsidRPr="00EE6D00">
              <w:rPr>
                <w:color w:val="365F91"/>
                <w:sz w:val="20"/>
              </w:rPr>
              <w:t xml:space="preserve">*see next page </w:t>
            </w:r>
          </w:p>
        </w:tc>
        <w:tc>
          <w:tcPr>
            <w:tcW w:w="3078"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Thermo Scientific</w:t>
            </w:r>
            <w:r w:rsidRPr="00EE6D00">
              <w:rPr>
                <w:color w:val="365F91"/>
              </w:rPr>
              <w:br/>
              <w:t>Waltham, MA</w:t>
            </w: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1</w:t>
            </w:r>
          </w:p>
        </w:tc>
        <w:tc>
          <w:tcPr>
            <w:tcW w:w="3420" w:type="dxa"/>
          </w:tcPr>
          <w:p w:rsidR="00CB0611" w:rsidRPr="00EE6D00" w:rsidRDefault="00CB0611" w:rsidP="00EE6D00">
            <w:pPr>
              <w:spacing w:after="0"/>
              <w:rPr>
                <w:color w:val="365F91"/>
              </w:rPr>
            </w:pPr>
            <w:r w:rsidRPr="00EE6D00">
              <w:rPr>
                <w:color w:val="365F91"/>
              </w:rPr>
              <w:t>4-channel relay rack</w:t>
            </w:r>
          </w:p>
        </w:tc>
        <w:tc>
          <w:tcPr>
            <w:tcW w:w="2520" w:type="dxa"/>
          </w:tcPr>
          <w:p w:rsidR="00CB0611" w:rsidRPr="00EE6D00" w:rsidRDefault="00CB0611" w:rsidP="00EE6D00">
            <w:pPr>
              <w:spacing w:after="0"/>
              <w:rPr>
                <w:color w:val="365F91"/>
              </w:rPr>
            </w:pPr>
            <w:r w:rsidRPr="00EE6D00">
              <w:rPr>
                <w:color w:val="365F91"/>
              </w:rPr>
              <w:t>G4PB4R</w:t>
            </w:r>
          </w:p>
        </w:tc>
        <w:tc>
          <w:tcPr>
            <w:tcW w:w="3078" w:type="dxa"/>
          </w:tcPr>
          <w:p w:rsidR="00CB0611" w:rsidRPr="00EE6D00" w:rsidRDefault="00CB0611" w:rsidP="00EE6D00">
            <w:pPr>
              <w:spacing w:after="0"/>
              <w:rPr>
                <w:color w:val="365F91"/>
              </w:rPr>
            </w:pPr>
            <w:r w:rsidRPr="00EE6D00">
              <w:rPr>
                <w:color w:val="365F91"/>
              </w:rPr>
              <w:t>Opto 22; Temecula, CA</w:t>
            </w:r>
          </w:p>
        </w:tc>
      </w:tr>
      <w:tr w:rsidR="00CB0611" w:rsidTr="00EE6D00">
        <w:tc>
          <w:tcPr>
            <w:tcW w:w="558" w:type="dxa"/>
            <w:tcBorders>
              <w:left w:val="nil"/>
              <w:right w:val="nil"/>
            </w:tcBorders>
            <w:shd w:val="clear" w:color="auto" w:fill="D3DFEE"/>
          </w:tcPr>
          <w:p w:rsidR="00CB0611" w:rsidRPr="00EE6D00" w:rsidRDefault="00CB0611"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Bipolar +/-15V power supply</w:t>
            </w:r>
          </w:p>
        </w:tc>
        <w:tc>
          <w:tcPr>
            <w:tcW w:w="25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REL110-2005</w:t>
            </w:r>
          </w:p>
        </w:tc>
        <w:tc>
          <w:tcPr>
            <w:tcW w:w="3078"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Astrodyne; Mansfield, MA</w:t>
            </w: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1</w:t>
            </w:r>
          </w:p>
        </w:tc>
        <w:tc>
          <w:tcPr>
            <w:tcW w:w="3420" w:type="dxa"/>
          </w:tcPr>
          <w:p w:rsidR="00CB0611" w:rsidRPr="00EE6D00" w:rsidRDefault="00CB0611" w:rsidP="004108B6">
            <w:pPr>
              <w:spacing w:after="0"/>
              <w:rPr>
                <w:color w:val="365F91"/>
              </w:rPr>
            </w:pPr>
            <w:r w:rsidRPr="00EE6D00">
              <w:rPr>
                <w:color w:val="365F91"/>
              </w:rPr>
              <w:t>External 1</w:t>
            </w:r>
            <w:r w:rsidR="004108B6">
              <w:rPr>
                <w:color w:val="365F91"/>
              </w:rPr>
              <w:t>3.8</w:t>
            </w:r>
            <w:r w:rsidRPr="00EE6D00">
              <w:rPr>
                <w:color w:val="365F91"/>
              </w:rPr>
              <w:t>V power supply</w:t>
            </w:r>
          </w:p>
        </w:tc>
        <w:tc>
          <w:tcPr>
            <w:tcW w:w="2520" w:type="dxa"/>
          </w:tcPr>
          <w:p w:rsidR="00CB0611" w:rsidRPr="00EE6D00" w:rsidRDefault="00CB0611" w:rsidP="00EE6D00">
            <w:pPr>
              <w:spacing w:after="0"/>
              <w:rPr>
                <w:color w:val="365F91"/>
              </w:rPr>
            </w:pPr>
          </w:p>
        </w:tc>
        <w:tc>
          <w:tcPr>
            <w:tcW w:w="3078" w:type="dxa"/>
          </w:tcPr>
          <w:p w:rsidR="00CB0611" w:rsidRPr="00EE6D00" w:rsidRDefault="00CB0611" w:rsidP="00EE6D00">
            <w:pPr>
              <w:spacing w:after="0"/>
              <w:rPr>
                <w:color w:val="365F91"/>
              </w:rPr>
            </w:pPr>
          </w:p>
        </w:tc>
      </w:tr>
      <w:tr w:rsidR="00CB0611" w:rsidTr="00EE6D00">
        <w:tc>
          <w:tcPr>
            <w:tcW w:w="558" w:type="dxa"/>
            <w:tcBorders>
              <w:left w:val="nil"/>
              <w:right w:val="nil"/>
            </w:tcBorders>
            <w:shd w:val="clear" w:color="auto" w:fill="D3DFEE"/>
          </w:tcPr>
          <w:p w:rsidR="00CB0611" w:rsidRPr="00EE6D00" w:rsidRDefault="00CB0611"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Solid state relay for pump, 120VAC</w:t>
            </w:r>
          </w:p>
        </w:tc>
        <w:tc>
          <w:tcPr>
            <w:tcW w:w="25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120D10</w:t>
            </w:r>
          </w:p>
        </w:tc>
        <w:tc>
          <w:tcPr>
            <w:tcW w:w="3078"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Opto 22; Temecula, CA</w:t>
            </w: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1</w:t>
            </w:r>
          </w:p>
        </w:tc>
        <w:tc>
          <w:tcPr>
            <w:tcW w:w="3420" w:type="dxa"/>
          </w:tcPr>
          <w:p w:rsidR="00CB0611" w:rsidRPr="00EE6D00" w:rsidRDefault="00CB0611" w:rsidP="00EE6D00">
            <w:pPr>
              <w:spacing w:after="0"/>
              <w:rPr>
                <w:color w:val="365F91"/>
              </w:rPr>
            </w:pPr>
            <w:r w:rsidRPr="00EE6D00">
              <w:rPr>
                <w:color w:val="365F91"/>
              </w:rPr>
              <w:t>Field housing case with 12V fan</w:t>
            </w:r>
          </w:p>
        </w:tc>
        <w:tc>
          <w:tcPr>
            <w:tcW w:w="2520" w:type="dxa"/>
          </w:tcPr>
          <w:p w:rsidR="00CB0611" w:rsidRPr="00EE6D00" w:rsidRDefault="00CB0611" w:rsidP="00EE6D00">
            <w:pPr>
              <w:spacing w:after="0"/>
              <w:rPr>
                <w:color w:val="365F91"/>
              </w:rPr>
            </w:pPr>
          </w:p>
        </w:tc>
        <w:tc>
          <w:tcPr>
            <w:tcW w:w="3078" w:type="dxa"/>
          </w:tcPr>
          <w:p w:rsidR="00CB0611" w:rsidRPr="00EE6D00" w:rsidRDefault="00CB0611" w:rsidP="00EE6D00">
            <w:pPr>
              <w:spacing w:after="0"/>
              <w:rPr>
                <w:color w:val="365F91"/>
              </w:rPr>
            </w:pPr>
          </w:p>
        </w:tc>
      </w:tr>
      <w:tr w:rsidR="00CB0611" w:rsidTr="00EE6D00">
        <w:tc>
          <w:tcPr>
            <w:tcW w:w="558" w:type="dxa"/>
            <w:tcBorders>
              <w:left w:val="nil"/>
              <w:right w:val="nil"/>
            </w:tcBorders>
            <w:shd w:val="clear" w:color="auto" w:fill="D3DFEE"/>
          </w:tcPr>
          <w:p w:rsidR="00CB0611" w:rsidRPr="00EE6D00" w:rsidRDefault="00CB0611"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Fast-response data logger</w:t>
            </w:r>
          </w:p>
        </w:tc>
        <w:tc>
          <w:tcPr>
            <w:tcW w:w="25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CR5000</w:t>
            </w:r>
          </w:p>
        </w:tc>
        <w:tc>
          <w:tcPr>
            <w:tcW w:w="3078"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Campbell Scientific; Logan, UT</w:t>
            </w: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2</w:t>
            </w:r>
          </w:p>
        </w:tc>
        <w:tc>
          <w:tcPr>
            <w:tcW w:w="3420" w:type="dxa"/>
          </w:tcPr>
          <w:p w:rsidR="00CB0611" w:rsidRPr="00EE6D00" w:rsidRDefault="00CB0611" w:rsidP="00EE6D00">
            <w:pPr>
              <w:spacing w:after="0"/>
              <w:rPr>
                <w:color w:val="365F91"/>
              </w:rPr>
            </w:pPr>
            <w:r w:rsidRPr="00EE6D00">
              <w:rPr>
                <w:color w:val="365F91"/>
              </w:rPr>
              <w:t>Mass flow controllers, 0-10 sLPM</w:t>
            </w:r>
          </w:p>
        </w:tc>
        <w:tc>
          <w:tcPr>
            <w:tcW w:w="2520" w:type="dxa"/>
          </w:tcPr>
          <w:p w:rsidR="00CB0611" w:rsidRPr="00EE6D00" w:rsidRDefault="00CB0611" w:rsidP="00EE6D00">
            <w:pPr>
              <w:spacing w:after="0"/>
              <w:rPr>
                <w:color w:val="365F91"/>
              </w:rPr>
            </w:pPr>
            <w:r w:rsidRPr="00EE6D00">
              <w:rPr>
                <w:color w:val="365F91"/>
              </w:rPr>
              <w:t xml:space="preserve">AFCS-010001 </w:t>
            </w:r>
          </w:p>
          <w:p w:rsidR="00CB0611" w:rsidRPr="00EE6D00" w:rsidRDefault="00CB0611" w:rsidP="00EE6D00">
            <w:pPr>
              <w:spacing w:after="0"/>
              <w:rPr>
                <w:color w:val="365F91"/>
              </w:rPr>
            </w:pPr>
            <w:r w:rsidRPr="00EE6D00">
              <w:rPr>
                <w:color w:val="365F91"/>
              </w:rPr>
              <w:t>(AFC26S-VADN5-C0/air)</w:t>
            </w:r>
          </w:p>
        </w:tc>
        <w:tc>
          <w:tcPr>
            <w:tcW w:w="3078" w:type="dxa"/>
          </w:tcPr>
          <w:p w:rsidR="00CB0611" w:rsidRPr="00EE6D00" w:rsidRDefault="00CB0611" w:rsidP="00EE6D00">
            <w:pPr>
              <w:spacing w:after="0"/>
              <w:rPr>
                <w:color w:val="365F91"/>
              </w:rPr>
            </w:pPr>
            <w:r w:rsidRPr="00EE6D00">
              <w:rPr>
                <w:color w:val="365F91"/>
              </w:rPr>
              <w:t xml:space="preserve">Aalborg </w:t>
            </w:r>
            <w:r w:rsidRPr="00EE6D00">
              <w:rPr>
                <w:color w:val="365F91"/>
              </w:rPr>
              <w:br/>
              <w:t>Orangeburg, NY</w:t>
            </w:r>
          </w:p>
        </w:tc>
      </w:tr>
      <w:tr w:rsidR="00CB0611" w:rsidTr="00EE6D00">
        <w:tc>
          <w:tcPr>
            <w:tcW w:w="558" w:type="dxa"/>
            <w:tcBorders>
              <w:left w:val="nil"/>
              <w:right w:val="nil"/>
            </w:tcBorders>
            <w:shd w:val="clear" w:color="auto" w:fill="D3DFEE"/>
          </w:tcPr>
          <w:p w:rsidR="00CB0611" w:rsidRPr="00EE6D00" w:rsidRDefault="00CB0611"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Mass flow controller, 0-5 sLPM</w:t>
            </w:r>
          </w:p>
        </w:tc>
        <w:tc>
          <w:tcPr>
            <w:tcW w:w="25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FC-260</w:t>
            </w:r>
          </w:p>
        </w:tc>
        <w:tc>
          <w:tcPr>
            <w:tcW w:w="3078"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Millipore (Tylan General)</w:t>
            </w:r>
          </w:p>
          <w:p w:rsidR="00CB0611" w:rsidRPr="00EE6D00" w:rsidRDefault="00CB0611" w:rsidP="00EE6D00">
            <w:pPr>
              <w:spacing w:after="0"/>
              <w:rPr>
                <w:color w:val="365F91"/>
              </w:rPr>
            </w:pPr>
            <w:r w:rsidRPr="00EE6D00">
              <w:rPr>
                <w:color w:val="365F91"/>
              </w:rPr>
              <w:t>Allen, TX</w:t>
            </w: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1</w:t>
            </w:r>
          </w:p>
        </w:tc>
        <w:tc>
          <w:tcPr>
            <w:tcW w:w="3420" w:type="dxa"/>
          </w:tcPr>
          <w:p w:rsidR="00CB0611" w:rsidRPr="00EE6D00" w:rsidRDefault="00CB0611" w:rsidP="00EE6D00">
            <w:pPr>
              <w:spacing w:after="0"/>
              <w:rPr>
                <w:color w:val="365F91"/>
              </w:rPr>
            </w:pPr>
            <w:r w:rsidRPr="00EE6D00">
              <w:rPr>
                <w:color w:val="365F91"/>
              </w:rPr>
              <w:t>Two-way NC 12V solenoid valve</w:t>
            </w:r>
          </w:p>
        </w:tc>
        <w:tc>
          <w:tcPr>
            <w:tcW w:w="2520" w:type="dxa"/>
          </w:tcPr>
          <w:p w:rsidR="00CB0611" w:rsidRPr="00EE6D00" w:rsidRDefault="00CB0611" w:rsidP="00EE6D00">
            <w:pPr>
              <w:spacing w:after="0"/>
              <w:rPr>
                <w:color w:val="365F91"/>
              </w:rPr>
            </w:pPr>
            <w:r w:rsidRPr="00EE6D00">
              <w:rPr>
                <w:color w:val="365F91"/>
              </w:rPr>
              <w:t>C-01367-70</w:t>
            </w:r>
          </w:p>
        </w:tc>
        <w:tc>
          <w:tcPr>
            <w:tcW w:w="3078" w:type="dxa"/>
          </w:tcPr>
          <w:p w:rsidR="00CB0611" w:rsidRPr="00EE6D00" w:rsidRDefault="00CB0611" w:rsidP="00EE6D00">
            <w:pPr>
              <w:spacing w:after="0"/>
              <w:rPr>
                <w:color w:val="365F91"/>
              </w:rPr>
            </w:pPr>
            <w:r w:rsidRPr="00EE6D00">
              <w:rPr>
                <w:color w:val="365F91"/>
              </w:rPr>
              <w:t>Cole Parmer; Vernon Hills, IL</w:t>
            </w:r>
          </w:p>
        </w:tc>
      </w:tr>
      <w:tr w:rsidR="00CB0611" w:rsidTr="00EE6D00">
        <w:tc>
          <w:tcPr>
            <w:tcW w:w="558" w:type="dxa"/>
            <w:tcBorders>
              <w:left w:val="nil"/>
              <w:right w:val="nil"/>
            </w:tcBorders>
            <w:shd w:val="clear" w:color="auto" w:fill="D3DFEE"/>
          </w:tcPr>
          <w:p w:rsidR="00CB0611" w:rsidRPr="00EE6D00" w:rsidRDefault="00CB0611" w:rsidP="00EE6D00">
            <w:pPr>
              <w:spacing w:after="0"/>
              <w:jc w:val="center"/>
              <w:rPr>
                <w:b/>
                <w:bCs/>
                <w:color w:val="365F91"/>
              </w:rPr>
            </w:pPr>
            <w:r w:rsidRPr="00EE6D00">
              <w:rPr>
                <w:b/>
                <w:bCs/>
                <w:color w:val="365F91"/>
              </w:rPr>
              <w:t>1</w:t>
            </w:r>
          </w:p>
        </w:tc>
        <w:tc>
          <w:tcPr>
            <w:tcW w:w="34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Mounting tripod &amp; arms</w:t>
            </w:r>
          </w:p>
        </w:tc>
        <w:tc>
          <w:tcPr>
            <w:tcW w:w="2520" w:type="dxa"/>
            <w:tcBorders>
              <w:left w:val="nil"/>
              <w:right w:val="nil"/>
            </w:tcBorders>
            <w:shd w:val="clear" w:color="auto" w:fill="D3DFEE"/>
          </w:tcPr>
          <w:p w:rsidR="00CB0611" w:rsidRPr="00EE6D00" w:rsidRDefault="00CB0611" w:rsidP="00EE6D00">
            <w:pPr>
              <w:spacing w:after="0"/>
              <w:rPr>
                <w:color w:val="365F91"/>
              </w:rPr>
            </w:pPr>
          </w:p>
        </w:tc>
        <w:tc>
          <w:tcPr>
            <w:tcW w:w="3078" w:type="dxa"/>
            <w:tcBorders>
              <w:left w:val="nil"/>
              <w:right w:val="nil"/>
            </w:tcBorders>
            <w:shd w:val="clear" w:color="auto" w:fill="D3DFEE"/>
          </w:tcPr>
          <w:p w:rsidR="00CB0611" w:rsidRPr="00EE6D00" w:rsidRDefault="00CB0611" w:rsidP="00EE6D00">
            <w:pPr>
              <w:spacing w:after="0"/>
              <w:rPr>
                <w:color w:val="365F91"/>
              </w:rPr>
            </w:pP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w:t>
            </w:r>
          </w:p>
        </w:tc>
        <w:tc>
          <w:tcPr>
            <w:tcW w:w="3420" w:type="dxa"/>
          </w:tcPr>
          <w:p w:rsidR="00CB0611" w:rsidRPr="00EE6D00" w:rsidRDefault="00CB0611" w:rsidP="00EE6D00">
            <w:pPr>
              <w:spacing w:after="0"/>
              <w:rPr>
                <w:color w:val="365F91"/>
              </w:rPr>
            </w:pPr>
            <w:r w:rsidRPr="00EE6D00">
              <w:rPr>
                <w:color w:val="365F91"/>
              </w:rPr>
              <w:t>Misc. “Swagelok” fittings</w:t>
            </w:r>
          </w:p>
        </w:tc>
        <w:tc>
          <w:tcPr>
            <w:tcW w:w="2520" w:type="dxa"/>
          </w:tcPr>
          <w:p w:rsidR="00CB0611" w:rsidRPr="00EE6D00" w:rsidRDefault="00CB0611" w:rsidP="00EE6D00">
            <w:pPr>
              <w:spacing w:after="0"/>
              <w:rPr>
                <w:color w:val="365F91"/>
              </w:rPr>
            </w:pPr>
          </w:p>
        </w:tc>
        <w:tc>
          <w:tcPr>
            <w:tcW w:w="3078" w:type="dxa"/>
          </w:tcPr>
          <w:p w:rsidR="00CB0611" w:rsidRPr="00EE6D00" w:rsidRDefault="00CB0611" w:rsidP="00EE6D00">
            <w:pPr>
              <w:spacing w:after="0"/>
              <w:rPr>
                <w:color w:val="365F91"/>
              </w:rPr>
            </w:pPr>
          </w:p>
        </w:tc>
      </w:tr>
      <w:tr w:rsidR="00CB0611" w:rsidTr="00EE6D00">
        <w:tc>
          <w:tcPr>
            <w:tcW w:w="558" w:type="dxa"/>
            <w:tcBorders>
              <w:left w:val="nil"/>
              <w:right w:val="nil"/>
            </w:tcBorders>
            <w:shd w:val="clear" w:color="auto" w:fill="D3DFEE"/>
          </w:tcPr>
          <w:p w:rsidR="00CB0611" w:rsidRPr="00EE6D00" w:rsidRDefault="00CB0611" w:rsidP="00EE6D00">
            <w:pPr>
              <w:spacing w:after="0"/>
              <w:jc w:val="center"/>
              <w:rPr>
                <w:b/>
                <w:bCs/>
                <w:color w:val="365F91"/>
              </w:rPr>
            </w:pPr>
            <w:r w:rsidRPr="00EE6D00">
              <w:rPr>
                <w:b/>
                <w:bCs/>
                <w:color w:val="365F91"/>
              </w:rPr>
              <w:t>-</w:t>
            </w:r>
          </w:p>
        </w:tc>
        <w:tc>
          <w:tcPr>
            <w:tcW w:w="3420" w:type="dxa"/>
            <w:tcBorders>
              <w:left w:val="nil"/>
              <w:right w:val="nil"/>
            </w:tcBorders>
            <w:shd w:val="clear" w:color="auto" w:fill="D3DFEE"/>
          </w:tcPr>
          <w:p w:rsidR="00CB0611" w:rsidRPr="00EE6D00" w:rsidRDefault="00CB0611" w:rsidP="00EE6D00">
            <w:pPr>
              <w:spacing w:after="0"/>
              <w:rPr>
                <w:color w:val="365F91"/>
              </w:rPr>
            </w:pPr>
            <w:r w:rsidRPr="00EE6D00">
              <w:rPr>
                <w:color w:val="365F91"/>
              </w:rPr>
              <w:t>3/8” tubing</w:t>
            </w:r>
          </w:p>
        </w:tc>
        <w:tc>
          <w:tcPr>
            <w:tcW w:w="2520" w:type="dxa"/>
            <w:tcBorders>
              <w:left w:val="nil"/>
              <w:right w:val="nil"/>
            </w:tcBorders>
            <w:shd w:val="clear" w:color="auto" w:fill="D3DFEE"/>
          </w:tcPr>
          <w:p w:rsidR="00CB0611" w:rsidRPr="00EE6D00" w:rsidRDefault="00CB0611" w:rsidP="00EE6D00">
            <w:pPr>
              <w:spacing w:after="0"/>
              <w:rPr>
                <w:color w:val="365F91"/>
              </w:rPr>
            </w:pPr>
          </w:p>
        </w:tc>
        <w:tc>
          <w:tcPr>
            <w:tcW w:w="3078" w:type="dxa"/>
            <w:tcBorders>
              <w:left w:val="nil"/>
              <w:right w:val="nil"/>
            </w:tcBorders>
            <w:shd w:val="clear" w:color="auto" w:fill="D3DFEE"/>
          </w:tcPr>
          <w:p w:rsidR="00CB0611" w:rsidRPr="00EE6D00" w:rsidRDefault="00CB0611" w:rsidP="00EE6D00">
            <w:pPr>
              <w:spacing w:after="0"/>
              <w:rPr>
                <w:color w:val="365F91"/>
              </w:rPr>
            </w:pPr>
          </w:p>
        </w:tc>
      </w:tr>
      <w:tr w:rsidR="00CB0611" w:rsidTr="00EE6D00">
        <w:tc>
          <w:tcPr>
            <w:tcW w:w="558" w:type="dxa"/>
          </w:tcPr>
          <w:p w:rsidR="00CB0611" w:rsidRPr="00EE6D00" w:rsidRDefault="00CB0611" w:rsidP="00EE6D00">
            <w:pPr>
              <w:spacing w:after="0"/>
              <w:jc w:val="center"/>
              <w:rPr>
                <w:b/>
                <w:bCs/>
                <w:color w:val="365F91"/>
              </w:rPr>
            </w:pPr>
            <w:r w:rsidRPr="00EE6D00">
              <w:rPr>
                <w:b/>
                <w:bCs/>
                <w:color w:val="365F91"/>
              </w:rPr>
              <w:t>-</w:t>
            </w:r>
          </w:p>
        </w:tc>
        <w:tc>
          <w:tcPr>
            <w:tcW w:w="3420" w:type="dxa"/>
          </w:tcPr>
          <w:p w:rsidR="00CB0611" w:rsidRPr="00EE6D00" w:rsidRDefault="00CB0611" w:rsidP="00EE6D00">
            <w:pPr>
              <w:spacing w:after="0"/>
              <w:rPr>
                <w:color w:val="365F91"/>
              </w:rPr>
            </w:pPr>
            <w:r w:rsidRPr="00EE6D00">
              <w:rPr>
                <w:color w:val="365F91"/>
              </w:rPr>
              <w:t>1/4" tubing</w:t>
            </w:r>
          </w:p>
        </w:tc>
        <w:tc>
          <w:tcPr>
            <w:tcW w:w="2520" w:type="dxa"/>
          </w:tcPr>
          <w:p w:rsidR="00CB0611" w:rsidRPr="00EE6D00" w:rsidRDefault="00CB0611" w:rsidP="00EE6D00">
            <w:pPr>
              <w:spacing w:after="0"/>
              <w:rPr>
                <w:color w:val="365F91"/>
              </w:rPr>
            </w:pPr>
          </w:p>
        </w:tc>
        <w:tc>
          <w:tcPr>
            <w:tcW w:w="3078" w:type="dxa"/>
          </w:tcPr>
          <w:p w:rsidR="00CB0611" w:rsidRPr="00EE6D00" w:rsidRDefault="00CB0611" w:rsidP="00EE6D00">
            <w:pPr>
              <w:spacing w:after="0"/>
              <w:rPr>
                <w:color w:val="365F91"/>
              </w:rPr>
            </w:pPr>
          </w:p>
        </w:tc>
      </w:tr>
    </w:tbl>
    <w:p w:rsidR="005E5950" w:rsidRDefault="005E5950"/>
    <w:p w:rsidR="0096569F" w:rsidRDefault="00394969">
      <w:r>
        <w:br w:type="page"/>
      </w:r>
      <w:r>
        <w:lastRenderedPageBreak/>
        <w:t>Each ChemComb 3500 denuder is composed of the following parts:</w:t>
      </w:r>
    </w:p>
    <w:tbl>
      <w:tblPr>
        <w:tblW w:w="5000" w:type="pct"/>
        <w:tblBorders>
          <w:top w:val="single" w:sz="8" w:space="0" w:color="4F81BD"/>
          <w:bottom w:val="single" w:sz="8" w:space="0" w:color="4F81BD"/>
        </w:tblBorders>
        <w:tblLook w:val="04A0"/>
      </w:tblPr>
      <w:tblGrid>
        <w:gridCol w:w="642"/>
        <w:gridCol w:w="4866"/>
        <w:gridCol w:w="2899"/>
        <w:gridCol w:w="2609"/>
      </w:tblGrid>
      <w:tr w:rsidR="00F7738A" w:rsidTr="00881E06">
        <w:tc>
          <w:tcPr>
            <w:tcW w:w="558" w:type="dxa"/>
            <w:tcBorders>
              <w:top w:val="single" w:sz="8" w:space="0" w:color="4F81BD"/>
              <w:left w:val="nil"/>
              <w:bottom w:val="single" w:sz="8" w:space="0" w:color="4F81BD"/>
              <w:right w:val="nil"/>
            </w:tcBorders>
          </w:tcPr>
          <w:p w:rsidR="00952B42" w:rsidRPr="00952B42" w:rsidRDefault="00952B42" w:rsidP="00952B42">
            <w:pPr>
              <w:spacing w:after="0"/>
              <w:rPr>
                <w:b/>
                <w:bCs/>
                <w:color w:val="365F91"/>
              </w:rPr>
            </w:pPr>
            <w:r w:rsidRPr="00952B42">
              <w:rPr>
                <w:b/>
                <w:bCs/>
                <w:color w:val="365F91"/>
              </w:rPr>
              <w:t>Qty</w:t>
            </w:r>
          </w:p>
        </w:tc>
        <w:tc>
          <w:tcPr>
            <w:tcW w:w="4230" w:type="dxa"/>
            <w:tcBorders>
              <w:top w:val="single" w:sz="8" w:space="0" w:color="4F81BD"/>
              <w:left w:val="nil"/>
              <w:bottom w:val="single" w:sz="8" w:space="0" w:color="4F81BD"/>
              <w:right w:val="nil"/>
            </w:tcBorders>
          </w:tcPr>
          <w:p w:rsidR="00952B42" w:rsidRPr="00952B42" w:rsidRDefault="00952B42" w:rsidP="00952B42">
            <w:pPr>
              <w:spacing w:after="0"/>
              <w:rPr>
                <w:b/>
                <w:bCs/>
                <w:color w:val="365F91"/>
              </w:rPr>
            </w:pPr>
            <w:r w:rsidRPr="00952B42">
              <w:rPr>
                <w:b/>
                <w:bCs/>
                <w:color w:val="365F91"/>
              </w:rPr>
              <w:t>Component</w:t>
            </w:r>
          </w:p>
        </w:tc>
        <w:tc>
          <w:tcPr>
            <w:tcW w:w="2520" w:type="dxa"/>
            <w:tcBorders>
              <w:top w:val="single" w:sz="8" w:space="0" w:color="4F81BD"/>
              <w:left w:val="nil"/>
              <w:bottom w:val="single" w:sz="8" w:space="0" w:color="4F81BD"/>
              <w:right w:val="nil"/>
            </w:tcBorders>
          </w:tcPr>
          <w:p w:rsidR="00952B42" w:rsidRPr="00952B42" w:rsidRDefault="00952B42" w:rsidP="00952B42">
            <w:pPr>
              <w:spacing w:after="0"/>
              <w:rPr>
                <w:b/>
                <w:bCs/>
                <w:color w:val="365F91"/>
              </w:rPr>
            </w:pPr>
            <w:r w:rsidRPr="00952B42">
              <w:rPr>
                <w:b/>
                <w:bCs/>
                <w:color w:val="365F91"/>
              </w:rPr>
              <w:t>Thermo Part #</w:t>
            </w:r>
          </w:p>
        </w:tc>
        <w:tc>
          <w:tcPr>
            <w:tcW w:w="2268" w:type="dxa"/>
            <w:tcBorders>
              <w:top w:val="single" w:sz="8" w:space="0" w:color="4F81BD"/>
              <w:left w:val="nil"/>
              <w:bottom w:val="single" w:sz="8" w:space="0" w:color="4F81BD"/>
              <w:right w:val="nil"/>
            </w:tcBorders>
          </w:tcPr>
          <w:p w:rsidR="00952B42" w:rsidRPr="00952B42" w:rsidRDefault="00881E06" w:rsidP="00952B42">
            <w:pPr>
              <w:spacing w:after="0"/>
              <w:rPr>
                <w:b/>
                <w:bCs/>
                <w:color w:val="365F91"/>
              </w:rPr>
            </w:pPr>
            <w:r>
              <w:rPr>
                <w:b/>
                <w:bCs/>
                <w:color w:val="365F91"/>
              </w:rPr>
              <w:t>Quantity per cartridge</w:t>
            </w:r>
          </w:p>
        </w:tc>
      </w:tr>
      <w:tr w:rsidR="00F7738A" w:rsidTr="00881E06">
        <w:tc>
          <w:tcPr>
            <w:tcW w:w="558" w:type="dxa"/>
            <w:tcBorders>
              <w:left w:val="nil"/>
              <w:right w:val="nil"/>
            </w:tcBorders>
            <w:shd w:val="clear" w:color="auto" w:fill="D3DFEE"/>
          </w:tcPr>
          <w:p w:rsidR="00952B42" w:rsidRPr="00952B42" w:rsidRDefault="00952B42" w:rsidP="00952B42">
            <w:pPr>
              <w:spacing w:after="0"/>
              <w:jc w:val="center"/>
              <w:rPr>
                <w:b/>
                <w:bCs/>
                <w:color w:val="365F91"/>
              </w:rPr>
            </w:pPr>
            <w:r w:rsidRPr="00952B42">
              <w:rPr>
                <w:b/>
                <w:bCs/>
                <w:color w:val="365F91"/>
              </w:rPr>
              <w:t>1</w:t>
            </w:r>
          </w:p>
        </w:tc>
        <w:tc>
          <w:tcPr>
            <w:tcW w:w="423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Inlet Cap</w:t>
            </w:r>
          </w:p>
        </w:tc>
        <w:tc>
          <w:tcPr>
            <w:tcW w:w="252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30-006127</w:t>
            </w:r>
          </w:p>
        </w:tc>
        <w:tc>
          <w:tcPr>
            <w:tcW w:w="2268" w:type="dxa"/>
            <w:tcBorders>
              <w:left w:val="nil"/>
              <w:right w:val="nil"/>
            </w:tcBorders>
            <w:shd w:val="clear" w:color="auto" w:fill="D3DFEE"/>
          </w:tcPr>
          <w:p w:rsidR="00952B42" w:rsidRPr="00952B42" w:rsidRDefault="00881E06" w:rsidP="00952B42">
            <w:pPr>
              <w:spacing w:after="0"/>
              <w:jc w:val="center"/>
              <w:rPr>
                <w:color w:val="365F91"/>
              </w:rPr>
            </w:pPr>
            <w:r>
              <w:rPr>
                <w:color w:val="365F91"/>
              </w:rPr>
              <w:t>1</w:t>
            </w:r>
          </w:p>
        </w:tc>
      </w:tr>
      <w:tr w:rsidR="00F7738A" w:rsidTr="00881E06">
        <w:tc>
          <w:tcPr>
            <w:tcW w:w="558" w:type="dxa"/>
          </w:tcPr>
          <w:p w:rsidR="00952B42" w:rsidRPr="00952B42" w:rsidRDefault="00952B42" w:rsidP="00952B42">
            <w:pPr>
              <w:spacing w:after="0"/>
              <w:jc w:val="center"/>
              <w:rPr>
                <w:b/>
                <w:bCs/>
                <w:color w:val="365F91"/>
              </w:rPr>
            </w:pPr>
            <w:r w:rsidRPr="00952B42">
              <w:rPr>
                <w:b/>
                <w:bCs/>
                <w:color w:val="365F91"/>
              </w:rPr>
              <w:t>1</w:t>
            </w:r>
          </w:p>
        </w:tc>
        <w:tc>
          <w:tcPr>
            <w:tcW w:w="4230" w:type="dxa"/>
          </w:tcPr>
          <w:p w:rsidR="00952B42" w:rsidRPr="00952B42" w:rsidRDefault="00952B42" w:rsidP="00952B42">
            <w:pPr>
              <w:spacing w:after="0"/>
              <w:rPr>
                <w:color w:val="365F91"/>
              </w:rPr>
            </w:pPr>
            <w:r w:rsidRPr="00952B42">
              <w:rPr>
                <w:color w:val="365F91"/>
              </w:rPr>
              <w:t>PM2.5 inlet, 10L/min, PTFE</w:t>
            </w:r>
          </w:p>
        </w:tc>
        <w:tc>
          <w:tcPr>
            <w:tcW w:w="2520" w:type="dxa"/>
          </w:tcPr>
          <w:p w:rsidR="00952B42" w:rsidRPr="00952B42" w:rsidRDefault="00952B42" w:rsidP="00952B42">
            <w:pPr>
              <w:spacing w:after="0"/>
              <w:rPr>
                <w:color w:val="365F91"/>
              </w:rPr>
            </w:pPr>
            <w:r w:rsidRPr="00952B42">
              <w:rPr>
                <w:color w:val="365F91"/>
              </w:rPr>
              <w:t>55-006038-T100</w:t>
            </w:r>
          </w:p>
        </w:tc>
        <w:tc>
          <w:tcPr>
            <w:tcW w:w="2268" w:type="dxa"/>
          </w:tcPr>
          <w:p w:rsidR="00952B42" w:rsidRPr="00952B42" w:rsidRDefault="00881E06" w:rsidP="00952B42">
            <w:pPr>
              <w:spacing w:after="0"/>
              <w:jc w:val="center"/>
              <w:rPr>
                <w:color w:val="365F91"/>
              </w:rPr>
            </w:pPr>
            <w:r>
              <w:rPr>
                <w:color w:val="365F91"/>
              </w:rPr>
              <w:t>1</w:t>
            </w:r>
          </w:p>
        </w:tc>
      </w:tr>
      <w:tr w:rsidR="00F7738A" w:rsidTr="00881E06">
        <w:tc>
          <w:tcPr>
            <w:tcW w:w="558" w:type="dxa"/>
            <w:tcBorders>
              <w:left w:val="nil"/>
              <w:right w:val="nil"/>
            </w:tcBorders>
            <w:shd w:val="clear" w:color="auto" w:fill="D3DFEE"/>
          </w:tcPr>
          <w:p w:rsidR="00952B42" w:rsidRPr="00952B42" w:rsidRDefault="00952B42" w:rsidP="00952B42">
            <w:pPr>
              <w:spacing w:after="0"/>
              <w:jc w:val="center"/>
              <w:rPr>
                <w:b/>
                <w:bCs/>
                <w:color w:val="365F91"/>
              </w:rPr>
            </w:pPr>
            <w:r w:rsidRPr="00952B42">
              <w:rPr>
                <w:b/>
                <w:bCs/>
                <w:color w:val="365F91"/>
              </w:rPr>
              <w:t>1</w:t>
            </w:r>
          </w:p>
        </w:tc>
        <w:tc>
          <w:tcPr>
            <w:tcW w:w="423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Impactor plate</w:t>
            </w:r>
          </w:p>
        </w:tc>
        <w:tc>
          <w:tcPr>
            <w:tcW w:w="252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55-006040</w:t>
            </w:r>
          </w:p>
        </w:tc>
        <w:tc>
          <w:tcPr>
            <w:tcW w:w="2268" w:type="dxa"/>
            <w:tcBorders>
              <w:left w:val="nil"/>
              <w:right w:val="nil"/>
            </w:tcBorders>
            <w:shd w:val="clear" w:color="auto" w:fill="D3DFEE"/>
          </w:tcPr>
          <w:p w:rsidR="00952B42" w:rsidRPr="00952B42" w:rsidRDefault="00881E06" w:rsidP="00952B42">
            <w:pPr>
              <w:spacing w:after="0"/>
              <w:jc w:val="center"/>
              <w:rPr>
                <w:color w:val="365F91"/>
              </w:rPr>
            </w:pPr>
            <w:r>
              <w:rPr>
                <w:color w:val="365F91"/>
              </w:rPr>
              <w:t>1</w:t>
            </w:r>
          </w:p>
        </w:tc>
      </w:tr>
      <w:tr w:rsidR="00F7738A" w:rsidTr="00881E06">
        <w:tc>
          <w:tcPr>
            <w:tcW w:w="558" w:type="dxa"/>
          </w:tcPr>
          <w:p w:rsidR="00952B42" w:rsidRPr="00952B42" w:rsidRDefault="00952B42" w:rsidP="00952B42">
            <w:pPr>
              <w:spacing w:after="0"/>
              <w:jc w:val="center"/>
              <w:rPr>
                <w:b/>
                <w:bCs/>
                <w:color w:val="365F91"/>
              </w:rPr>
            </w:pPr>
            <w:r w:rsidRPr="00952B42">
              <w:rPr>
                <w:b/>
                <w:bCs/>
                <w:color w:val="365F91"/>
              </w:rPr>
              <w:t>1</w:t>
            </w:r>
          </w:p>
        </w:tc>
        <w:tc>
          <w:tcPr>
            <w:tcW w:w="4230" w:type="dxa"/>
          </w:tcPr>
          <w:p w:rsidR="00952B42" w:rsidRPr="00952B42" w:rsidRDefault="00952B42" w:rsidP="00952B42">
            <w:pPr>
              <w:spacing w:after="0"/>
              <w:rPr>
                <w:color w:val="365F91"/>
              </w:rPr>
            </w:pPr>
            <w:r w:rsidRPr="00952B42">
              <w:rPr>
                <w:color w:val="365F91"/>
              </w:rPr>
              <w:t>Long length housing</w:t>
            </w:r>
          </w:p>
        </w:tc>
        <w:tc>
          <w:tcPr>
            <w:tcW w:w="2520" w:type="dxa"/>
          </w:tcPr>
          <w:p w:rsidR="00952B42" w:rsidRPr="00952B42" w:rsidRDefault="00952B42" w:rsidP="00952B42">
            <w:pPr>
              <w:spacing w:after="0"/>
              <w:rPr>
                <w:color w:val="365F91"/>
              </w:rPr>
            </w:pPr>
            <w:r w:rsidRPr="00952B42">
              <w:rPr>
                <w:color w:val="365F91"/>
              </w:rPr>
              <w:t>55-008909</w:t>
            </w:r>
          </w:p>
        </w:tc>
        <w:tc>
          <w:tcPr>
            <w:tcW w:w="2268" w:type="dxa"/>
          </w:tcPr>
          <w:p w:rsidR="00952B42" w:rsidRPr="00952B42" w:rsidRDefault="00881E06" w:rsidP="00952B42">
            <w:pPr>
              <w:spacing w:after="0"/>
              <w:jc w:val="center"/>
              <w:rPr>
                <w:color w:val="365F91"/>
              </w:rPr>
            </w:pPr>
            <w:r>
              <w:rPr>
                <w:color w:val="365F91"/>
              </w:rPr>
              <w:t>1</w:t>
            </w:r>
          </w:p>
        </w:tc>
      </w:tr>
      <w:tr w:rsidR="00F7738A" w:rsidTr="00881E06">
        <w:tc>
          <w:tcPr>
            <w:tcW w:w="558" w:type="dxa"/>
            <w:tcBorders>
              <w:left w:val="nil"/>
              <w:right w:val="nil"/>
            </w:tcBorders>
            <w:shd w:val="clear" w:color="auto" w:fill="D3DFEE"/>
          </w:tcPr>
          <w:p w:rsidR="00952B42" w:rsidRPr="00952B42" w:rsidRDefault="00952B42" w:rsidP="00952B42">
            <w:pPr>
              <w:spacing w:after="0"/>
              <w:jc w:val="center"/>
              <w:rPr>
                <w:b/>
                <w:bCs/>
                <w:color w:val="365F91"/>
              </w:rPr>
            </w:pPr>
            <w:r w:rsidRPr="00952B42">
              <w:rPr>
                <w:b/>
                <w:bCs/>
                <w:color w:val="365F91"/>
              </w:rPr>
              <w:t>3</w:t>
            </w:r>
          </w:p>
        </w:tc>
        <w:tc>
          <w:tcPr>
            <w:tcW w:w="423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Glass stand-off</w:t>
            </w:r>
          </w:p>
        </w:tc>
        <w:tc>
          <w:tcPr>
            <w:tcW w:w="252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24-006041</w:t>
            </w:r>
          </w:p>
        </w:tc>
        <w:tc>
          <w:tcPr>
            <w:tcW w:w="2268" w:type="dxa"/>
            <w:tcBorders>
              <w:left w:val="nil"/>
              <w:right w:val="nil"/>
            </w:tcBorders>
            <w:shd w:val="clear" w:color="auto" w:fill="D3DFEE"/>
          </w:tcPr>
          <w:p w:rsidR="00952B42" w:rsidRPr="00952B42" w:rsidRDefault="00D643AC" w:rsidP="00952B42">
            <w:pPr>
              <w:spacing w:after="0"/>
              <w:jc w:val="center"/>
              <w:rPr>
                <w:color w:val="365F91"/>
              </w:rPr>
            </w:pPr>
            <w:r>
              <w:rPr>
                <w:color w:val="365F91"/>
              </w:rPr>
              <w:t>1-5*</w:t>
            </w:r>
          </w:p>
        </w:tc>
      </w:tr>
      <w:tr w:rsidR="00F7738A" w:rsidTr="00881E06">
        <w:tc>
          <w:tcPr>
            <w:tcW w:w="558" w:type="dxa"/>
          </w:tcPr>
          <w:p w:rsidR="00952B42" w:rsidRPr="00952B42" w:rsidRDefault="00952B42" w:rsidP="00952B42">
            <w:pPr>
              <w:spacing w:after="0"/>
              <w:jc w:val="center"/>
              <w:rPr>
                <w:b/>
                <w:bCs/>
                <w:color w:val="365F91"/>
              </w:rPr>
            </w:pPr>
            <w:r w:rsidRPr="00952B42">
              <w:rPr>
                <w:b/>
                <w:bCs/>
                <w:color w:val="365F91"/>
              </w:rPr>
              <w:t>5</w:t>
            </w:r>
          </w:p>
        </w:tc>
        <w:tc>
          <w:tcPr>
            <w:tcW w:w="4230" w:type="dxa"/>
          </w:tcPr>
          <w:p w:rsidR="00952B42" w:rsidRPr="00952B42" w:rsidRDefault="00952B42" w:rsidP="00952B42">
            <w:pPr>
              <w:spacing w:after="0"/>
              <w:rPr>
                <w:color w:val="365F91"/>
              </w:rPr>
            </w:pPr>
            <w:r w:rsidRPr="00952B42">
              <w:rPr>
                <w:color w:val="365F91"/>
              </w:rPr>
              <w:t>Spacer</w:t>
            </w:r>
          </w:p>
        </w:tc>
        <w:tc>
          <w:tcPr>
            <w:tcW w:w="2520" w:type="dxa"/>
          </w:tcPr>
          <w:p w:rsidR="00952B42" w:rsidRPr="00952B42" w:rsidRDefault="00952B42" w:rsidP="00952B42">
            <w:pPr>
              <w:spacing w:after="0"/>
              <w:rPr>
                <w:color w:val="365F91"/>
              </w:rPr>
            </w:pPr>
            <w:r w:rsidRPr="00952B42">
              <w:rPr>
                <w:color w:val="365F91"/>
              </w:rPr>
              <w:t>36-006042</w:t>
            </w:r>
          </w:p>
        </w:tc>
        <w:tc>
          <w:tcPr>
            <w:tcW w:w="2268" w:type="dxa"/>
          </w:tcPr>
          <w:p w:rsidR="00952B42" w:rsidRPr="00952B42" w:rsidRDefault="00881E06" w:rsidP="00952B42">
            <w:pPr>
              <w:spacing w:after="0"/>
              <w:jc w:val="center"/>
              <w:rPr>
                <w:color w:val="365F91"/>
              </w:rPr>
            </w:pPr>
            <w:r>
              <w:rPr>
                <w:color w:val="365F91"/>
              </w:rPr>
              <w:t>5</w:t>
            </w:r>
          </w:p>
        </w:tc>
      </w:tr>
      <w:tr w:rsidR="00F7738A" w:rsidTr="00881E06">
        <w:tc>
          <w:tcPr>
            <w:tcW w:w="558" w:type="dxa"/>
            <w:tcBorders>
              <w:left w:val="nil"/>
              <w:right w:val="nil"/>
            </w:tcBorders>
            <w:shd w:val="clear" w:color="auto" w:fill="D3DFEE"/>
          </w:tcPr>
          <w:p w:rsidR="00952B42" w:rsidRPr="00952B42" w:rsidRDefault="00952B42" w:rsidP="00952B42">
            <w:pPr>
              <w:spacing w:after="0"/>
              <w:jc w:val="center"/>
              <w:rPr>
                <w:b/>
                <w:bCs/>
                <w:color w:val="365F91"/>
              </w:rPr>
            </w:pPr>
            <w:r w:rsidRPr="00952B42">
              <w:rPr>
                <w:b/>
                <w:bCs/>
                <w:color w:val="365F91"/>
              </w:rPr>
              <w:t>2</w:t>
            </w:r>
          </w:p>
        </w:tc>
        <w:tc>
          <w:tcPr>
            <w:tcW w:w="423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Honeycomb denuder, glass</w:t>
            </w:r>
          </w:p>
        </w:tc>
        <w:tc>
          <w:tcPr>
            <w:tcW w:w="252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55-006171</w:t>
            </w:r>
          </w:p>
        </w:tc>
        <w:tc>
          <w:tcPr>
            <w:tcW w:w="2268" w:type="dxa"/>
            <w:tcBorders>
              <w:left w:val="nil"/>
              <w:right w:val="nil"/>
            </w:tcBorders>
            <w:shd w:val="clear" w:color="auto" w:fill="D3DFEE"/>
          </w:tcPr>
          <w:p w:rsidR="00952B42" w:rsidRPr="00952B42" w:rsidRDefault="00881E06" w:rsidP="00952B42">
            <w:pPr>
              <w:spacing w:after="0"/>
              <w:jc w:val="center"/>
              <w:rPr>
                <w:color w:val="365F91"/>
              </w:rPr>
            </w:pPr>
            <w:r>
              <w:rPr>
                <w:color w:val="365F91"/>
              </w:rPr>
              <w:t>2</w:t>
            </w:r>
            <w:r w:rsidR="00D643AC">
              <w:rPr>
                <w:color w:val="365F91"/>
              </w:rPr>
              <w:t>-4*</w:t>
            </w:r>
          </w:p>
        </w:tc>
      </w:tr>
      <w:tr w:rsidR="00F7738A" w:rsidTr="00881E06">
        <w:tc>
          <w:tcPr>
            <w:tcW w:w="558" w:type="dxa"/>
          </w:tcPr>
          <w:p w:rsidR="00952B42" w:rsidRPr="00952B42" w:rsidRDefault="00952B42" w:rsidP="00952B42">
            <w:pPr>
              <w:spacing w:after="0"/>
              <w:jc w:val="center"/>
              <w:rPr>
                <w:b/>
                <w:bCs/>
                <w:color w:val="365F91"/>
              </w:rPr>
            </w:pPr>
            <w:r w:rsidRPr="00952B42">
              <w:rPr>
                <w:b/>
                <w:bCs/>
                <w:color w:val="365F91"/>
              </w:rPr>
              <w:t>1</w:t>
            </w:r>
          </w:p>
        </w:tc>
        <w:tc>
          <w:tcPr>
            <w:tcW w:w="4230" w:type="dxa"/>
          </w:tcPr>
          <w:p w:rsidR="00952B42" w:rsidRPr="00952B42" w:rsidRDefault="00952B42" w:rsidP="00952B42">
            <w:pPr>
              <w:spacing w:after="0"/>
              <w:rPr>
                <w:color w:val="365F91"/>
              </w:rPr>
            </w:pPr>
            <w:r w:rsidRPr="00952B42">
              <w:rPr>
                <w:color w:val="365F91"/>
              </w:rPr>
              <w:t>Spring</w:t>
            </w:r>
          </w:p>
        </w:tc>
        <w:tc>
          <w:tcPr>
            <w:tcW w:w="2520" w:type="dxa"/>
          </w:tcPr>
          <w:p w:rsidR="00952B42" w:rsidRPr="00952B42" w:rsidRDefault="00952B42" w:rsidP="00952B42">
            <w:pPr>
              <w:spacing w:after="0"/>
              <w:rPr>
                <w:color w:val="365F91"/>
              </w:rPr>
            </w:pPr>
            <w:r w:rsidRPr="00952B42">
              <w:rPr>
                <w:color w:val="365F91"/>
              </w:rPr>
              <w:t>30-006044</w:t>
            </w:r>
          </w:p>
        </w:tc>
        <w:tc>
          <w:tcPr>
            <w:tcW w:w="2268" w:type="dxa"/>
          </w:tcPr>
          <w:p w:rsidR="00952B42" w:rsidRPr="00952B42" w:rsidRDefault="00881E06" w:rsidP="00952B42">
            <w:pPr>
              <w:spacing w:after="0"/>
              <w:jc w:val="center"/>
              <w:rPr>
                <w:color w:val="365F91"/>
              </w:rPr>
            </w:pPr>
            <w:r>
              <w:rPr>
                <w:color w:val="365F91"/>
              </w:rPr>
              <w:t>1</w:t>
            </w:r>
          </w:p>
        </w:tc>
      </w:tr>
      <w:tr w:rsidR="00F7738A" w:rsidTr="00881E06">
        <w:tc>
          <w:tcPr>
            <w:tcW w:w="558" w:type="dxa"/>
            <w:tcBorders>
              <w:left w:val="nil"/>
              <w:right w:val="nil"/>
            </w:tcBorders>
            <w:shd w:val="clear" w:color="auto" w:fill="D3DFEE"/>
          </w:tcPr>
          <w:p w:rsidR="00952B42" w:rsidRPr="00952B42" w:rsidRDefault="00952B42" w:rsidP="00952B42">
            <w:pPr>
              <w:spacing w:after="0"/>
              <w:jc w:val="center"/>
              <w:rPr>
                <w:b/>
                <w:bCs/>
                <w:color w:val="365F91"/>
              </w:rPr>
            </w:pPr>
            <w:r w:rsidRPr="00952B42">
              <w:rPr>
                <w:b/>
                <w:bCs/>
                <w:color w:val="365F91"/>
              </w:rPr>
              <w:t>3</w:t>
            </w:r>
          </w:p>
        </w:tc>
        <w:tc>
          <w:tcPr>
            <w:tcW w:w="423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47mm filter stage assm, Teflon</w:t>
            </w:r>
          </w:p>
        </w:tc>
        <w:tc>
          <w:tcPr>
            <w:tcW w:w="252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55-006169</w:t>
            </w:r>
          </w:p>
        </w:tc>
        <w:tc>
          <w:tcPr>
            <w:tcW w:w="2268" w:type="dxa"/>
            <w:tcBorders>
              <w:left w:val="nil"/>
              <w:right w:val="nil"/>
            </w:tcBorders>
            <w:shd w:val="clear" w:color="auto" w:fill="D3DFEE"/>
          </w:tcPr>
          <w:p w:rsidR="00952B42" w:rsidRPr="00952B42" w:rsidRDefault="00D643AC" w:rsidP="00952B42">
            <w:pPr>
              <w:spacing w:after="0"/>
              <w:jc w:val="center"/>
              <w:rPr>
                <w:color w:val="365F91"/>
              </w:rPr>
            </w:pPr>
            <w:r>
              <w:rPr>
                <w:color w:val="365F91"/>
              </w:rPr>
              <w:t>3</w:t>
            </w:r>
          </w:p>
        </w:tc>
      </w:tr>
      <w:tr w:rsidR="00F7738A" w:rsidTr="00881E06">
        <w:tc>
          <w:tcPr>
            <w:tcW w:w="558" w:type="dxa"/>
          </w:tcPr>
          <w:p w:rsidR="00952B42" w:rsidRPr="00952B42" w:rsidRDefault="00952B42" w:rsidP="00952B42">
            <w:pPr>
              <w:spacing w:after="0"/>
              <w:jc w:val="center"/>
              <w:rPr>
                <w:b/>
                <w:bCs/>
                <w:color w:val="365F91"/>
              </w:rPr>
            </w:pPr>
            <w:r w:rsidRPr="00952B42">
              <w:rPr>
                <w:b/>
                <w:bCs/>
                <w:color w:val="365F91"/>
              </w:rPr>
              <w:t>1</w:t>
            </w:r>
          </w:p>
        </w:tc>
        <w:tc>
          <w:tcPr>
            <w:tcW w:w="4230" w:type="dxa"/>
          </w:tcPr>
          <w:p w:rsidR="00952B42" w:rsidRPr="00952B42" w:rsidRDefault="00952B42" w:rsidP="00952B42">
            <w:pPr>
              <w:spacing w:after="0"/>
              <w:rPr>
                <w:color w:val="365F91"/>
              </w:rPr>
            </w:pPr>
            <w:r w:rsidRPr="00952B42">
              <w:rPr>
                <w:color w:val="365F91"/>
              </w:rPr>
              <w:t>47mm filter holder, thread exit</w:t>
            </w:r>
          </w:p>
        </w:tc>
        <w:tc>
          <w:tcPr>
            <w:tcW w:w="2520" w:type="dxa"/>
          </w:tcPr>
          <w:p w:rsidR="00952B42" w:rsidRPr="00952B42" w:rsidRDefault="00952B42" w:rsidP="00952B42">
            <w:pPr>
              <w:spacing w:after="0"/>
              <w:rPr>
                <w:color w:val="365F91"/>
              </w:rPr>
            </w:pPr>
            <w:r w:rsidRPr="00952B42">
              <w:rPr>
                <w:color w:val="365F91"/>
              </w:rPr>
              <w:t>36-006048</w:t>
            </w:r>
          </w:p>
        </w:tc>
        <w:tc>
          <w:tcPr>
            <w:tcW w:w="2268" w:type="dxa"/>
          </w:tcPr>
          <w:p w:rsidR="00952B42" w:rsidRPr="00952B42" w:rsidRDefault="00D643AC" w:rsidP="00952B42">
            <w:pPr>
              <w:spacing w:after="0"/>
              <w:jc w:val="center"/>
              <w:rPr>
                <w:color w:val="365F91"/>
              </w:rPr>
            </w:pPr>
            <w:r>
              <w:rPr>
                <w:color w:val="365F91"/>
              </w:rPr>
              <w:t>1</w:t>
            </w:r>
          </w:p>
        </w:tc>
      </w:tr>
      <w:tr w:rsidR="00F7738A" w:rsidTr="00881E06">
        <w:tc>
          <w:tcPr>
            <w:tcW w:w="558" w:type="dxa"/>
            <w:tcBorders>
              <w:left w:val="nil"/>
              <w:right w:val="nil"/>
            </w:tcBorders>
            <w:shd w:val="clear" w:color="auto" w:fill="D3DFEE"/>
          </w:tcPr>
          <w:p w:rsidR="00952B42" w:rsidRPr="00952B42" w:rsidRDefault="00952B42" w:rsidP="00952B42">
            <w:pPr>
              <w:spacing w:after="0"/>
              <w:jc w:val="center"/>
              <w:rPr>
                <w:b/>
                <w:bCs/>
                <w:color w:val="365F91"/>
              </w:rPr>
            </w:pPr>
            <w:r w:rsidRPr="00952B42">
              <w:rPr>
                <w:b/>
                <w:bCs/>
                <w:color w:val="365F91"/>
              </w:rPr>
              <w:t>1</w:t>
            </w:r>
          </w:p>
        </w:tc>
        <w:tc>
          <w:tcPr>
            <w:tcW w:w="423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Filter holder housing (outlet)</w:t>
            </w:r>
          </w:p>
        </w:tc>
        <w:tc>
          <w:tcPr>
            <w:tcW w:w="252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55-006049-0004</w:t>
            </w:r>
          </w:p>
        </w:tc>
        <w:tc>
          <w:tcPr>
            <w:tcW w:w="2268" w:type="dxa"/>
            <w:tcBorders>
              <w:left w:val="nil"/>
              <w:right w:val="nil"/>
            </w:tcBorders>
            <w:shd w:val="clear" w:color="auto" w:fill="D3DFEE"/>
          </w:tcPr>
          <w:p w:rsidR="00952B42" w:rsidRPr="00952B42" w:rsidRDefault="00D643AC" w:rsidP="00952B42">
            <w:pPr>
              <w:spacing w:after="0"/>
              <w:jc w:val="center"/>
              <w:rPr>
                <w:color w:val="365F91"/>
              </w:rPr>
            </w:pPr>
            <w:r>
              <w:rPr>
                <w:color w:val="365F91"/>
              </w:rPr>
              <w:t>1</w:t>
            </w:r>
          </w:p>
        </w:tc>
      </w:tr>
      <w:tr w:rsidR="00F7738A" w:rsidTr="00881E06">
        <w:tc>
          <w:tcPr>
            <w:tcW w:w="558" w:type="dxa"/>
          </w:tcPr>
          <w:p w:rsidR="00952B42" w:rsidRPr="00952B42" w:rsidRDefault="00952B42" w:rsidP="00952B42">
            <w:pPr>
              <w:spacing w:after="0"/>
              <w:jc w:val="center"/>
              <w:rPr>
                <w:b/>
                <w:bCs/>
                <w:color w:val="365F91"/>
              </w:rPr>
            </w:pPr>
            <w:r w:rsidRPr="00952B42">
              <w:rPr>
                <w:b/>
                <w:bCs/>
                <w:color w:val="365F91"/>
              </w:rPr>
              <w:t>1</w:t>
            </w:r>
          </w:p>
        </w:tc>
        <w:tc>
          <w:tcPr>
            <w:tcW w:w="4230" w:type="dxa"/>
          </w:tcPr>
          <w:p w:rsidR="00952B42" w:rsidRPr="00952B42" w:rsidRDefault="00952B42" w:rsidP="00952B42">
            <w:pPr>
              <w:spacing w:after="0"/>
              <w:rPr>
                <w:color w:val="365F91"/>
              </w:rPr>
            </w:pPr>
            <w:r w:rsidRPr="00952B42">
              <w:rPr>
                <w:color w:val="365F91"/>
              </w:rPr>
              <w:t>Male fitting for thread exit</w:t>
            </w:r>
          </w:p>
        </w:tc>
        <w:tc>
          <w:tcPr>
            <w:tcW w:w="2520" w:type="dxa"/>
          </w:tcPr>
          <w:p w:rsidR="00952B42" w:rsidRPr="00952B42" w:rsidRDefault="00952B42" w:rsidP="00952B42">
            <w:pPr>
              <w:spacing w:after="0"/>
              <w:rPr>
                <w:color w:val="365F91"/>
              </w:rPr>
            </w:pPr>
            <w:r w:rsidRPr="00952B42">
              <w:rPr>
                <w:color w:val="365F91"/>
              </w:rPr>
              <w:t>32-003178</w:t>
            </w:r>
          </w:p>
        </w:tc>
        <w:tc>
          <w:tcPr>
            <w:tcW w:w="2268" w:type="dxa"/>
          </w:tcPr>
          <w:p w:rsidR="00952B42" w:rsidRPr="00952B42" w:rsidRDefault="00D643AC" w:rsidP="00952B42">
            <w:pPr>
              <w:spacing w:after="0"/>
              <w:jc w:val="center"/>
              <w:rPr>
                <w:color w:val="365F91"/>
              </w:rPr>
            </w:pPr>
            <w:r>
              <w:rPr>
                <w:color w:val="365F91"/>
              </w:rPr>
              <w:t>1</w:t>
            </w:r>
          </w:p>
        </w:tc>
      </w:tr>
      <w:tr w:rsidR="00F7738A" w:rsidTr="00881E06">
        <w:tc>
          <w:tcPr>
            <w:tcW w:w="558" w:type="dxa"/>
            <w:tcBorders>
              <w:left w:val="nil"/>
              <w:right w:val="nil"/>
            </w:tcBorders>
            <w:shd w:val="clear" w:color="auto" w:fill="D3DFEE"/>
          </w:tcPr>
          <w:p w:rsidR="00952B42" w:rsidRPr="00952B42" w:rsidRDefault="00952B42" w:rsidP="00952B42">
            <w:pPr>
              <w:spacing w:after="0"/>
              <w:jc w:val="center"/>
              <w:rPr>
                <w:b/>
                <w:bCs/>
                <w:color w:val="365F91"/>
              </w:rPr>
            </w:pPr>
            <w:r w:rsidRPr="00952B42">
              <w:rPr>
                <w:b/>
                <w:bCs/>
                <w:color w:val="365F91"/>
              </w:rPr>
              <w:t>1</w:t>
            </w:r>
          </w:p>
        </w:tc>
        <w:tc>
          <w:tcPr>
            <w:tcW w:w="423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Outlet plug</w:t>
            </w:r>
          </w:p>
        </w:tc>
        <w:tc>
          <w:tcPr>
            <w:tcW w:w="2520" w:type="dxa"/>
            <w:tcBorders>
              <w:left w:val="nil"/>
              <w:right w:val="nil"/>
            </w:tcBorders>
            <w:shd w:val="clear" w:color="auto" w:fill="D3DFEE"/>
          </w:tcPr>
          <w:p w:rsidR="00952B42" w:rsidRPr="00952B42" w:rsidRDefault="00952B42" w:rsidP="00952B42">
            <w:pPr>
              <w:spacing w:after="0"/>
              <w:rPr>
                <w:color w:val="365F91"/>
              </w:rPr>
            </w:pPr>
            <w:r w:rsidRPr="00952B42">
              <w:rPr>
                <w:color w:val="365F91"/>
              </w:rPr>
              <w:t>30-006128</w:t>
            </w:r>
          </w:p>
        </w:tc>
        <w:tc>
          <w:tcPr>
            <w:tcW w:w="2268" w:type="dxa"/>
            <w:tcBorders>
              <w:left w:val="nil"/>
              <w:right w:val="nil"/>
            </w:tcBorders>
            <w:shd w:val="clear" w:color="auto" w:fill="D3DFEE"/>
          </w:tcPr>
          <w:p w:rsidR="00952B42" w:rsidRPr="00952B42" w:rsidRDefault="00D643AC" w:rsidP="00952B42">
            <w:pPr>
              <w:spacing w:after="0"/>
              <w:jc w:val="center"/>
              <w:rPr>
                <w:color w:val="365F91"/>
              </w:rPr>
            </w:pPr>
            <w:r>
              <w:rPr>
                <w:color w:val="365F91"/>
              </w:rPr>
              <w:t>1</w:t>
            </w:r>
          </w:p>
        </w:tc>
      </w:tr>
    </w:tbl>
    <w:p w:rsidR="00AA6082" w:rsidRDefault="00D643AC" w:rsidP="001970EF">
      <w:pPr>
        <w:pStyle w:val="ListParagraph"/>
        <w:spacing w:after="0"/>
        <w:ind w:left="0"/>
      </w:pPr>
      <w:r>
        <w:t xml:space="preserve">*holds 5 total: </w:t>
      </w:r>
      <w:r>
        <w:rPr>
          <w:i/>
        </w:rPr>
        <w:t>X</w:t>
      </w:r>
      <w:r w:rsidR="0097613E">
        <w:t xml:space="preserve"> denuders (up to 4) and [5 minus </w:t>
      </w:r>
      <w:r>
        <w:rPr>
          <w:i/>
        </w:rPr>
        <w:t>X</w:t>
      </w:r>
      <w:r w:rsidR="0097613E" w:rsidRPr="0097613E">
        <w:t>]</w:t>
      </w:r>
      <w:r>
        <w:t xml:space="preserve"> glass stand-offs</w:t>
      </w:r>
      <w:r w:rsidR="008774D6" w:rsidRPr="008774D6">
        <w:t xml:space="preserve"> </w:t>
      </w:r>
    </w:p>
    <w:p w:rsidR="00CB2B71" w:rsidRPr="006E3C82" w:rsidRDefault="00CB2B71" w:rsidP="006E3C82">
      <w:pPr>
        <w:pStyle w:val="ListParagraph"/>
        <w:spacing w:after="0"/>
        <w:ind w:left="0"/>
      </w:pPr>
    </w:p>
    <w:sectPr w:rsidR="00CB2B71" w:rsidRPr="006E3C82" w:rsidSect="00AA6082">
      <w:headerReference w:type="default" r:id="rId9"/>
      <w:pgSz w:w="12240" w:h="15840"/>
      <w:pgMar w:top="720" w:right="720" w:bottom="720" w:left="72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60D" w:rsidRDefault="00B3060D" w:rsidP="00462188">
      <w:pPr>
        <w:spacing w:after="0" w:line="240" w:lineRule="auto"/>
      </w:pPr>
      <w:r>
        <w:separator/>
      </w:r>
    </w:p>
  </w:endnote>
  <w:endnote w:type="continuationSeparator" w:id="0">
    <w:p w:rsidR="00B3060D" w:rsidRDefault="00B3060D" w:rsidP="004621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60D" w:rsidRDefault="00B3060D" w:rsidP="00462188">
      <w:pPr>
        <w:spacing w:after="0" w:line="240" w:lineRule="auto"/>
      </w:pPr>
      <w:r>
        <w:separator/>
      </w:r>
    </w:p>
  </w:footnote>
  <w:footnote w:type="continuationSeparator" w:id="0">
    <w:p w:rsidR="00B3060D" w:rsidRDefault="00B3060D" w:rsidP="00462188">
      <w:pPr>
        <w:spacing w:after="0" w:line="240" w:lineRule="auto"/>
      </w:pPr>
      <w:r>
        <w:continuationSeparator/>
      </w:r>
    </w:p>
  </w:footnote>
  <w:footnote w:id="1">
    <w:p w:rsidR="00B07563" w:rsidRPr="00AC3875" w:rsidRDefault="00B07563" w:rsidP="00AC3875">
      <w:pPr>
        <w:pStyle w:val="FootnoteText"/>
        <w:spacing w:after="0"/>
        <w:rPr>
          <w:sz w:val="18"/>
          <w:szCs w:val="18"/>
        </w:rPr>
      </w:pPr>
      <w:r w:rsidRPr="00AC3875">
        <w:rPr>
          <w:rStyle w:val="FootnoteReference"/>
          <w:sz w:val="18"/>
          <w:szCs w:val="18"/>
        </w:rPr>
        <w:footnoteRef/>
      </w:r>
      <w:r w:rsidRPr="00AC3875">
        <w:rPr>
          <w:sz w:val="18"/>
          <w:szCs w:val="18"/>
        </w:rPr>
        <w:t xml:space="preserve"> </w:t>
      </w:r>
      <w:r w:rsidRPr="00AC3875">
        <w:rPr>
          <w:noProof/>
          <w:sz w:val="18"/>
          <w:szCs w:val="18"/>
        </w:rPr>
        <w:t xml:space="preserve"> (Agency for Toxic Substances and Disease Registry, 2004)</w:t>
      </w:r>
    </w:p>
  </w:footnote>
  <w:footnote w:id="2">
    <w:p w:rsidR="00B07563" w:rsidRPr="00AC3875" w:rsidRDefault="00B07563" w:rsidP="00AC3875">
      <w:pPr>
        <w:pStyle w:val="FootnoteText"/>
        <w:spacing w:after="0"/>
        <w:rPr>
          <w:sz w:val="18"/>
          <w:szCs w:val="18"/>
        </w:rPr>
      </w:pPr>
      <w:r w:rsidRPr="00AC3875">
        <w:rPr>
          <w:rStyle w:val="FootnoteReference"/>
          <w:sz w:val="18"/>
          <w:szCs w:val="18"/>
        </w:rPr>
        <w:footnoteRef/>
      </w:r>
      <w:r w:rsidRPr="00AC3875">
        <w:rPr>
          <w:sz w:val="18"/>
          <w:szCs w:val="18"/>
        </w:rPr>
        <w:t xml:space="preserve"> </w:t>
      </w:r>
      <w:r w:rsidRPr="00AC3875">
        <w:rPr>
          <w:noProof/>
          <w:sz w:val="18"/>
          <w:szCs w:val="18"/>
        </w:rPr>
        <w:t xml:space="preserve"> (Doorn &amp; Natschke, 2002)</w:t>
      </w:r>
    </w:p>
  </w:footnote>
  <w:footnote w:id="3">
    <w:p w:rsidR="00B07563" w:rsidRPr="00AC3875" w:rsidRDefault="00B07563" w:rsidP="00AC3875">
      <w:pPr>
        <w:pStyle w:val="FootnoteText"/>
        <w:spacing w:after="0"/>
        <w:rPr>
          <w:sz w:val="18"/>
          <w:szCs w:val="18"/>
        </w:rPr>
      </w:pPr>
      <w:r w:rsidRPr="00AC3875">
        <w:rPr>
          <w:rStyle w:val="FootnoteReference"/>
          <w:sz w:val="18"/>
          <w:szCs w:val="18"/>
        </w:rPr>
        <w:footnoteRef/>
      </w:r>
      <w:r w:rsidRPr="00AC3875">
        <w:rPr>
          <w:sz w:val="18"/>
          <w:szCs w:val="18"/>
        </w:rPr>
        <w:t xml:space="preserve"> </w:t>
      </w:r>
      <w:r w:rsidRPr="00AC3875">
        <w:rPr>
          <w:noProof/>
          <w:sz w:val="18"/>
          <w:szCs w:val="18"/>
        </w:rPr>
        <w:t xml:space="preserve"> (U.S. Environmental Protection Agency, 2007)</w:t>
      </w:r>
    </w:p>
  </w:footnote>
  <w:footnote w:id="4">
    <w:p w:rsidR="00B07563" w:rsidRPr="00AC3875" w:rsidRDefault="00B07563" w:rsidP="00AC3875">
      <w:pPr>
        <w:pStyle w:val="FootnoteText"/>
        <w:spacing w:after="0"/>
        <w:rPr>
          <w:sz w:val="18"/>
          <w:szCs w:val="18"/>
        </w:rPr>
      </w:pPr>
      <w:r w:rsidRPr="00AC3875">
        <w:rPr>
          <w:rStyle w:val="FootnoteReference"/>
          <w:sz w:val="18"/>
          <w:szCs w:val="18"/>
        </w:rPr>
        <w:footnoteRef/>
      </w:r>
      <w:r w:rsidRPr="00AC3875">
        <w:rPr>
          <w:sz w:val="18"/>
          <w:szCs w:val="18"/>
        </w:rPr>
        <w:t xml:space="preserve"> </w:t>
      </w:r>
      <w:r w:rsidRPr="00AC3875">
        <w:rPr>
          <w:noProof/>
          <w:sz w:val="18"/>
          <w:szCs w:val="18"/>
        </w:rPr>
        <w:t xml:space="preserve"> (Krauter, Potter, &amp; Klooster, 2003)</w:t>
      </w:r>
    </w:p>
  </w:footnote>
  <w:footnote w:id="5">
    <w:p w:rsidR="00B07563" w:rsidRPr="00AC3875" w:rsidRDefault="00B07563" w:rsidP="00AC3875">
      <w:pPr>
        <w:pStyle w:val="FootnoteText"/>
        <w:spacing w:after="0"/>
        <w:rPr>
          <w:sz w:val="18"/>
          <w:szCs w:val="18"/>
        </w:rPr>
      </w:pPr>
      <w:r w:rsidRPr="00AC3875">
        <w:rPr>
          <w:rStyle w:val="FootnoteReference"/>
          <w:sz w:val="18"/>
          <w:szCs w:val="18"/>
        </w:rPr>
        <w:footnoteRef/>
      </w:r>
      <w:r w:rsidRPr="00AC3875">
        <w:rPr>
          <w:sz w:val="18"/>
          <w:szCs w:val="18"/>
        </w:rPr>
        <w:t xml:space="preserve"> </w:t>
      </w:r>
      <w:r w:rsidRPr="00AC3875">
        <w:rPr>
          <w:noProof/>
          <w:sz w:val="18"/>
          <w:szCs w:val="18"/>
        </w:rPr>
        <w:t xml:space="preserve"> (Sharma, Kishore, Tripathi, &amp; Behera, 2007)</w:t>
      </w:r>
    </w:p>
  </w:footnote>
  <w:footnote w:id="6">
    <w:p w:rsidR="00B07563" w:rsidRPr="00AC3875" w:rsidRDefault="00B07563" w:rsidP="00AC3875">
      <w:pPr>
        <w:pStyle w:val="FootnoteText"/>
        <w:spacing w:after="0"/>
        <w:rPr>
          <w:sz w:val="18"/>
          <w:szCs w:val="18"/>
        </w:rPr>
      </w:pPr>
      <w:r w:rsidRPr="00AC3875">
        <w:rPr>
          <w:rStyle w:val="FootnoteReference"/>
          <w:sz w:val="18"/>
          <w:szCs w:val="18"/>
        </w:rPr>
        <w:footnoteRef/>
      </w:r>
      <w:r w:rsidRPr="00AC3875">
        <w:rPr>
          <w:sz w:val="18"/>
          <w:szCs w:val="18"/>
        </w:rPr>
        <w:t xml:space="preserve"> </w:t>
      </w:r>
      <w:r w:rsidRPr="00AC3875">
        <w:rPr>
          <w:noProof/>
          <w:sz w:val="18"/>
          <w:szCs w:val="18"/>
        </w:rPr>
        <w:t xml:space="preserve"> (Zhu, Pattey, &amp; Desjardins, 2000)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563" w:rsidRDefault="00B07563" w:rsidP="001970EF">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27E"/>
    <w:multiLevelType w:val="hybridMultilevel"/>
    <w:tmpl w:val="93BAC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E085E"/>
    <w:multiLevelType w:val="hybridMultilevel"/>
    <w:tmpl w:val="7996E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D220FC"/>
    <w:multiLevelType w:val="hybridMultilevel"/>
    <w:tmpl w:val="96AE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143E9"/>
    <w:multiLevelType w:val="hybridMultilevel"/>
    <w:tmpl w:val="F5161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1F5715"/>
    <w:multiLevelType w:val="hybridMultilevel"/>
    <w:tmpl w:val="334A2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6D83C49"/>
    <w:multiLevelType w:val="hybridMultilevel"/>
    <w:tmpl w:val="1E02A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4B62C2"/>
    <w:multiLevelType w:val="hybridMultilevel"/>
    <w:tmpl w:val="145A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0F11A63"/>
    <w:multiLevelType w:val="hybridMultilevel"/>
    <w:tmpl w:val="96AE1D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1D2786"/>
    <w:multiLevelType w:val="hybridMultilevel"/>
    <w:tmpl w:val="0D06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A66328"/>
    <w:multiLevelType w:val="hybridMultilevel"/>
    <w:tmpl w:val="67E07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C253CB"/>
    <w:multiLevelType w:val="hybridMultilevel"/>
    <w:tmpl w:val="D522F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3A156E"/>
    <w:multiLevelType w:val="hybridMultilevel"/>
    <w:tmpl w:val="A4D892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88F329E"/>
    <w:multiLevelType w:val="hybridMultilevel"/>
    <w:tmpl w:val="4CB65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964DE7"/>
    <w:multiLevelType w:val="hybridMultilevel"/>
    <w:tmpl w:val="A76E9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92565"/>
    <w:multiLevelType w:val="hybridMultilevel"/>
    <w:tmpl w:val="8B0E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C064A2"/>
    <w:multiLevelType w:val="hybridMultilevel"/>
    <w:tmpl w:val="D3E23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9ED0279"/>
    <w:multiLevelType w:val="hybridMultilevel"/>
    <w:tmpl w:val="03A40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ADA6905"/>
    <w:multiLevelType w:val="hybridMultilevel"/>
    <w:tmpl w:val="93BAC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C82C68"/>
    <w:multiLevelType w:val="hybridMultilevel"/>
    <w:tmpl w:val="B5421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9260C9"/>
    <w:multiLevelType w:val="hybridMultilevel"/>
    <w:tmpl w:val="812E23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9"/>
  </w:num>
  <w:num w:numId="3">
    <w:abstractNumId w:val="11"/>
  </w:num>
  <w:num w:numId="4">
    <w:abstractNumId w:val="19"/>
  </w:num>
  <w:num w:numId="5">
    <w:abstractNumId w:val="14"/>
  </w:num>
  <w:num w:numId="6">
    <w:abstractNumId w:val="2"/>
  </w:num>
  <w:num w:numId="7">
    <w:abstractNumId w:val="12"/>
  </w:num>
  <w:num w:numId="8">
    <w:abstractNumId w:val="17"/>
  </w:num>
  <w:num w:numId="9">
    <w:abstractNumId w:val="0"/>
  </w:num>
  <w:num w:numId="10">
    <w:abstractNumId w:val="18"/>
  </w:num>
  <w:num w:numId="11">
    <w:abstractNumId w:val="8"/>
  </w:num>
  <w:num w:numId="12">
    <w:abstractNumId w:val="5"/>
  </w:num>
  <w:num w:numId="13">
    <w:abstractNumId w:val="7"/>
  </w:num>
  <w:num w:numId="14">
    <w:abstractNumId w:val="1"/>
  </w:num>
  <w:num w:numId="15">
    <w:abstractNumId w:val="15"/>
  </w:num>
  <w:num w:numId="16">
    <w:abstractNumId w:val="4"/>
  </w:num>
  <w:num w:numId="17">
    <w:abstractNumId w:val="3"/>
  </w:num>
  <w:num w:numId="18">
    <w:abstractNumId w:val="6"/>
  </w:num>
  <w:num w:numId="19">
    <w:abstractNumId w:val="1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style="mso-position-horizontal-relative:page;mso-position-vertical-relative:page" fill="f" fillcolor="white" stroke="f">
      <v:fill color="white" on="f"/>
      <v:stroke on="f"/>
      <o:colormenu v:ext="edit" strokecolor="none [3213]"/>
    </o:shapedefaults>
  </w:hdrShapeDefaults>
  <w:footnotePr>
    <w:footnote w:id="-1"/>
    <w:footnote w:id="0"/>
  </w:footnotePr>
  <w:endnotePr>
    <w:endnote w:id="-1"/>
    <w:endnote w:id="0"/>
  </w:endnotePr>
  <w:compat/>
  <w:rsids>
    <w:rsidRoot w:val="008E08A0"/>
    <w:rsid w:val="00016457"/>
    <w:rsid w:val="00022E5C"/>
    <w:rsid w:val="00040AA9"/>
    <w:rsid w:val="00071061"/>
    <w:rsid w:val="000A3206"/>
    <w:rsid w:val="000D32C6"/>
    <w:rsid w:val="000D67E6"/>
    <w:rsid w:val="000D6D48"/>
    <w:rsid w:val="000E6944"/>
    <w:rsid w:val="000E707C"/>
    <w:rsid w:val="000E76E9"/>
    <w:rsid w:val="00115276"/>
    <w:rsid w:val="00122165"/>
    <w:rsid w:val="0012355A"/>
    <w:rsid w:val="00176E1E"/>
    <w:rsid w:val="00177054"/>
    <w:rsid w:val="001807A2"/>
    <w:rsid w:val="001970EF"/>
    <w:rsid w:val="001A56F8"/>
    <w:rsid w:val="001C56D0"/>
    <w:rsid w:val="001C5D74"/>
    <w:rsid w:val="001D19C3"/>
    <w:rsid w:val="001D7DB9"/>
    <w:rsid w:val="001E794C"/>
    <w:rsid w:val="0020552D"/>
    <w:rsid w:val="002071A6"/>
    <w:rsid w:val="00221A8D"/>
    <w:rsid w:val="00230E5B"/>
    <w:rsid w:val="00236284"/>
    <w:rsid w:val="0023733B"/>
    <w:rsid w:val="002463F2"/>
    <w:rsid w:val="00270639"/>
    <w:rsid w:val="00270736"/>
    <w:rsid w:val="00270C95"/>
    <w:rsid w:val="002856BD"/>
    <w:rsid w:val="002912D5"/>
    <w:rsid w:val="002B065E"/>
    <w:rsid w:val="002B1DF5"/>
    <w:rsid w:val="002B6AB3"/>
    <w:rsid w:val="002C1E88"/>
    <w:rsid w:val="002C2AFB"/>
    <w:rsid w:val="002D3309"/>
    <w:rsid w:val="002D7C98"/>
    <w:rsid w:val="002E0583"/>
    <w:rsid w:val="00303892"/>
    <w:rsid w:val="00307017"/>
    <w:rsid w:val="00310038"/>
    <w:rsid w:val="003257EA"/>
    <w:rsid w:val="003325CF"/>
    <w:rsid w:val="0033379E"/>
    <w:rsid w:val="003449D5"/>
    <w:rsid w:val="00345DBB"/>
    <w:rsid w:val="00360EE0"/>
    <w:rsid w:val="0036200E"/>
    <w:rsid w:val="00370292"/>
    <w:rsid w:val="00376DBA"/>
    <w:rsid w:val="00382391"/>
    <w:rsid w:val="0038372F"/>
    <w:rsid w:val="0039103D"/>
    <w:rsid w:val="00394969"/>
    <w:rsid w:val="003C2192"/>
    <w:rsid w:val="003C70CB"/>
    <w:rsid w:val="003F4AAD"/>
    <w:rsid w:val="00404297"/>
    <w:rsid w:val="00406E01"/>
    <w:rsid w:val="004108B6"/>
    <w:rsid w:val="00415B4B"/>
    <w:rsid w:val="00425DA0"/>
    <w:rsid w:val="00431F75"/>
    <w:rsid w:val="004339F4"/>
    <w:rsid w:val="00455599"/>
    <w:rsid w:val="00462188"/>
    <w:rsid w:val="00476417"/>
    <w:rsid w:val="00482AD6"/>
    <w:rsid w:val="00487AEE"/>
    <w:rsid w:val="004B0B39"/>
    <w:rsid w:val="004B1BF2"/>
    <w:rsid w:val="004C3605"/>
    <w:rsid w:val="004C405C"/>
    <w:rsid w:val="004E28C4"/>
    <w:rsid w:val="004E4109"/>
    <w:rsid w:val="004E6EEB"/>
    <w:rsid w:val="004F0FFF"/>
    <w:rsid w:val="004F1283"/>
    <w:rsid w:val="004F215C"/>
    <w:rsid w:val="004F6A7A"/>
    <w:rsid w:val="00506C72"/>
    <w:rsid w:val="00513E85"/>
    <w:rsid w:val="005201F3"/>
    <w:rsid w:val="00526AED"/>
    <w:rsid w:val="00531154"/>
    <w:rsid w:val="0054401D"/>
    <w:rsid w:val="00587D40"/>
    <w:rsid w:val="00591AE0"/>
    <w:rsid w:val="005947FB"/>
    <w:rsid w:val="005B187E"/>
    <w:rsid w:val="005B18B5"/>
    <w:rsid w:val="005B37DF"/>
    <w:rsid w:val="005E3D0D"/>
    <w:rsid w:val="005E5950"/>
    <w:rsid w:val="00613573"/>
    <w:rsid w:val="0061637C"/>
    <w:rsid w:val="00616CBD"/>
    <w:rsid w:val="00616F7F"/>
    <w:rsid w:val="00620DC8"/>
    <w:rsid w:val="006339BB"/>
    <w:rsid w:val="00647766"/>
    <w:rsid w:val="00664B2A"/>
    <w:rsid w:val="00674DEC"/>
    <w:rsid w:val="00682D68"/>
    <w:rsid w:val="0068373D"/>
    <w:rsid w:val="00685EDF"/>
    <w:rsid w:val="00686093"/>
    <w:rsid w:val="00695216"/>
    <w:rsid w:val="006A1008"/>
    <w:rsid w:val="006A5A09"/>
    <w:rsid w:val="006A6FD9"/>
    <w:rsid w:val="006B3967"/>
    <w:rsid w:val="006C2EDB"/>
    <w:rsid w:val="006D1F63"/>
    <w:rsid w:val="006D536C"/>
    <w:rsid w:val="006E3C82"/>
    <w:rsid w:val="006F2A6C"/>
    <w:rsid w:val="007044F6"/>
    <w:rsid w:val="00707231"/>
    <w:rsid w:val="00711CC8"/>
    <w:rsid w:val="00715C39"/>
    <w:rsid w:val="00741C4B"/>
    <w:rsid w:val="00752735"/>
    <w:rsid w:val="00760748"/>
    <w:rsid w:val="00761137"/>
    <w:rsid w:val="00761568"/>
    <w:rsid w:val="00761C64"/>
    <w:rsid w:val="00764946"/>
    <w:rsid w:val="00777D11"/>
    <w:rsid w:val="00790B01"/>
    <w:rsid w:val="00792C4E"/>
    <w:rsid w:val="00796E12"/>
    <w:rsid w:val="007D65C4"/>
    <w:rsid w:val="007E650F"/>
    <w:rsid w:val="00832C57"/>
    <w:rsid w:val="00854BE8"/>
    <w:rsid w:val="00873A2B"/>
    <w:rsid w:val="008745C7"/>
    <w:rsid w:val="008774D6"/>
    <w:rsid w:val="00881E06"/>
    <w:rsid w:val="008B1B40"/>
    <w:rsid w:val="008B34AA"/>
    <w:rsid w:val="008B750B"/>
    <w:rsid w:val="008C6286"/>
    <w:rsid w:val="008D1BDB"/>
    <w:rsid w:val="008E08A0"/>
    <w:rsid w:val="008F19CA"/>
    <w:rsid w:val="008F560E"/>
    <w:rsid w:val="009137A7"/>
    <w:rsid w:val="00917583"/>
    <w:rsid w:val="00921B03"/>
    <w:rsid w:val="00923A13"/>
    <w:rsid w:val="00935D4B"/>
    <w:rsid w:val="00947EBD"/>
    <w:rsid w:val="00952B42"/>
    <w:rsid w:val="0096569F"/>
    <w:rsid w:val="00972F7B"/>
    <w:rsid w:val="0097386E"/>
    <w:rsid w:val="0097613E"/>
    <w:rsid w:val="009824C9"/>
    <w:rsid w:val="009830F7"/>
    <w:rsid w:val="00990A35"/>
    <w:rsid w:val="00996A16"/>
    <w:rsid w:val="009A09C1"/>
    <w:rsid w:val="009A2ADC"/>
    <w:rsid w:val="009A3AF7"/>
    <w:rsid w:val="009B3CCD"/>
    <w:rsid w:val="009C54ED"/>
    <w:rsid w:val="009D7901"/>
    <w:rsid w:val="009E5DED"/>
    <w:rsid w:val="009F2F60"/>
    <w:rsid w:val="009F3029"/>
    <w:rsid w:val="00A23FA8"/>
    <w:rsid w:val="00A255B4"/>
    <w:rsid w:val="00A262E3"/>
    <w:rsid w:val="00A310B3"/>
    <w:rsid w:val="00A31C47"/>
    <w:rsid w:val="00A40D31"/>
    <w:rsid w:val="00A77403"/>
    <w:rsid w:val="00A82EF0"/>
    <w:rsid w:val="00A94504"/>
    <w:rsid w:val="00AA5494"/>
    <w:rsid w:val="00AA6082"/>
    <w:rsid w:val="00AB183B"/>
    <w:rsid w:val="00AC3695"/>
    <w:rsid w:val="00AC3875"/>
    <w:rsid w:val="00AC652D"/>
    <w:rsid w:val="00AE052A"/>
    <w:rsid w:val="00AE7F4B"/>
    <w:rsid w:val="00B07563"/>
    <w:rsid w:val="00B07F7E"/>
    <w:rsid w:val="00B14739"/>
    <w:rsid w:val="00B233B3"/>
    <w:rsid w:val="00B23D11"/>
    <w:rsid w:val="00B2560F"/>
    <w:rsid w:val="00B3060D"/>
    <w:rsid w:val="00B3184A"/>
    <w:rsid w:val="00B43AAC"/>
    <w:rsid w:val="00B5741E"/>
    <w:rsid w:val="00BD2290"/>
    <w:rsid w:val="00BD237B"/>
    <w:rsid w:val="00BE1AE0"/>
    <w:rsid w:val="00BE3704"/>
    <w:rsid w:val="00BE5401"/>
    <w:rsid w:val="00BF36BF"/>
    <w:rsid w:val="00C06F25"/>
    <w:rsid w:val="00C07478"/>
    <w:rsid w:val="00C07A36"/>
    <w:rsid w:val="00C37DF2"/>
    <w:rsid w:val="00C46EB9"/>
    <w:rsid w:val="00C4726A"/>
    <w:rsid w:val="00C522AE"/>
    <w:rsid w:val="00C56422"/>
    <w:rsid w:val="00C95B14"/>
    <w:rsid w:val="00C96C57"/>
    <w:rsid w:val="00CA1BC5"/>
    <w:rsid w:val="00CB02F4"/>
    <w:rsid w:val="00CB0611"/>
    <w:rsid w:val="00CB2B71"/>
    <w:rsid w:val="00CB57F3"/>
    <w:rsid w:val="00CB6F2B"/>
    <w:rsid w:val="00CE017E"/>
    <w:rsid w:val="00CF1378"/>
    <w:rsid w:val="00D06248"/>
    <w:rsid w:val="00D10862"/>
    <w:rsid w:val="00D12BE4"/>
    <w:rsid w:val="00D226A8"/>
    <w:rsid w:val="00D2289F"/>
    <w:rsid w:val="00D36365"/>
    <w:rsid w:val="00D5394E"/>
    <w:rsid w:val="00D577F9"/>
    <w:rsid w:val="00D63B5C"/>
    <w:rsid w:val="00D643AC"/>
    <w:rsid w:val="00DA5609"/>
    <w:rsid w:val="00DB2D01"/>
    <w:rsid w:val="00DB50E0"/>
    <w:rsid w:val="00DB65FE"/>
    <w:rsid w:val="00DC786B"/>
    <w:rsid w:val="00DC7A27"/>
    <w:rsid w:val="00DD307D"/>
    <w:rsid w:val="00DD364F"/>
    <w:rsid w:val="00DE0755"/>
    <w:rsid w:val="00DE7E5F"/>
    <w:rsid w:val="00DF365B"/>
    <w:rsid w:val="00DF3DB1"/>
    <w:rsid w:val="00E0091C"/>
    <w:rsid w:val="00E13E5F"/>
    <w:rsid w:val="00E1640E"/>
    <w:rsid w:val="00E202AA"/>
    <w:rsid w:val="00E24950"/>
    <w:rsid w:val="00E359D3"/>
    <w:rsid w:val="00E36772"/>
    <w:rsid w:val="00E6161E"/>
    <w:rsid w:val="00E774E0"/>
    <w:rsid w:val="00E828A6"/>
    <w:rsid w:val="00E951D8"/>
    <w:rsid w:val="00EA0BAA"/>
    <w:rsid w:val="00EA740A"/>
    <w:rsid w:val="00EE6D00"/>
    <w:rsid w:val="00F00A71"/>
    <w:rsid w:val="00F018A2"/>
    <w:rsid w:val="00F13324"/>
    <w:rsid w:val="00F23867"/>
    <w:rsid w:val="00F245CF"/>
    <w:rsid w:val="00F2665D"/>
    <w:rsid w:val="00F26788"/>
    <w:rsid w:val="00F30354"/>
    <w:rsid w:val="00F36549"/>
    <w:rsid w:val="00F405DA"/>
    <w:rsid w:val="00F4577C"/>
    <w:rsid w:val="00F74BD9"/>
    <w:rsid w:val="00F7738A"/>
    <w:rsid w:val="00F8473B"/>
    <w:rsid w:val="00F84C5C"/>
    <w:rsid w:val="00FA005B"/>
    <w:rsid w:val="00FB6C3F"/>
    <w:rsid w:val="00FC10AC"/>
    <w:rsid w:val="00FC1876"/>
    <w:rsid w:val="00FC43D1"/>
    <w:rsid w:val="00FD6B56"/>
    <w:rsid w:val="00FE04F9"/>
    <w:rsid w:val="00FE4682"/>
    <w:rsid w:val="00FF5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style="mso-position-horizontal-relative:page;mso-position-vertical-relative:page" fill="f" fillcolor="white" stroke="f">
      <v:fill color="white" on="f"/>
      <v:stroke on="f"/>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0AC"/>
    <w:pPr>
      <w:spacing w:after="200" w:line="276" w:lineRule="auto"/>
    </w:pPr>
    <w:rPr>
      <w:sz w:val="22"/>
      <w:szCs w:val="22"/>
    </w:rPr>
  </w:style>
  <w:style w:type="paragraph" w:styleId="Heading1">
    <w:name w:val="heading 1"/>
    <w:basedOn w:val="Normal"/>
    <w:next w:val="Normal"/>
    <w:qFormat/>
    <w:rsid w:val="00FC10A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C07A3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FC10AC"/>
    <w:rPr>
      <w:rFonts w:ascii="Cambria" w:eastAsia="Times New Roman" w:hAnsi="Cambria" w:cs="Times New Roman"/>
      <w:b/>
      <w:bCs/>
      <w:color w:val="365F91"/>
      <w:sz w:val="28"/>
      <w:szCs w:val="28"/>
    </w:rPr>
  </w:style>
  <w:style w:type="paragraph" w:styleId="ListParagraph">
    <w:name w:val="List Paragraph"/>
    <w:basedOn w:val="Normal"/>
    <w:qFormat/>
    <w:rsid w:val="00FC10AC"/>
    <w:pPr>
      <w:ind w:left="720"/>
      <w:contextualSpacing/>
    </w:pPr>
  </w:style>
  <w:style w:type="paragraph" w:styleId="TOCHeading">
    <w:name w:val="TOC Heading"/>
    <w:basedOn w:val="Heading1"/>
    <w:next w:val="Normal"/>
    <w:uiPriority w:val="39"/>
    <w:unhideWhenUsed/>
    <w:qFormat/>
    <w:rsid w:val="008E08A0"/>
    <w:pPr>
      <w:outlineLvl w:val="9"/>
    </w:pPr>
  </w:style>
  <w:style w:type="paragraph" w:styleId="TOC1">
    <w:name w:val="toc 1"/>
    <w:basedOn w:val="Normal"/>
    <w:next w:val="Normal"/>
    <w:autoRedefine/>
    <w:uiPriority w:val="39"/>
    <w:unhideWhenUsed/>
    <w:rsid w:val="008E08A0"/>
  </w:style>
  <w:style w:type="character" w:styleId="Hyperlink">
    <w:name w:val="Hyperlink"/>
    <w:basedOn w:val="DefaultParagraphFont"/>
    <w:uiPriority w:val="99"/>
    <w:unhideWhenUsed/>
    <w:rsid w:val="008E08A0"/>
    <w:rPr>
      <w:color w:val="0000FF"/>
      <w:u w:val="single"/>
    </w:rPr>
  </w:style>
  <w:style w:type="paragraph" w:styleId="Title">
    <w:name w:val="Title"/>
    <w:basedOn w:val="Normal"/>
    <w:next w:val="Normal"/>
    <w:link w:val="TitleChar"/>
    <w:uiPriority w:val="10"/>
    <w:qFormat/>
    <w:rsid w:val="008E08A0"/>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8E08A0"/>
    <w:rPr>
      <w:rFonts w:ascii="Cambria" w:eastAsia="Times New Roman" w:hAnsi="Cambria" w:cs="Times New Roman"/>
      <w:b/>
      <w:bCs/>
      <w:kern w:val="28"/>
      <w:sz w:val="32"/>
      <w:szCs w:val="32"/>
    </w:rPr>
  </w:style>
  <w:style w:type="paragraph" w:styleId="Header">
    <w:name w:val="header"/>
    <w:basedOn w:val="Normal"/>
    <w:link w:val="HeaderChar"/>
    <w:uiPriority w:val="99"/>
    <w:semiHidden/>
    <w:unhideWhenUsed/>
    <w:rsid w:val="00462188"/>
    <w:pPr>
      <w:tabs>
        <w:tab w:val="center" w:pos="4680"/>
        <w:tab w:val="right" w:pos="9360"/>
      </w:tabs>
    </w:pPr>
  </w:style>
  <w:style w:type="character" w:customStyle="1" w:styleId="HeaderChar">
    <w:name w:val="Header Char"/>
    <w:basedOn w:val="DefaultParagraphFont"/>
    <w:link w:val="Header"/>
    <w:uiPriority w:val="99"/>
    <w:semiHidden/>
    <w:rsid w:val="00462188"/>
    <w:rPr>
      <w:sz w:val="22"/>
      <w:szCs w:val="22"/>
    </w:rPr>
  </w:style>
  <w:style w:type="paragraph" w:styleId="Footer">
    <w:name w:val="footer"/>
    <w:basedOn w:val="Normal"/>
    <w:link w:val="FooterChar"/>
    <w:uiPriority w:val="99"/>
    <w:unhideWhenUsed/>
    <w:rsid w:val="00462188"/>
    <w:pPr>
      <w:tabs>
        <w:tab w:val="center" w:pos="4680"/>
        <w:tab w:val="right" w:pos="9360"/>
      </w:tabs>
    </w:pPr>
  </w:style>
  <w:style w:type="character" w:customStyle="1" w:styleId="FooterChar">
    <w:name w:val="Footer Char"/>
    <w:basedOn w:val="DefaultParagraphFont"/>
    <w:link w:val="Footer"/>
    <w:uiPriority w:val="99"/>
    <w:rsid w:val="00462188"/>
    <w:rPr>
      <w:sz w:val="22"/>
      <w:szCs w:val="22"/>
    </w:rPr>
  </w:style>
  <w:style w:type="paragraph" w:styleId="BalloonText">
    <w:name w:val="Balloon Text"/>
    <w:basedOn w:val="Normal"/>
    <w:link w:val="BalloonTextChar"/>
    <w:uiPriority w:val="99"/>
    <w:semiHidden/>
    <w:unhideWhenUsed/>
    <w:rsid w:val="00462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88"/>
    <w:rPr>
      <w:rFonts w:ascii="Tahoma" w:hAnsi="Tahoma" w:cs="Tahoma"/>
      <w:sz w:val="16"/>
      <w:szCs w:val="16"/>
    </w:rPr>
  </w:style>
  <w:style w:type="paragraph" w:styleId="FootnoteText">
    <w:name w:val="footnote text"/>
    <w:basedOn w:val="Normal"/>
    <w:link w:val="FootnoteTextChar"/>
    <w:uiPriority w:val="99"/>
    <w:semiHidden/>
    <w:unhideWhenUsed/>
    <w:rsid w:val="00DF365B"/>
    <w:rPr>
      <w:sz w:val="20"/>
      <w:szCs w:val="20"/>
    </w:rPr>
  </w:style>
  <w:style w:type="character" w:customStyle="1" w:styleId="FootnoteTextChar">
    <w:name w:val="Footnote Text Char"/>
    <w:basedOn w:val="DefaultParagraphFont"/>
    <w:link w:val="FootnoteText"/>
    <w:uiPriority w:val="99"/>
    <w:semiHidden/>
    <w:rsid w:val="00DF365B"/>
  </w:style>
  <w:style w:type="character" w:styleId="FootnoteReference">
    <w:name w:val="footnote reference"/>
    <w:basedOn w:val="DefaultParagraphFont"/>
    <w:uiPriority w:val="99"/>
    <w:semiHidden/>
    <w:unhideWhenUsed/>
    <w:rsid w:val="00DF365B"/>
    <w:rPr>
      <w:vertAlign w:val="superscript"/>
    </w:rPr>
  </w:style>
  <w:style w:type="paragraph" w:styleId="Bibliography">
    <w:name w:val="Bibliography"/>
    <w:basedOn w:val="Normal"/>
    <w:next w:val="Normal"/>
    <w:uiPriority w:val="37"/>
    <w:unhideWhenUsed/>
    <w:rsid w:val="00DF365B"/>
  </w:style>
  <w:style w:type="character" w:styleId="CommentReference">
    <w:name w:val="annotation reference"/>
    <w:basedOn w:val="DefaultParagraphFont"/>
    <w:uiPriority w:val="99"/>
    <w:semiHidden/>
    <w:unhideWhenUsed/>
    <w:rsid w:val="00792C4E"/>
    <w:rPr>
      <w:sz w:val="16"/>
      <w:szCs w:val="16"/>
    </w:rPr>
  </w:style>
  <w:style w:type="paragraph" w:styleId="CommentText">
    <w:name w:val="annotation text"/>
    <w:basedOn w:val="Normal"/>
    <w:link w:val="CommentTextChar"/>
    <w:uiPriority w:val="99"/>
    <w:semiHidden/>
    <w:unhideWhenUsed/>
    <w:rsid w:val="00792C4E"/>
    <w:rPr>
      <w:sz w:val="20"/>
      <w:szCs w:val="20"/>
    </w:rPr>
  </w:style>
  <w:style w:type="character" w:customStyle="1" w:styleId="CommentTextChar">
    <w:name w:val="Comment Text Char"/>
    <w:basedOn w:val="DefaultParagraphFont"/>
    <w:link w:val="CommentText"/>
    <w:uiPriority w:val="99"/>
    <w:semiHidden/>
    <w:rsid w:val="00792C4E"/>
  </w:style>
  <w:style w:type="paragraph" w:styleId="CommentSubject">
    <w:name w:val="annotation subject"/>
    <w:basedOn w:val="CommentText"/>
    <w:next w:val="CommentText"/>
    <w:link w:val="CommentSubjectChar"/>
    <w:uiPriority w:val="99"/>
    <w:semiHidden/>
    <w:unhideWhenUsed/>
    <w:rsid w:val="00792C4E"/>
    <w:rPr>
      <w:b/>
      <w:bCs/>
    </w:rPr>
  </w:style>
  <w:style w:type="character" w:customStyle="1" w:styleId="CommentSubjectChar">
    <w:name w:val="Comment Subject Char"/>
    <w:basedOn w:val="CommentTextChar"/>
    <w:link w:val="CommentSubject"/>
    <w:uiPriority w:val="99"/>
    <w:semiHidden/>
    <w:rsid w:val="00792C4E"/>
    <w:rPr>
      <w:b/>
      <w:bCs/>
    </w:rPr>
  </w:style>
  <w:style w:type="table" w:styleId="TableGrid">
    <w:name w:val="Table Grid"/>
    <w:basedOn w:val="TableNormal"/>
    <w:uiPriority w:val="59"/>
    <w:rsid w:val="005E595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E595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Revision">
    <w:name w:val="Revision"/>
    <w:hidden/>
    <w:uiPriority w:val="99"/>
    <w:semiHidden/>
    <w:rsid w:val="0039103D"/>
    <w:rPr>
      <w:sz w:val="22"/>
      <w:szCs w:val="22"/>
    </w:rPr>
  </w:style>
  <w:style w:type="table" w:customStyle="1" w:styleId="LightShading-Accent12">
    <w:name w:val="Light Shading - Accent 12"/>
    <w:basedOn w:val="TableNormal"/>
    <w:uiPriority w:val="60"/>
    <w:rsid w:val="00A31C4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Heading2Char">
    <w:name w:val="Heading 2 Char"/>
    <w:basedOn w:val="DefaultParagraphFont"/>
    <w:link w:val="Heading2"/>
    <w:uiPriority w:val="9"/>
    <w:rsid w:val="00C07A36"/>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C07478"/>
    <w:pPr>
      <w:ind w:left="220"/>
    </w:pPr>
  </w:style>
  <w:style w:type="character" w:styleId="PlaceholderText">
    <w:name w:val="Placeholder Text"/>
    <w:basedOn w:val="DefaultParagraphFont"/>
    <w:uiPriority w:val="99"/>
    <w:semiHidden/>
    <w:rsid w:val="006A1008"/>
    <w:rPr>
      <w:color w:val="808080"/>
    </w:rPr>
  </w:style>
</w:styles>
</file>

<file path=word/webSettings.xml><?xml version="1.0" encoding="utf-8"?>
<w:webSettings xmlns:r="http://schemas.openxmlformats.org/officeDocument/2006/relationships" xmlns:w="http://schemas.openxmlformats.org/wordprocessingml/2006/main">
  <w:divs>
    <w:div w:id="148139731">
      <w:bodyDiv w:val="1"/>
      <w:marLeft w:val="0"/>
      <w:marRight w:val="0"/>
      <w:marTop w:val="0"/>
      <w:marBottom w:val="0"/>
      <w:divBdr>
        <w:top w:val="none" w:sz="0" w:space="0" w:color="auto"/>
        <w:left w:val="none" w:sz="0" w:space="0" w:color="auto"/>
        <w:bottom w:val="none" w:sz="0" w:space="0" w:color="auto"/>
        <w:right w:val="none" w:sz="0" w:space="0" w:color="auto"/>
      </w:divBdr>
    </w:div>
    <w:div w:id="1211377554">
      <w:bodyDiv w:val="1"/>
      <w:marLeft w:val="0"/>
      <w:marRight w:val="0"/>
      <w:marTop w:val="0"/>
      <w:marBottom w:val="0"/>
      <w:divBdr>
        <w:top w:val="none" w:sz="0" w:space="0" w:color="auto"/>
        <w:left w:val="none" w:sz="0" w:space="0" w:color="auto"/>
        <w:bottom w:val="none" w:sz="0" w:space="0" w:color="auto"/>
        <w:right w:val="none" w:sz="0" w:space="0" w:color="auto"/>
      </w:divBdr>
    </w:div>
    <w:div w:id="1432360150">
      <w:bodyDiv w:val="1"/>
      <w:marLeft w:val="0"/>
      <w:marRight w:val="0"/>
      <w:marTop w:val="0"/>
      <w:marBottom w:val="0"/>
      <w:divBdr>
        <w:top w:val="none" w:sz="0" w:space="0" w:color="auto"/>
        <w:left w:val="none" w:sz="0" w:space="0" w:color="auto"/>
        <w:bottom w:val="none" w:sz="0" w:space="0" w:color="auto"/>
        <w:right w:val="none" w:sz="0" w:space="0" w:color="auto"/>
      </w:divBdr>
    </w:div>
    <w:div w:id="1562907073">
      <w:bodyDiv w:val="1"/>
      <w:marLeft w:val="0"/>
      <w:marRight w:val="0"/>
      <w:marTop w:val="0"/>
      <w:marBottom w:val="0"/>
      <w:divBdr>
        <w:top w:val="none" w:sz="0" w:space="0" w:color="auto"/>
        <w:left w:val="none" w:sz="0" w:space="0" w:color="auto"/>
        <w:bottom w:val="none" w:sz="0" w:space="0" w:color="auto"/>
        <w:right w:val="none" w:sz="0" w:space="0" w:color="auto"/>
      </w:divBdr>
    </w:div>
    <w:div w:id="1572929576">
      <w:bodyDiv w:val="1"/>
      <w:marLeft w:val="0"/>
      <w:marRight w:val="0"/>
      <w:marTop w:val="0"/>
      <w:marBottom w:val="0"/>
      <w:divBdr>
        <w:top w:val="none" w:sz="0" w:space="0" w:color="auto"/>
        <w:left w:val="none" w:sz="0" w:space="0" w:color="auto"/>
        <w:bottom w:val="none" w:sz="0" w:space="0" w:color="auto"/>
        <w:right w:val="none" w:sz="0" w:space="0" w:color="auto"/>
      </w:divBdr>
    </w:div>
    <w:div w:id="1968046226">
      <w:bodyDiv w:val="1"/>
      <w:marLeft w:val="0"/>
      <w:marRight w:val="0"/>
      <w:marTop w:val="0"/>
      <w:marBottom w:val="0"/>
      <w:divBdr>
        <w:top w:val="none" w:sz="0" w:space="0" w:color="auto"/>
        <w:left w:val="none" w:sz="0" w:space="0" w:color="auto"/>
        <w:bottom w:val="none" w:sz="0" w:space="0" w:color="auto"/>
        <w:right w:val="none" w:sz="0" w:space="0" w:color="auto"/>
      </w:divBdr>
    </w:div>
    <w:div w:id="20672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2BA18-5ECE-4DA3-B287-883773041637}">
  <ds:schemaRefs>
    <ds:schemaRef ds:uri="http://schemas.openxmlformats.org/officeDocument/2006/bibliography"/>
  </ds:schemaRefs>
</ds:datastoreItem>
</file>

<file path=customXml/itemProps2.xml><?xml version="1.0" encoding="utf-8"?>
<ds:datastoreItem xmlns:ds="http://schemas.openxmlformats.org/officeDocument/2006/customXml" ds:itemID="{4E8EDAD4-D1EA-48BC-845C-93A4CF80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8</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13414</CharactersWithSpaces>
  <SharedDoc>false</SharedDoc>
  <HLinks>
    <vt:vector size="108" baseType="variant">
      <vt:variant>
        <vt:i4>1900597</vt:i4>
      </vt:variant>
      <vt:variant>
        <vt:i4>104</vt:i4>
      </vt:variant>
      <vt:variant>
        <vt:i4>0</vt:i4>
      </vt:variant>
      <vt:variant>
        <vt:i4>5</vt:i4>
      </vt:variant>
      <vt:variant>
        <vt:lpwstr/>
      </vt:variant>
      <vt:variant>
        <vt:lpwstr>_Toc207088829</vt:lpwstr>
      </vt:variant>
      <vt:variant>
        <vt:i4>1900597</vt:i4>
      </vt:variant>
      <vt:variant>
        <vt:i4>98</vt:i4>
      </vt:variant>
      <vt:variant>
        <vt:i4>0</vt:i4>
      </vt:variant>
      <vt:variant>
        <vt:i4>5</vt:i4>
      </vt:variant>
      <vt:variant>
        <vt:lpwstr/>
      </vt:variant>
      <vt:variant>
        <vt:lpwstr>_Toc207088828</vt:lpwstr>
      </vt:variant>
      <vt:variant>
        <vt:i4>1900597</vt:i4>
      </vt:variant>
      <vt:variant>
        <vt:i4>92</vt:i4>
      </vt:variant>
      <vt:variant>
        <vt:i4>0</vt:i4>
      </vt:variant>
      <vt:variant>
        <vt:i4>5</vt:i4>
      </vt:variant>
      <vt:variant>
        <vt:lpwstr/>
      </vt:variant>
      <vt:variant>
        <vt:lpwstr>_Toc207088827</vt:lpwstr>
      </vt:variant>
      <vt:variant>
        <vt:i4>1900597</vt:i4>
      </vt:variant>
      <vt:variant>
        <vt:i4>86</vt:i4>
      </vt:variant>
      <vt:variant>
        <vt:i4>0</vt:i4>
      </vt:variant>
      <vt:variant>
        <vt:i4>5</vt:i4>
      </vt:variant>
      <vt:variant>
        <vt:lpwstr/>
      </vt:variant>
      <vt:variant>
        <vt:lpwstr>_Toc207088826</vt:lpwstr>
      </vt:variant>
      <vt:variant>
        <vt:i4>1900597</vt:i4>
      </vt:variant>
      <vt:variant>
        <vt:i4>80</vt:i4>
      </vt:variant>
      <vt:variant>
        <vt:i4>0</vt:i4>
      </vt:variant>
      <vt:variant>
        <vt:i4>5</vt:i4>
      </vt:variant>
      <vt:variant>
        <vt:lpwstr/>
      </vt:variant>
      <vt:variant>
        <vt:lpwstr>_Toc207088825</vt:lpwstr>
      </vt:variant>
      <vt:variant>
        <vt:i4>1900597</vt:i4>
      </vt:variant>
      <vt:variant>
        <vt:i4>74</vt:i4>
      </vt:variant>
      <vt:variant>
        <vt:i4>0</vt:i4>
      </vt:variant>
      <vt:variant>
        <vt:i4>5</vt:i4>
      </vt:variant>
      <vt:variant>
        <vt:lpwstr/>
      </vt:variant>
      <vt:variant>
        <vt:lpwstr>_Toc207088824</vt:lpwstr>
      </vt:variant>
      <vt:variant>
        <vt:i4>1900597</vt:i4>
      </vt:variant>
      <vt:variant>
        <vt:i4>68</vt:i4>
      </vt:variant>
      <vt:variant>
        <vt:i4>0</vt:i4>
      </vt:variant>
      <vt:variant>
        <vt:i4>5</vt:i4>
      </vt:variant>
      <vt:variant>
        <vt:lpwstr/>
      </vt:variant>
      <vt:variant>
        <vt:lpwstr>_Toc207088823</vt:lpwstr>
      </vt:variant>
      <vt:variant>
        <vt:i4>1900597</vt:i4>
      </vt:variant>
      <vt:variant>
        <vt:i4>62</vt:i4>
      </vt:variant>
      <vt:variant>
        <vt:i4>0</vt:i4>
      </vt:variant>
      <vt:variant>
        <vt:i4>5</vt:i4>
      </vt:variant>
      <vt:variant>
        <vt:lpwstr/>
      </vt:variant>
      <vt:variant>
        <vt:lpwstr>_Toc207088822</vt:lpwstr>
      </vt:variant>
      <vt:variant>
        <vt:i4>1900597</vt:i4>
      </vt:variant>
      <vt:variant>
        <vt:i4>56</vt:i4>
      </vt:variant>
      <vt:variant>
        <vt:i4>0</vt:i4>
      </vt:variant>
      <vt:variant>
        <vt:i4>5</vt:i4>
      </vt:variant>
      <vt:variant>
        <vt:lpwstr/>
      </vt:variant>
      <vt:variant>
        <vt:lpwstr>_Toc207088821</vt:lpwstr>
      </vt:variant>
      <vt:variant>
        <vt:i4>1900597</vt:i4>
      </vt:variant>
      <vt:variant>
        <vt:i4>50</vt:i4>
      </vt:variant>
      <vt:variant>
        <vt:i4>0</vt:i4>
      </vt:variant>
      <vt:variant>
        <vt:i4>5</vt:i4>
      </vt:variant>
      <vt:variant>
        <vt:lpwstr/>
      </vt:variant>
      <vt:variant>
        <vt:lpwstr>_Toc207088820</vt:lpwstr>
      </vt:variant>
      <vt:variant>
        <vt:i4>1966133</vt:i4>
      </vt:variant>
      <vt:variant>
        <vt:i4>44</vt:i4>
      </vt:variant>
      <vt:variant>
        <vt:i4>0</vt:i4>
      </vt:variant>
      <vt:variant>
        <vt:i4>5</vt:i4>
      </vt:variant>
      <vt:variant>
        <vt:lpwstr/>
      </vt:variant>
      <vt:variant>
        <vt:lpwstr>_Toc207088819</vt:lpwstr>
      </vt:variant>
      <vt:variant>
        <vt:i4>1966133</vt:i4>
      </vt:variant>
      <vt:variant>
        <vt:i4>38</vt:i4>
      </vt:variant>
      <vt:variant>
        <vt:i4>0</vt:i4>
      </vt:variant>
      <vt:variant>
        <vt:i4>5</vt:i4>
      </vt:variant>
      <vt:variant>
        <vt:lpwstr/>
      </vt:variant>
      <vt:variant>
        <vt:lpwstr>_Toc207088818</vt:lpwstr>
      </vt:variant>
      <vt:variant>
        <vt:i4>1966133</vt:i4>
      </vt:variant>
      <vt:variant>
        <vt:i4>32</vt:i4>
      </vt:variant>
      <vt:variant>
        <vt:i4>0</vt:i4>
      </vt:variant>
      <vt:variant>
        <vt:i4>5</vt:i4>
      </vt:variant>
      <vt:variant>
        <vt:lpwstr/>
      </vt:variant>
      <vt:variant>
        <vt:lpwstr>_Toc207088817</vt:lpwstr>
      </vt:variant>
      <vt:variant>
        <vt:i4>1966133</vt:i4>
      </vt:variant>
      <vt:variant>
        <vt:i4>26</vt:i4>
      </vt:variant>
      <vt:variant>
        <vt:i4>0</vt:i4>
      </vt:variant>
      <vt:variant>
        <vt:i4>5</vt:i4>
      </vt:variant>
      <vt:variant>
        <vt:lpwstr/>
      </vt:variant>
      <vt:variant>
        <vt:lpwstr>_Toc207088816</vt:lpwstr>
      </vt:variant>
      <vt:variant>
        <vt:i4>1966133</vt:i4>
      </vt:variant>
      <vt:variant>
        <vt:i4>20</vt:i4>
      </vt:variant>
      <vt:variant>
        <vt:i4>0</vt:i4>
      </vt:variant>
      <vt:variant>
        <vt:i4>5</vt:i4>
      </vt:variant>
      <vt:variant>
        <vt:lpwstr/>
      </vt:variant>
      <vt:variant>
        <vt:lpwstr>_Toc207088815</vt:lpwstr>
      </vt:variant>
      <vt:variant>
        <vt:i4>1966133</vt:i4>
      </vt:variant>
      <vt:variant>
        <vt:i4>14</vt:i4>
      </vt:variant>
      <vt:variant>
        <vt:i4>0</vt:i4>
      </vt:variant>
      <vt:variant>
        <vt:i4>5</vt:i4>
      </vt:variant>
      <vt:variant>
        <vt:lpwstr/>
      </vt:variant>
      <vt:variant>
        <vt:lpwstr>_Toc207088814</vt:lpwstr>
      </vt:variant>
      <vt:variant>
        <vt:i4>1966133</vt:i4>
      </vt:variant>
      <vt:variant>
        <vt:i4>8</vt:i4>
      </vt:variant>
      <vt:variant>
        <vt:i4>0</vt:i4>
      </vt:variant>
      <vt:variant>
        <vt:i4>5</vt:i4>
      </vt:variant>
      <vt:variant>
        <vt:lpwstr/>
      </vt:variant>
      <vt:variant>
        <vt:lpwstr>_Toc207088813</vt:lpwstr>
      </vt:variant>
      <vt:variant>
        <vt:i4>1966133</vt:i4>
      </vt:variant>
      <vt:variant>
        <vt:i4>2</vt:i4>
      </vt:variant>
      <vt:variant>
        <vt:i4>0</vt:i4>
      </vt:variant>
      <vt:variant>
        <vt:i4>5</vt:i4>
      </vt:variant>
      <vt:variant>
        <vt:lpwstr/>
      </vt:variant>
      <vt:variant>
        <vt:lpwstr>_Toc207088812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O'Keeffe</dc:creator>
  <cp:keywords/>
  <dc:description/>
  <cp:lastModifiedBy>Patrick O'Keeffe</cp:lastModifiedBy>
  <cp:revision>41</cp:revision>
  <cp:lastPrinted>2010-04-12T22:24:00Z</cp:lastPrinted>
  <dcterms:created xsi:type="dcterms:W3CDTF">2009-01-21T17:44:00Z</dcterms:created>
  <dcterms:modified xsi:type="dcterms:W3CDTF">2010-04-13T18:17:00Z</dcterms:modified>
</cp:coreProperties>
</file>