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FB5" w:rsidRPr="00AE46BA" w:rsidRDefault="00AE3FB5" w:rsidP="00AE3FB5">
      <w:pPr>
        <w:pStyle w:val="NormalWeb"/>
        <w:spacing w:before="0" w:beforeAutospacing="0" w:after="120" w:afterAutospacing="0"/>
        <w:rPr>
          <w:u w:val="single"/>
        </w:rPr>
      </w:pPr>
      <w:r>
        <w:rPr>
          <w:u w:val="single"/>
        </w:rPr>
        <w:t>Smart REA Systems</w:t>
      </w:r>
    </w:p>
    <w:p w:rsidR="00AE3FB5" w:rsidRDefault="00AE3FB5" w:rsidP="00AE3FB5">
      <w:pPr>
        <w:pStyle w:val="NormalWeb"/>
        <w:spacing w:before="0" w:beforeAutospacing="0" w:after="120" w:afterAutospacing="0"/>
        <w:ind w:firstLine="360"/>
        <w:jc w:val="both"/>
      </w:pPr>
      <w:r>
        <w:t>A major component of the project, vital to our experimental plans, is the development of the smart REA sampling system. For Study #2, we will require a total of four systems, all deployed for the entire study. Each smart REA system will require the following equipment and supplies:</w:t>
      </w:r>
    </w:p>
    <w:tbl>
      <w:tblPr>
        <w:tblStyle w:val="TableGrid"/>
        <w:tblW w:w="0" w:type="auto"/>
        <w:jc w:val="center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3075"/>
        <w:gridCol w:w="1636"/>
        <w:gridCol w:w="1379"/>
        <w:gridCol w:w="2208"/>
      </w:tblGrid>
      <w:tr w:rsidR="00AE3FB5" w:rsidTr="00C40F6C">
        <w:trPr>
          <w:jc w:val="center"/>
        </w:trPr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Component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Price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# Required per System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Cost per System</w:t>
            </w:r>
          </w:p>
        </w:tc>
      </w:tr>
      <w:tr w:rsidR="00AE3FB5" w:rsidTr="00C40F6C">
        <w:trPr>
          <w:jc w:val="center"/>
        </w:trPr>
        <w:tc>
          <w:tcPr>
            <w:tcW w:w="3339" w:type="dxa"/>
            <w:tcBorders>
              <w:top w:val="single" w:sz="4" w:space="0" w:color="auto"/>
            </w:tcBorders>
            <w:vAlign w:val="center"/>
          </w:tcPr>
          <w:p w:rsidR="00AE3FB5" w:rsidRPr="00AE46BA" w:rsidRDefault="00AE3FB5" w:rsidP="00C40F6C">
            <w:pPr>
              <w:pStyle w:val="NormalWeb"/>
              <w:spacing w:before="20" w:beforeAutospacing="0" w:after="20" w:afterAutospacing="0"/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</w:rPr>
              <w:t>Equipment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</w:p>
        </w:tc>
        <w:tc>
          <w:tcPr>
            <w:tcW w:w="2485" w:type="dxa"/>
            <w:tcBorders>
              <w:top w:val="single" w:sz="4" w:space="0" w:color="auto"/>
            </w:tcBorders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</w:p>
        </w:tc>
      </w:tr>
      <w:tr w:rsidR="00AE3FB5" w:rsidTr="00C40F6C">
        <w:trPr>
          <w:jc w:val="center"/>
        </w:trPr>
        <w:tc>
          <w:tcPr>
            <w:tcW w:w="3339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Sonic Anemometer</w:t>
            </w:r>
          </w:p>
        </w:tc>
        <w:tc>
          <w:tcPr>
            <w:tcW w:w="1800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$3,500</w:t>
            </w:r>
          </w:p>
        </w:tc>
        <w:tc>
          <w:tcPr>
            <w:tcW w:w="1440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1</w:t>
            </w:r>
          </w:p>
        </w:tc>
        <w:tc>
          <w:tcPr>
            <w:tcW w:w="2485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$3,500</w:t>
            </w:r>
          </w:p>
        </w:tc>
      </w:tr>
      <w:tr w:rsidR="00AE3FB5" w:rsidTr="00C40F6C">
        <w:trPr>
          <w:jc w:val="center"/>
        </w:trPr>
        <w:tc>
          <w:tcPr>
            <w:tcW w:w="3339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proofErr w:type="spellStart"/>
            <w:r>
              <w:t>Datalogger</w:t>
            </w:r>
            <w:proofErr w:type="spellEnd"/>
          </w:p>
        </w:tc>
        <w:tc>
          <w:tcPr>
            <w:tcW w:w="1800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$4,000</w:t>
            </w:r>
          </w:p>
        </w:tc>
        <w:tc>
          <w:tcPr>
            <w:tcW w:w="1440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1</w:t>
            </w:r>
          </w:p>
        </w:tc>
        <w:tc>
          <w:tcPr>
            <w:tcW w:w="2485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$4,000</w:t>
            </w:r>
          </w:p>
        </w:tc>
      </w:tr>
      <w:tr w:rsidR="00AE3FB5" w:rsidTr="00C40F6C">
        <w:trPr>
          <w:jc w:val="center"/>
        </w:trPr>
        <w:tc>
          <w:tcPr>
            <w:tcW w:w="3339" w:type="dxa"/>
            <w:vAlign w:val="center"/>
          </w:tcPr>
          <w:p w:rsidR="00AE3FB5" w:rsidRPr="00AE46BA" w:rsidRDefault="00AE3FB5" w:rsidP="00C40F6C">
            <w:pPr>
              <w:pStyle w:val="NormalWeb"/>
              <w:spacing w:before="120" w:beforeAutospacing="0" w:after="20" w:afterAutospacing="0"/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</w:rPr>
              <w:t>Supplies</w:t>
            </w:r>
          </w:p>
        </w:tc>
        <w:tc>
          <w:tcPr>
            <w:tcW w:w="1800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</w:p>
        </w:tc>
        <w:tc>
          <w:tcPr>
            <w:tcW w:w="1440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</w:p>
        </w:tc>
        <w:tc>
          <w:tcPr>
            <w:tcW w:w="2485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</w:p>
        </w:tc>
      </w:tr>
      <w:tr w:rsidR="00AE3FB5" w:rsidTr="00C40F6C">
        <w:trPr>
          <w:jc w:val="center"/>
        </w:trPr>
        <w:tc>
          <w:tcPr>
            <w:tcW w:w="3339" w:type="dxa"/>
            <w:vAlign w:val="center"/>
          </w:tcPr>
          <w:p w:rsidR="00AE3FB5" w:rsidRPr="00AE46BA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Solar Panels</w:t>
            </w:r>
          </w:p>
        </w:tc>
        <w:tc>
          <w:tcPr>
            <w:tcW w:w="1800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$1,400</w:t>
            </w:r>
          </w:p>
        </w:tc>
        <w:tc>
          <w:tcPr>
            <w:tcW w:w="1440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2</w:t>
            </w:r>
          </w:p>
        </w:tc>
        <w:tc>
          <w:tcPr>
            <w:tcW w:w="2485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$2,800</w:t>
            </w:r>
          </w:p>
        </w:tc>
      </w:tr>
      <w:tr w:rsidR="00AE3FB5" w:rsidTr="00C40F6C">
        <w:trPr>
          <w:jc w:val="center"/>
        </w:trPr>
        <w:tc>
          <w:tcPr>
            <w:tcW w:w="3339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Tower</w:t>
            </w:r>
          </w:p>
        </w:tc>
        <w:tc>
          <w:tcPr>
            <w:tcW w:w="1800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$500</w:t>
            </w:r>
          </w:p>
        </w:tc>
        <w:tc>
          <w:tcPr>
            <w:tcW w:w="1440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1</w:t>
            </w:r>
          </w:p>
        </w:tc>
        <w:tc>
          <w:tcPr>
            <w:tcW w:w="2485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$500</w:t>
            </w:r>
          </w:p>
        </w:tc>
      </w:tr>
      <w:tr w:rsidR="00AE3FB5" w:rsidTr="00C40F6C">
        <w:trPr>
          <w:jc w:val="center"/>
        </w:trPr>
        <w:tc>
          <w:tcPr>
            <w:tcW w:w="3339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Flow Controller</w:t>
            </w:r>
          </w:p>
        </w:tc>
        <w:tc>
          <w:tcPr>
            <w:tcW w:w="1800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$800</w:t>
            </w:r>
          </w:p>
        </w:tc>
        <w:tc>
          <w:tcPr>
            <w:tcW w:w="1440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1</w:t>
            </w:r>
          </w:p>
        </w:tc>
        <w:tc>
          <w:tcPr>
            <w:tcW w:w="2485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$800</w:t>
            </w:r>
          </w:p>
        </w:tc>
      </w:tr>
      <w:tr w:rsidR="00AE3FB5" w:rsidTr="00C40F6C">
        <w:trPr>
          <w:jc w:val="center"/>
        </w:trPr>
        <w:tc>
          <w:tcPr>
            <w:tcW w:w="3339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Temperature/RH Sensors</w:t>
            </w:r>
          </w:p>
        </w:tc>
        <w:tc>
          <w:tcPr>
            <w:tcW w:w="1800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$800</w:t>
            </w:r>
          </w:p>
        </w:tc>
        <w:tc>
          <w:tcPr>
            <w:tcW w:w="1440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1</w:t>
            </w:r>
          </w:p>
        </w:tc>
        <w:tc>
          <w:tcPr>
            <w:tcW w:w="2485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$800</w:t>
            </w:r>
          </w:p>
        </w:tc>
      </w:tr>
      <w:tr w:rsidR="00AE3FB5" w:rsidTr="00C40F6C">
        <w:trPr>
          <w:jc w:val="center"/>
        </w:trPr>
        <w:tc>
          <w:tcPr>
            <w:tcW w:w="3339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Pressure Sensor</w:t>
            </w:r>
          </w:p>
        </w:tc>
        <w:tc>
          <w:tcPr>
            <w:tcW w:w="1800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$500</w:t>
            </w:r>
          </w:p>
        </w:tc>
        <w:tc>
          <w:tcPr>
            <w:tcW w:w="1440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2</w:t>
            </w:r>
          </w:p>
        </w:tc>
        <w:tc>
          <w:tcPr>
            <w:tcW w:w="2485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$1,000</w:t>
            </w:r>
          </w:p>
        </w:tc>
      </w:tr>
      <w:tr w:rsidR="00AE3FB5" w:rsidTr="00C40F6C">
        <w:trPr>
          <w:jc w:val="center"/>
        </w:trPr>
        <w:tc>
          <w:tcPr>
            <w:tcW w:w="3339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Fast-Action Valves</w:t>
            </w:r>
          </w:p>
        </w:tc>
        <w:tc>
          <w:tcPr>
            <w:tcW w:w="1800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$250</w:t>
            </w:r>
          </w:p>
        </w:tc>
        <w:tc>
          <w:tcPr>
            <w:tcW w:w="1440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2</w:t>
            </w:r>
          </w:p>
        </w:tc>
        <w:tc>
          <w:tcPr>
            <w:tcW w:w="2485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$500</w:t>
            </w:r>
          </w:p>
        </w:tc>
      </w:tr>
      <w:tr w:rsidR="00AE3FB5" w:rsidTr="00C40F6C">
        <w:trPr>
          <w:jc w:val="center"/>
        </w:trPr>
        <w:tc>
          <w:tcPr>
            <w:tcW w:w="3339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Critical Orifices</w:t>
            </w:r>
          </w:p>
        </w:tc>
        <w:tc>
          <w:tcPr>
            <w:tcW w:w="1800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$150</w:t>
            </w:r>
          </w:p>
        </w:tc>
        <w:tc>
          <w:tcPr>
            <w:tcW w:w="1440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2</w:t>
            </w:r>
          </w:p>
        </w:tc>
        <w:tc>
          <w:tcPr>
            <w:tcW w:w="2485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$300</w:t>
            </w:r>
          </w:p>
        </w:tc>
      </w:tr>
      <w:tr w:rsidR="00AE3FB5" w:rsidTr="00C40F6C">
        <w:trPr>
          <w:jc w:val="center"/>
        </w:trPr>
        <w:tc>
          <w:tcPr>
            <w:tcW w:w="3339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Pump</w:t>
            </w:r>
          </w:p>
        </w:tc>
        <w:tc>
          <w:tcPr>
            <w:tcW w:w="1800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$400</w:t>
            </w:r>
          </w:p>
        </w:tc>
        <w:tc>
          <w:tcPr>
            <w:tcW w:w="1440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1</w:t>
            </w:r>
          </w:p>
        </w:tc>
        <w:tc>
          <w:tcPr>
            <w:tcW w:w="2485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$400</w:t>
            </w:r>
          </w:p>
        </w:tc>
      </w:tr>
      <w:tr w:rsidR="00AE3FB5" w:rsidTr="00C40F6C">
        <w:trPr>
          <w:jc w:val="center"/>
        </w:trPr>
        <w:tc>
          <w:tcPr>
            <w:tcW w:w="3339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Misc. Tubing &amp; Fittings</w:t>
            </w:r>
          </w:p>
        </w:tc>
        <w:tc>
          <w:tcPr>
            <w:tcW w:w="1800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$200</w:t>
            </w:r>
          </w:p>
        </w:tc>
        <w:tc>
          <w:tcPr>
            <w:tcW w:w="1440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1</w:t>
            </w:r>
          </w:p>
        </w:tc>
        <w:tc>
          <w:tcPr>
            <w:tcW w:w="2485" w:type="dxa"/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$200</w:t>
            </w:r>
          </w:p>
        </w:tc>
      </w:tr>
      <w:tr w:rsidR="00AE3FB5" w:rsidTr="00C40F6C">
        <w:trPr>
          <w:jc w:val="center"/>
        </w:trPr>
        <w:tc>
          <w:tcPr>
            <w:tcW w:w="3339" w:type="dxa"/>
            <w:tcBorders>
              <w:bottom w:val="single" w:sz="4" w:space="0" w:color="auto"/>
            </w:tcBorders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Canisters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$500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AE3FB5" w:rsidRPr="00546D94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6</w:t>
            </w:r>
            <w:r>
              <w:rPr>
                <w:vertAlign w:val="superscript"/>
              </w:rPr>
              <w:t>1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vAlign w:val="center"/>
          </w:tcPr>
          <w:p w:rsidR="00AE3FB5" w:rsidRDefault="00AE3FB5" w:rsidP="00C40F6C">
            <w:pPr>
              <w:pStyle w:val="NormalWeb"/>
              <w:spacing w:before="20" w:beforeAutospacing="0" w:after="20" w:afterAutospacing="0"/>
              <w:jc w:val="center"/>
            </w:pPr>
            <w:r>
              <w:t>$3,000</w:t>
            </w:r>
          </w:p>
        </w:tc>
      </w:tr>
    </w:tbl>
    <w:p w:rsidR="00AE3FB5" w:rsidRPr="00546D94" w:rsidRDefault="00AE3FB5" w:rsidP="00AE3FB5">
      <w:pPr>
        <w:pStyle w:val="NormalWeb"/>
        <w:spacing w:before="0" w:beforeAutospacing="0" w:after="120" w:afterAutospacing="0"/>
        <w:ind w:left="630" w:right="496" w:hanging="180"/>
        <w:jc w:val="both"/>
      </w:pPr>
      <w:r>
        <w:rPr>
          <w:vertAlign w:val="superscript"/>
        </w:rPr>
        <w:t>1</w:t>
      </w:r>
      <w:r>
        <w:t xml:space="preserve"> Two canisters are attached to the REA system at any given time. We have planned for three sets of canisters per system: one pair in use, one pair in transit, and one pair being analyzed at WSU at any given time.</w:t>
      </w:r>
    </w:p>
    <w:p w:rsidR="00B37F69" w:rsidRDefault="00B37F69">
      <w:bookmarkStart w:id="0" w:name="_GoBack"/>
      <w:bookmarkEnd w:id="0"/>
    </w:p>
    <w:sectPr w:rsidR="00B37F69" w:rsidSect="00B37F6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565D4"/>
    <w:multiLevelType w:val="multilevel"/>
    <w:tmpl w:val="EA1CDCB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FB5"/>
    <w:rsid w:val="004C30C9"/>
    <w:rsid w:val="00796BEF"/>
    <w:rsid w:val="00AE3FB5"/>
    <w:rsid w:val="00B3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A6FD7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FB5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MainText"/>
    <w:next w:val="MainText"/>
    <w:link w:val="Heading1Char"/>
    <w:uiPriority w:val="9"/>
    <w:qFormat/>
    <w:rsid w:val="00796BEF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BEF"/>
    <w:pPr>
      <w:keepNext/>
      <w:keepLines/>
      <w:numPr>
        <w:ilvl w:val="1"/>
        <w:numId w:val="2"/>
      </w:numPr>
      <w:spacing w:before="120" w:line="480" w:lineRule="auto"/>
      <w:outlineLvl w:val="1"/>
    </w:pPr>
    <w:rPr>
      <w:rFonts w:eastAsiaTheme="majorEastAsia" w:cstheme="majorBidi"/>
      <w:bCs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ext">
    <w:name w:val="MainText"/>
    <w:basedOn w:val="Normal"/>
    <w:qFormat/>
    <w:rsid w:val="00796BEF"/>
    <w:pPr>
      <w:spacing w:after="120" w:line="480" w:lineRule="auto"/>
      <w:ind w:firstLine="720"/>
    </w:pPr>
    <w:rPr>
      <w:rFonts w:eastAsiaTheme="minorHAns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96BEF"/>
    <w:rPr>
      <w:rFonts w:eastAsiaTheme="majorEastAsia" w:cstheme="majorBidi"/>
      <w:b/>
      <w:bCs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96BEF"/>
    <w:rPr>
      <w:rFonts w:eastAsiaTheme="majorEastAsia" w:cstheme="majorBidi"/>
      <w:bCs/>
      <w:i/>
      <w:sz w:val="24"/>
      <w:szCs w:val="26"/>
      <w:u w:val="single"/>
      <w:lang w:eastAsia="en-US"/>
    </w:rPr>
  </w:style>
  <w:style w:type="paragraph" w:customStyle="1" w:styleId="HeadingwoNumber">
    <w:name w:val="Heading w/o Number"/>
    <w:basedOn w:val="Heading1"/>
    <w:qFormat/>
    <w:rsid w:val="00796BEF"/>
    <w:pPr>
      <w:numPr>
        <w:numId w:val="0"/>
      </w:numPr>
    </w:pPr>
  </w:style>
  <w:style w:type="paragraph" w:customStyle="1" w:styleId="ManuscriptTitle">
    <w:name w:val="ManuscriptTitle"/>
    <w:basedOn w:val="Normal"/>
    <w:qFormat/>
    <w:rsid w:val="00796BEF"/>
    <w:pPr>
      <w:ind w:firstLine="720"/>
      <w:jc w:val="center"/>
    </w:pPr>
    <w:rPr>
      <w:rFonts w:eastAsiaTheme="minorHAnsi"/>
      <w:b/>
      <w:color w:val="000000"/>
      <w:sz w:val="32"/>
      <w:szCs w:val="32"/>
    </w:rPr>
  </w:style>
  <w:style w:type="paragraph" w:customStyle="1" w:styleId="References">
    <w:name w:val="References"/>
    <w:basedOn w:val="Normal"/>
    <w:qFormat/>
    <w:rsid w:val="00796BEF"/>
    <w:pPr>
      <w:spacing w:after="240"/>
      <w:ind w:left="360" w:hanging="360"/>
    </w:pPr>
    <w:rPr>
      <w:rFonts w:eastAsiaTheme="minorHAnsi"/>
      <w:szCs w:val="22"/>
    </w:rPr>
  </w:style>
  <w:style w:type="paragraph" w:styleId="NormalWeb">
    <w:name w:val="Normal (Web)"/>
    <w:basedOn w:val="Normal"/>
    <w:rsid w:val="00AE3FB5"/>
    <w:pPr>
      <w:spacing w:before="100" w:beforeAutospacing="1" w:after="100" w:afterAutospacing="1"/>
    </w:pPr>
  </w:style>
  <w:style w:type="table" w:styleId="TableGrid">
    <w:name w:val="Table Grid"/>
    <w:basedOn w:val="TableNormal"/>
    <w:rsid w:val="00AE3FB5"/>
    <w:rPr>
      <w:rFonts w:eastAsia="Times New Roman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FB5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MainText"/>
    <w:next w:val="MainText"/>
    <w:link w:val="Heading1Char"/>
    <w:uiPriority w:val="9"/>
    <w:qFormat/>
    <w:rsid w:val="00796BEF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BEF"/>
    <w:pPr>
      <w:keepNext/>
      <w:keepLines/>
      <w:numPr>
        <w:ilvl w:val="1"/>
        <w:numId w:val="2"/>
      </w:numPr>
      <w:spacing w:before="120" w:line="480" w:lineRule="auto"/>
      <w:outlineLvl w:val="1"/>
    </w:pPr>
    <w:rPr>
      <w:rFonts w:eastAsiaTheme="majorEastAsia" w:cstheme="majorBidi"/>
      <w:bCs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ext">
    <w:name w:val="MainText"/>
    <w:basedOn w:val="Normal"/>
    <w:qFormat/>
    <w:rsid w:val="00796BEF"/>
    <w:pPr>
      <w:spacing w:after="120" w:line="480" w:lineRule="auto"/>
      <w:ind w:firstLine="720"/>
    </w:pPr>
    <w:rPr>
      <w:rFonts w:eastAsiaTheme="minorHAns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96BEF"/>
    <w:rPr>
      <w:rFonts w:eastAsiaTheme="majorEastAsia" w:cstheme="majorBidi"/>
      <w:b/>
      <w:bCs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96BEF"/>
    <w:rPr>
      <w:rFonts w:eastAsiaTheme="majorEastAsia" w:cstheme="majorBidi"/>
      <w:bCs/>
      <w:i/>
      <w:sz w:val="24"/>
      <w:szCs w:val="26"/>
      <w:u w:val="single"/>
      <w:lang w:eastAsia="en-US"/>
    </w:rPr>
  </w:style>
  <w:style w:type="paragraph" w:customStyle="1" w:styleId="HeadingwoNumber">
    <w:name w:val="Heading w/o Number"/>
    <w:basedOn w:val="Heading1"/>
    <w:qFormat/>
    <w:rsid w:val="00796BEF"/>
    <w:pPr>
      <w:numPr>
        <w:numId w:val="0"/>
      </w:numPr>
    </w:pPr>
  </w:style>
  <w:style w:type="paragraph" w:customStyle="1" w:styleId="ManuscriptTitle">
    <w:name w:val="ManuscriptTitle"/>
    <w:basedOn w:val="Normal"/>
    <w:qFormat/>
    <w:rsid w:val="00796BEF"/>
    <w:pPr>
      <w:ind w:firstLine="720"/>
      <w:jc w:val="center"/>
    </w:pPr>
    <w:rPr>
      <w:rFonts w:eastAsiaTheme="minorHAnsi"/>
      <w:b/>
      <w:color w:val="000000"/>
      <w:sz w:val="32"/>
      <w:szCs w:val="32"/>
    </w:rPr>
  </w:style>
  <w:style w:type="paragraph" w:customStyle="1" w:styleId="References">
    <w:name w:val="References"/>
    <w:basedOn w:val="Normal"/>
    <w:qFormat/>
    <w:rsid w:val="00796BEF"/>
    <w:pPr>
      <w:spacing w:after="240"/>
      <w:ind w:left="360" w:hanging="360"/>
    </w:pPr>
    <w:rPr>
      <w:rFonts w:eastAsiaTheme="minorHAnsi"/>
      <w:szCs w:val="22"/>
    </w:rPr>
  </w:style>
  <w:style w:type="paragraph" w:styleId="NormalWeb">
    <w:name w:val="Normal (Web)"/>
    <w:basedOn w:val="Normal"/>
    <w:rsid w:val="00AE3FB5"/>
    <w:pPr>
      <w:spacing w:before="100" w:beforeAutospacing="1" w:after="100" w:afterAutospacing="1"/>
    </w:pPr>
  </w:style>
  <w:style w:type="table" w:styleId="TableGrid">
    <w:name w:val="Table Grid"/>
    <w:basedOn w:val="TableNormal"/>
    <w:rsid w:val="00AE3FB5"/>
    <w:rPr>
      <w:rFonts w:eastAsia="Times New Roman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Macintosh Word</Application>
  <DocSecurity>0</DocSecurity>
  <Lines>6</Lines>
  <Paragraphs>1</Paragraphs>
  <ScaleCrop>false</ScaleCrop>
  <Company>WASHINGTON STATE UNIVERSITY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VanReken</dc:creator>
  <cp:keywords/>
  <dc:description/>
  <cp:lastModifiedBy>Timothy VanReken</cp:lastModifiedBy>
  <cp:revision>1</cp:revision>
  <dcterms:created xsi:type="dcterms:W3CDTF">2012-06-25T23:06:00Z</dcterms:created>
  <dcterms:modified xsi:type="dcterms:W3CDTF">2012-06-25T23:08:00Z</dcterms:modified>
</cp:coreProperties>
</file>