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32"/>
          <w:szCs w:val="32"/>
        </w:rPr>
        <w:t xml:space="preserve">BMDS 210 / CS 270 — Final Project Proposal</w:t>
      </w:r>
    </w:p>
    <w:p>
      <w:pPr>
        <w:spacing w:after="60"/>
        <w:jc w:val="center"/>
      </w:pPr>
      <w:r>
        <w:rPr>
          <w:rFonts w:ascii="Arial" w:cs="Arial" w:eastAsia="Arial" w:hAnsi="Arial"/>
          <w:b/>
          <w:bCs/>
          <w:color w:val="4472C4"/>
          <w:sz w:val="28"/>
          <w:szCs w:val="28"/>
        </w:rPr>
        <w:t xml:space="preserve">Toward a Computable Ontology of End-of-Life Care Preferences</w:t>
      </w:r>
    </w:p>
    <w:p>
      <w:pPr>
        <w:spacing w:after="60"/>
        <w:jc w:val="center"/>
      </w:pPr>
      <w:r>
        <w:rPr>
          <w:rFonts w:ascii="Arial" w:cs="Arial" w:eastAsia="Arial" w:hAnsi="Arial"/>
          <w:color w:val="666666"/>
          <w:sz w:val="22"/>
          <w:szCs w:val="22"/>
        </w:rPr>
        <w:t xml:space="preserve">Spring 2026  |  BMDS210</w:t>
      </w:r>
    </w:p>
    <w:p>
      <w:pPr>
        <w:pBdr>
          <w:bottom w:val="single" w:color="4472C4" w:sz="6" w:space="1"/>
        </w:pBdr>
        <w:spacing w:after="160"/>
      </w:pPr>
    </w:p>
    <w:p>
      <w:pPr>
        <w:spacing w:after="80"/>
      </w:pPr>
    </w:p>
    <w:p>
      <w:pPr>
        <w:pStyle w:val="Heading1"/>
        <w:spacing w:after="120" w:before="320"/>
      </w:pPr>
      <w:r>
        <w:rPr>
          <w:rFonts w:ascii="Arial" w:cs="Arial" w:eastAsia="Arial" w:hAnsi="Arial"/>
          <w:b/>
          <w:bCs/>
          <w:color w:val="2E4057"/>
          <w:sz w:val="28"/>
          <w:szCs w:val="28"/>
        </w:rPr>
        <w:t xml:space="preserve">1. Application Area and Problem</w:t>
      </w:r>
    </w:p>
    <w:p>
      <w:pPr>
        <w:spacing w:after="140" w:line="276"/>
      </w:pPr>
      <w:r>
        <w:rPr>
          <w:rFonts w:ascii="Arial" w:cs="Arial" w:eastAsia="Arial" w:hAnsi="Arial"/>
          <w:sz w:val="22"/>
          <w:szCs w:val="22"/>
        </w:rPr>
        <w:t xml:space="preserve">Advance directives (ADs) are legal documents in which patients specify their end-of-life (EOL) care preferences. Despite their importance, current advance directives are almost entirely free-text documents that cannot be queried, reasoned over, or transferred reliably across care settings. Clinicians frequently encounter ADs at moments of acute crisis and must interpret ambiguous natural language under time pressure — a known failure mode in critical care.</w:t>
      </w:r>
    </w:p>
    <w:p>
      <w:pPr>
        <w:spacing w:after="80"/>
      </w:pPr>
    </w:p>
    <w:p>
      <w:pPr>
        <w:spacing w:after="140" w:line="276"/>
      </w:pPr>
      <w:r>
        <w:rPr>
          <w:rFonts w:ascii="Arial" w:cs="Arial" w:eastAsia="Arial" w:hAnsi="Arial"/>
          <w:sz w:val="22"/>
          <w:szCs w:val="22"/>
        </w:rPr>
        <w:t xml:space="preserve">The core computational problem is the absence of a computable, machine-actionable representation of EOL preferences. Existing standards address data transport (e.g., the HL7 FHIR Advance Directive Interoperability implementation guide) but not semantic reasoning: they specify how to store and transmit a directive, not how to infer what care a patient would want given their current clinical state.</w:t>
      </w:r>
    </w:p>
    <w:p>
      <w:pPr>
        <w:spacing w:after="80"/>
      </w:pPr>
    </w:p>
    <w:p>
      <w:pPr>
        <w:spacing w:after="140" w:line="276"/>
      </w:pPr>
      <w:r>
        <w:rPr>
          <w:rFonts w:ascii="Arial" w:cs="Arial" w:eastAsia="Arial" w:hAnsi="Arial"/>
          <w:sz w:val="22"/>
          <w:szCs w:val="22"/>
        </w:rPr>
        <w:t xml:space="preserve">This project proposes to build an OWL ontology of EOL care preferences — an Advance Directive Ontology (ADO) — that enables a reasoner to match a patient's documented preferences to their current clinical situation and infer appropriate care decisions. We scope our work to one disease trajectory (advanced heart failure) to ensure tractability within the quarter, while designing the ontology to be generalizable.</w:t>
      </w:r>
    </w:p>
    <w:p>
      <w:pPr>
        <w:spacing w:after="80"/>
      </w:pPr>
    </w:p>
    <w:p>
      <w:pPr>
        <w:spacing w:after="140" w:line="276"/>
      </w:pPr>
      <w:r>
        <w:rPr>
          <w:rFonts w:ascii="Arial" w:cs="Arial" w:eastAsia="Arial" w:hAnsi="Arial"/>
          <w:sz w:val="22"/>
          <w:szCs w:val="22"/>
        </w:rPr>
        <w:t xml:space="preserve">The clinical significance is substantial: an estimated 67% of ICU patients cannot speak for themselves at end of life, yet fewer than 30% have advance directives on file, and those that exist are rarely in a form that is interoperable with EHR systems. A formal, computable ontology could support clinical decision support tools that surface and interpret patient preferences at the point of care.</w:t>
      </w:r>
    </w:p>
    <w:p>
      <w:pPr>
        <w:spacing w:after="80"/>
      </w:pPr>
    </w:p>
    <w:p>
      <w:pPr>
        <w:pStyle w:val="Heading1"/>
        <w:spacing w:after="120" w:before="320"/>
      </w:pPr>
      <w:r>
        <w:rPr>
          <w:rFonts w:ascii="Arial" w:cs="Arial" w:eastAsia="Arial" w:hAnsi="Arial"/>
          <w:b/>
          <w:bCs/>
          <w:color w:val="2E4057"/>
          <w:sz w:val="28"/>
          <w:szCs w:val="28"/>
        </w:rPr>
        <w:t xml:space="preserve">2. Methodology</w:t>
      </w:r>
    </w:p>
    <w:p>
      <w:pPr>
        <w:pStyle w:val="Heading2"/>
        <w:spacing w:after="80" w:before="240"/>
      </w:pPr>
      <w:r>
        <w:rPr>
          <w:rFonts w:ascii="Arial" w:cs="Arial" w:eastAsia="Arial" w:hAnsi="Arial"/>
          <w:b/>
          <w:bCs/>
          <w:color w:val="4472C4"/>
          <w:sz w:val="24"/>
          <w:szCs w:val="24"/>
        </w:rPr>
        <w:t xml:space="preserve">2.1 Data Sources</w:t>
      </w:r>
    </w:p>
    <w:p>
      <w:pPr>
        <w:pStyle w:val="ListParagraph"/>
        <w:numPr>
          <w:ilvl w:val="0"/>
          <w:numId w:val="2"/>
        </w:numPr>
        <w:spacing w:after="100"/>
      </w:pPr>
      <w:r>
        <w:rPr>
          <w:rFonts w:ascii="Arial" w:cs="Arial" w:eastAsia="Arial" w:hAnsi="Arial"/>
          <w:sz w:val="22"/>
          <w:szCs w:val="22"/>
        </w:rPr>
        <w:t xml:space="preserve">State advance directive templates (California AHCD, Five Wishes, and 3-4 additional state forms) as a corpus for concept extraction</w:t>
      </w:r>
    </w:p>
    <w:p>
      <w:pPr>
        <w:pStyle w:val="ListParagraph"/>
        <w:numPr>
          <w:ilvl w:val="0"/>
          <w:numId w:val="2"/>
        </w:numPr>
        <w:spacing w:after="100"/>
      </w:pPr>
      <w:r>
        <w:rPr>
          <w:rFonts w:ascii="Arial" w:cs="Arial" w:eastAsia="Arial" w:hAnsi="Arial"/>
          <w:sz w:val="22"/>
          <w:szCs w:val="22"/>
        </w:rPr>
        <w:t xml:space="preserve">POLST (Physician Orders for Life-Sustaining Treatment) forms as a structured comparator</w:t>
      </w:r>
    </w:p>
    <w:p>
      <w:pPr>
        <w:pStyle w:val="ListParagraph"/>
        <w:numPr>
          <w:ilvl w:val="0"/>
          <w:numId w:val="2"/>
        </w:numPr>
        <w:spacing w:after="100"/>
      </w:pPr>
      <w:r>
        <w:rPr>
          <w:rFonts w:ascii="Arial" w:cs="Arial" w:eastAsia="Arial" w:hAnsi="Arial"/>
          <w:sz w:val="22"/>
          <w:szCs w:val="22"/>
        </w:rPr>
        <w:t xml:space="preserve">Published clinical vignettes from the palliative care literature for evaluation scenario construction</w:t>
      </w:r>
    </w:p>
    <w:p>
      <w:pPr>
        <w:pStyle w:val="ListParagraph"/>
        <w:numPr>
          <w:ilvl w:val="0"/>
          <w:numId w:val="2"/>
        </w:numPr>
        <w:spacing w:after="100"/>
      </w:pPr>
      <w:r>
        <w:rPr>
          <w:rFonts w:ascii="Arial" w:cs="Arial" w:eastAsia="Arial" w:hAnsi="Arial"/>
          <w:sz w:val="22"/>
          <w:szCs w:val="22"/>
        </w:rPr>
        <w:t xml:space="preserve">SNOMED CT and LOINC for grounding clinical concepts (conditions, interventions, functional status scales)</w:t>
      </w:r>
    </w:p>
    <w:p>
      <w:pPr>
        <w:spacing w:after="80"/>
      </w:pPr>
    </w:p>
    <w:p>
      <w:pPr>
        <w:pStyle w:val="Heading2"/>
        <w:spacing w:after="80" w:before="240"/>
      </w:pPr>
      <w:r>
        <w:rPr>
          <w:rFonts w:ascii="Arial" w:cs="Arial" w:eastAsia="Arial" w:hAnsi="Arial"/>
          <w:b/>
          <w:bCs/>
          <w:color w:val="4472C4"/>
          <w:sz w:val="24"/>
          <w:szCs w:val="24"/>
        </w:rPr>
        <w:t xml:space="preserve">2.2 Ontology Design and Implementation</w:t>
      </w:r>
    </w:p>
    <w:p>
      <w:pPr>
        <w:spacing w:after="140" w:line="276"/>
      </w:pPr>
      <w:r>
        <w:rPr>
          <w:rFonts w:ascii="Arial" w:cs="Arial" w:eastAsia="Arial" w:hAnsi="Arial"/>
          <w:sz w:val="22"/>
          <w:szCs w:val="22"/>
        </w:rPr>
        <w:t xml:space="preserve">We will design the ontology in three phases:</w:t>
      </w:r>
    </w:p>
    <w:p>
      <w:pPr>
        <w:spacing w:after="80"/>
      </w:pPr>
    </w:p>
    <w:p>
      <w:pPr>
        <w:pStyle w:val="ListParagraph"/>
        <w:numPr>
          <w:ilvl w:val="0"/>
          <w:numId w:val="2"/>
        </w:numPr>
        <w:spacing w:after="100"/>
      </w:pPr>
      <w:r>
        <w:rPr>
          <w:rFonts w:ascii="Arial" w:cs="Arial" w:eastAsia="Arial" w:hAnsi="Arial"/>
          <w:sz w:val="22"/>
          <w:szCs w:val="22"/>
        </w:rPr>
        <w:t xml:space="preserve">Concept inventory: Manual annotation of 30-40 advance directive documents to catalog all distinct preference types, conditions, actors, and interventions. This produces the raw vocabulary for the ontology.</w:t>
      </w:r>
    </w:p>
    <w:p>
      <w:pPr>
        <w:pStyle w:val="ListParagraph"/>
        <w:numPr>
          <w:ilvl w:val="0"/>
          <w:numId w:val="2"/>
        </w:numPr>
        <w:spacing w:after="100"/>
      </w:pPr>
      <w:r>
        <w:rPr>
          <w:rFonts w:ascii="Arial" w:cs="Arial" w:eastAsia="Arial" w:hAnsi="Arial"/>
          <w:sz w:val="22"/>
          <w:szCs w:val="22"/>
        </w:rPr>
        <w:t xml:space="preserve">Class hierarchy design: Top-level classes will include PreferenceStatement, ClinicalCondition, Intervention, DecisionMaker, and CareContext. Key design decisions — particularly around conditional preferences (if-then structure), negation, and value statements — will be documented explicitly.</w:t>
      </w:r>
    </w:p>
    <w:p>
      <w:pPr>
        <w:pStyle w:val="ListParagraph"/>
        <w:numPr>
          <w:ilvl w:val="0"/>
          <w:numId w:val="2"/>
        </w:numPr>
        <w:spacing w:after="100"/>
      </w:pPr>
      <w:r>
        <w:rPr>
          <w:rFonts w:ascii="Arial" w:cs="Arial" w:eastAsia="Arial" w:hAnsi="Arial"/>
          <w:sz w:val="22"/>
          <w:szCs w:val="22"/>
        </w:rPr>
        <w:t xml:space="preserve">OWL implementation: We will build the ontology in Protégé, grounding clinical concepts in SNOMED CT. Object properties will include hasProxy, appliesToCondition, specifiesIntervention, and hasActivationCondition. We will use OwlReady2 and Python to programmatically instantiate ontology individuals from structured directive input.</w:t>
      </w:r>
    </w:p>
    <w:p>
      <w:pPr>
        <w:spacing w:after="80"/>
      </w:pPr>
    </w:p>
    <w:p>
      <w:pPr>
        <w:pStyle w:val="Heading2"/>
        <w:spacing w:after="80" w:before="240"/>
      </w:pPr>
      <w:r>
        <w:rPr>
          <w:rFonts w:ascii="Arial" w:cs="Arial" w:eastAsia="Arial" w:hAnsi="Arial"/>
          <w:b/>
          <w:bCs/>
          <w:color w:val="4472C4"/>
          <w:sz w:val="24"/>
          <w:szCs w:val="24"/>
        </w:rPr>
        <w:t xml:space="preserve">2.3 Reasoning and Inference</w:t>
      </w:r>
    </w:p>
    <w:p>
      <w:pPr>
        <w:spacing w:after="140" w:line="276"/>
      </w:pPr>
      <w:r>
        <w:rPr>
          <w:rFonts w:ascii="Arial" w:cs="Arial" w:eastAsia="Arial" w:hAnsi="Arial"/>
          <w:sz w:val="22"/>
          <w:szCs w:val="22"/>
        </w:rPr>
        <w:t xml:space="preserve">We will write Description Logic (DL) queries and SWRL rules to enable inference. A core use case: given a patient individual with an encoded ADO instance and a current clinical state (e.g., cardiac arrest, terminal prognosis), the reasoner should infer which preferences apply and what care is indicated. We will use the HermiT reasoner within Protégé for classification and query execution.</w:t>
      </w:r>
    </w:p>
    <w:p>
      <w:pPr>
        <w:spacing w:after="80"/>
      </w:pPr>
    </w:p>
    <w:p>
      <w:pPr>
        <w:pStyle w:val="Heading2"/>
        <w:spacing w:after="80" w:before="240"/>
      </w:pPr>
      <w:r>
        <w:rPr>
          <w:rFonts w:ascii="Arial" w:cs="Arial" w:eastAsia="Arial" w:hAnsi="Arial"/>
          <w:b/>
          <w:bCs/>
          <w:color w:val="4472C4"/>
          <w:sz w:val="24"/>
          <w:szCs w:val="24"/>
        </w:rPr>
        <w:t xml:space="preserve">2.4 Evaluation</w:t>
      </w:r>
    </w:p>
    <w:p>
      <w:pPr>
        <w:spacing w:after="140" w:line="276"/>
      </w:pPr>
      <w:r>
        <w:rPr>
          <w:rFonts w:ascii="Arial" w:cs="Arial" w:eastAsia="Arial" w:hAnsi="Arial"/>
          <w:sz w:val="22"/>
          <w:szCs w:val="22"/>
        </w:rPr>
        <w:t xml:space="preserve">We plan two complementary evaluation tracks:</w:t>
      </w:r>
    </w:p>
    <w:p>
      <w:pPr>
        <w:spacing w:after="80"/>
      </w:pPr>
    </w:p>
    <w:p>
      <w:pPr>
        <w:pStyle w:val="ListParagraph"/>
        <w:numPr>
          <w:ilvl w:val="0"/>
          <w:numId w:val="2"/>
        </w:numPr>
        <w:spacing w:after="100"/>
      </w:pPr>
      <w:r>
        <w:rPr>
          <w:rFonts w:ascii="Arial" w:cs="Arial" w:eastAsia="Arial" w:hAnsi="Arial"/>
          <w:sz w:val="22"/>
          <w:szCs w:val="22"/>
        </w:rPr>
        <w:t xml:space="preserve">Coverage analysis: We will encode 25-30 preference statements drawn from real advance directive templates into the ontology and measure the proportion that can be represented without loss of meaning. Failures will be categorized (missing class, OWL limitation, inherent vagueness) and analyzed as a structured gap analysis.</w:t>
      </w:r>
    </w:p>
    <w:p>
      <w:pPr>
        <w:pStyle w:val="ListParagraph"/>
        <w:numPr>
          <w:ilvl w:val="0"/>
          <w:numId w:val="2"/>
        </w:numPr>
        <w:spacing w:after="100"/>
      </w:pPr>
      <w:r>
        <w:rPr>
          <w:rFonts w:ascii="Arial" w:cs="Arial" w:eastAsia="Arial" w:hAnsi="Arial"/>
          <w:sz w:val="22"/>
          <w:szCs w:val="22"/>
        </w:rPr>
        <w:t xml:space="preserve">Scenario-based reasoning test: We will design 15 clinical vignettes (patient directive + clinical situation + ground-truth care decision, labeled by a clinical expert or drawn from published case literature) and test whether our DL reasoner produces correct inferences. We will report precision and recall, with case-by-case analysis of failures.</w:t>
      </w:r>
    </w:p>
    <w:p>
      <w:pPr>
        <w:pStyle w:val="ListParagraph"/>
        <w:numPr>
          <w:ilvl w:val="0"/>
          <w:numId w:val="2"/>
        </w:numPr>
        <w:spacing w:after="100"/>
      </w:pPr>
      <w:r>
        <w:rPr>
          <w:rFonts w:ascii="Arial" w:cs="Arial" w:eastAsia="Arial" w:hAnsi="Arial"/>
          <w:sz w:val="22"/>
          <w:szCs w:val="22"/>
        </w:rPr>
        <w:t xml:space="preserve">Expressivity comparison (stretch): We will compare our ontology’s expressivity against the FHIR ADI resource and a standard POLST form across a rubric of dimensions: conditional preferences, negation, value statements, proxy activation conditions, and jurisdictional constraints.</w:t>
      </w:r>
    </w:p>
    <w:p>
      <w:pPr>
        <w:spacing w:after="80"/>
      </w:pPr>
    </w:p>
    <w:p>
      <w:pPr>
        <w:pStyle w:val="Heading1"/>
        <w:spacing w:after="120" w:before="320"/>
      </w:pPr>
      <w:r>
        <w:rPr>
          <w:rFonts w:ascii="Arial" w:cs="Arial" w:eastAsia="Arial" w:hAnsi="Arial"/>
          <w:b/>
          <w:bCs/>
          <w:color w:val="2E4057"/>
          <w:sz w:val="28"/>
          <w:szCs w:val="28"/>
        </w:rPr>
        <w:t xml:space="preserve">3. Anticipated Challenges</w:t>
      </w:r>
    </w:p>
    <w:p>
      <w:pPr>
        <w:pStyle w:val="Heading2"/>
        <w:spacing w:after="80" w:before="240"/>
      </w:pPr>
      <w:r>
        <w:rPr>
          <w:rFonts w:ascii="Arial" w:cs="Arial" w:eastAsia="Arial" w:hAnsi="Arial"/>
          <w:b/>
          <w:bCs/>
          <w:color w:val="4472C4"/>
          <w:sz w:val="24"/>
          <w:szCs w:val="24"/>
        </w:rPr>
        <w:t xml:space="preserve">3.1 Negation in OWL</w:t>
      </w:r>
    </w:p>
    <w:p>
      <w:pPr>
        <w:spacing w:after="140" w:line="276"/>
      </w:pPr>
      <w:r>
        <w:rPr>
          <w:rFonts w:ascii="Arial" w:cs="Arial" w:eastAsia="Arial" w:hAnsi="Arial"/>
          <w:sz w:val="22"/>
          <w:szCs w:val="22"/>
        </w:rPr>
        <w:t xml:space="preserve">Exclusionary preferences (“I do not want mechanical ventilation”) are non-trivial to represent under OWL’s open-world assumption. We will address this with a deliberate design choice: a hasPreference object property paired with a boolean isNegated data property, and where necessary, complementOf class expressions. We will document this decision and analyze where it breaks down.</w:t>
      </w:r>
    </w:p>
    <w:p>
      <w:pPr>
        <w:spacing w:after="80"/>
      </w:pPr>
    </w:p>
    <w:p>
      <w:pPr>
        <w:pStyle w:val="Heading2"/>
        <w:spacing w:after="80" w:before="240"/>
      </w:pPr>
      <w:r>
        <w:rPr>
          <w:rFonts w:ascii="Arial" w:cs="Arial" w:eastAsia="Arial" w:hAnsi="Arial"/>
          <w:b/>
          <w:bCs/>
          <w:color w:val="4472C4"/>
          <w:sz w:val="24"/>
          <w:szCs w:val="24"/>
        </w:rPr>
        <w:t xml:space="preserve">3.2 Conditional and Temporal Preferences</w:t>
      </w:r>
    </w:p>
    <w:p>
      <w:pPr>
        <w:spacing w:after="140" w:line="276"/>
      </w:pPr>
      <w:r>
        <w:rPr>
          <w:rFonts w:ascii="Arial" w:cs="Arial" w:eastAsia="Arial" w:hAnsi="Arial"/>
          <w:sz w:val="22"/>
          <w:szCs w:val="22"/>
        </w:rPr>
        <w:t xml:space="preserve">Patient preferences are frequently conditional (“only if there is reasonable hope of recovery”) and time-sensitive (preferences may change as disease progresses). OWL does not natively support temporal reasoning. We will model condition-contingency using hasActivationCondition restrictions and acknowledge temporal dynamics as a limitation, suggesting SWRL rules or an external temporal reasoner as future work.</w:t>
      </w:r>
    </w:p>
    <w:p>
      <w:pPr>
        <w:spacing w:after="80"/>
      </w:pPr>
    </w:p>
    <w:p>
      <w:pPr>
        <w:pStyle w:val="Heading2"/>
        <w:spacing w:after="80" w:before="240"/>
      </w:pPr>
      <w:r>
        <w:rPr>
          <w:rFonts w:ascii="Arial" w:cs="Arial" w:eastAsia="Arial" w:hAnsi="Arial"/>
          <w:b/>
          <w:bCs/>
          <w:color w:val="4472C4"/>
          <w:sz w:val="24"/>
          <w:szCs w:val="24"/>
        </w:rPr>
        <w:t xml:space="preserve">3.3 Vagueness as a First-Class Problem</w:t>
      </w:r>
    </w:p>
    <w:p>
      <w:pPr>
        <w:spacing w:after="140" w:line="276"/>
      </w:pPr>
      <w:r>
        <w:rPr>
          <w:rFonts w:ascii="Arial" w:cs="Arial" w:eastAsia="Arial" w:hAnsi="Arial"/>
          <w:sz w:val="22"/>
          <w:szCs w:val="22"/>
        </w:rPr>
        <w:t xml:space="preserve">Terms like “heroic measures” or “reasonable quality of life” are intentionally vague. Rather than forcing false precision, we will model a VaguePreference class that preserves the original language as a data property while assigning it to the nearest formal class. This allows the ontology to acknowledge what it cannot fully represent, which is itself a scientific contribution.</w:t>
      </w:r>
    </w:p>
    <w:p>
      <w:pPr>
        <w:spacing w:after="80"/>
      </w:pPr>
    </w:p>
    <w:p>
      <w:pPr>
        <w:pStyle w:val="Heading2"/>
        <w:spacing w:after="80" w:before="240"/>
      </w:pPr>
      <w:r>
        <w:rPr>
          <w:rFonts w:ascii="Arial" w:cs="Arial" w:eastAsia="Arial" w:hAnsi="Arial"/>
          <w:b/>
          <w:bCs/>
          <w:color w:val="4472C4"/>
          <w:sz w:val="24"/>
          <w:szCs w:val="24"/>
        </w:rPr>
        <w:t xml:space="preserve">3.4 Scope Management</w:t>
      </w:r>
    </w:p>
    <w:p>
      <w:pPr>
        <w:spacing w:after="140" w:line="276"/>
      </w:pPr>
      <w:r>
        <w:rPr>
          <w:rFonts w:ascii="Arial" w:cs="Arial" w:eastAsia="Arial" w:hAnsi="Arial"/>
          <w:sz w:val="22"/>
          <w:szCs w:val="22"/>
        </w:rPr>
        <w:t xml:space="preserve">End-of-life care intersects law, ethics, culture, religion, and medicine. We will strictly scope to advanced heart failure as the disease context, set aside cross-jurisdictional legal variation (acknowledged as a limitation), and defer a full user study with clinicians to future work, relying instead on the self-contained coverage analysis and scenario tests for evaluation.</w:t>
      </w:r>
    </w:p>
    <w:p>
      <w:pPr>
        <w:spacing w:after="80"/>
      </w:pPr>
    </w:p>
    <w:p>
      <w:pPr>
        <w:pStyle w:val="Heading1"/>
        <w:spacing w:after="120" w:before="320"/>
      </w:pPr>
      <w:r>
        <w:rPr>
          <w:rFonts w:ascii="Arial" w:cs="Arial" w:eastAsia="Arial" w:hAnsi="Arial"/>
          <w:b/>
          <w:bCs/>
          <w:color w:val="2E4057"/>
          <w:sz w:val="28"/>
          <w:szCs w:val="28"/>
        </w:rPr>
        <w:t xml:space="preserve">4. Timeline and Milestones</w:t>
      </w:r>
    </w:p>
    <w:p>
      <w:pPr>
        <w:spacing w:after="100"/>
      </w:pPr>
      <w:r>
        <w:rPr>
          <w:rFonts w:ascii="Arial" w:cs="Arial" w:eastAsia="Arial" w:hAnsi="Arial"/>
          <w:b/>
          <w:bCs/>
          <w:color w:val="2E4057"/>
          <w:sz w:val="22"/>
          <w:szCs w:val="22"/>
        </w:rPr>
        <w:t xml:space="preserve">Week 1–2 (by April 27)</w:t>
      </w:r>
    </w:p>
    <w:p>
      <w:pPr>
        <w:pStyle w:val="ListParagraph"/>
        <w:numPr>
          <w:ilvl w:val="0"/>
          <w:numId w:val="2"/>
        </w:numPr>
        <w:spacing w:after="100"/>
      </w:pPr>
      <w:r>
        <w:rPr>
          <w:rFonts w:ascii="Arial" w:cs="Arial" w:eastAsia="Arial" w:hAnsi="Arial"/>
          <w:sz w:val="22"/>
          <w:szCs w:val="22"/>
        </w:rPr>
        <w:t xml:space="preserve">Collect and annotate 30-40 advance directive and POLST documents</w:t>
      </w:r>
    </w:p>
    <w:p>
      <w:pPr>
        <w:pStyle w:val="ListParagraph"/>
        <w:numPr>
          <w:ilvl w:val="0"/>
          <w:numId w:val="2"/>
        </w:numPr>
        <w:spacing w:after="100"/>
      </w:pPr>
      <w:r>
        <w:rPr>
          <w:rFonts w:ascii="Arial" w:cs="Arial" w:eastAsia="Arial" w:hAnsi="Arial"/>
          <w:sz w:val="22"/>
          <w:szCs w:val="22"/>
        </w:rPr>
        <w:t xml:space="preserve">Produce concept inventory (raw vocabulary)</w:t>
      </w:r>
    </w:p>
    <w:p>
      <w:pPr>
        <w:pStyle w:val="ListParagraph"/>
        <w:numPr>
          <w:ilvl w:val="0"/>
          <w:numId w:val="2"/>
        </w:numPr>
        <w:spacing w:after="100"/>
      </w:pPr>
      <w:r>
        <w:rPr>
          <w:rFonts w:ascii="Arial" w:cs="Arial" w:eastAsia="Arial" w:hAnsi="Arial"/>
          <w:sz w:val="22"/>
          <w:szCs w:val="22"/>
        </w:rPr>
        <w:t xml:space="preserve">Draft top-level class hierarchy on paper; reach group consensus on key design decisions</w:t>
      </w:r>
    </w:p>
    <w:p>
      <w:pPr>
        <w:pStyle w:val="ListParagraph"/>
        <w:numPr>
          <w:ilvl w:val="0"/>
          <w:numId w:val="2"/>
        </w:numPr>
        <w:spacing w:after="100"/>
      </w:pPr>
      <w:r>
        <w:rPr>
          <w:rFonts w:ascii="Arial" w:cs="Arial" w:eastAsia="Arial" w:hAnsi="Arial"/>
          <w:sz w:val="22"/>
          <w:szCs w:val="22"/>
        </w:rPr>
        <w:t xml:space="preserve">Begin Protégé implementation of core class skeleton</w:t>
      </w:r>
    </w:p>
    <w:p>
      <w:pPr>
        <w:spacing w:after="80"/>
      </w:pPr>
    </w:p>
    <w:p>
      <w:pPr>
        <w:spacing w:after="100"/>
      </w:pPr>
      <w:r>
        <w:rPr>
          <w:rFonts w:ascii="Arial" w:cs="Arial" w:eastAsia="Arial" w:hAnsi="Arial"/>
          <w:b/>
          <w:bCs/>
          <w:color w:val="2E4057"/>
          <w:sz w:val="22"/>
          <w:szCs w:val="22"/>
        </w:rPr>
        <w:t xml:space="preserve">Week 3–4 (Progress Report: May 6)</w:t>
      </w:r>
    </w:p>
    <w:p>
      <w:pPr>
        <w:pStyle w:val="ListParagraph"/>
        <w:numPr>
          <w:ilvl w:val="0"/>
          <w:numId w:val="2"/>
        </w:numPr>
        <w:spacing w:after="100"/>
      </w:pPr>
      <w:r>
        <w:rPr>
          <w:rFonts w:ascii="Arial" w:cs="Arial" w:eastAsia="Arial" w:hAnsi="Arial"/>
          <w:sz w:val="22"/>
          <w:szCs w:val="22"/>
        </w:rPr>
        <w:t xml:space="preserve">Complete OWL ontology with full class hierarchy, object/data properties, and restrictions</w:t>
      </w:r>
    </w:p>
    <w:p>
      <w:pPr>
        <w:pStyle w:val="ListParagraph"/>
        <w:numPr>
          <w:ilvl w:val="0"/>
          <w:numId w:val="2"/>
        </w:numPr>
        <w:spacing w:after="100"/>
      </w:pPr>
      <w:r>
        <w:rPr>
          <w:rFonts w:ascii="Arial" w:cs="Arial" w:eastAsia="Arial" w:hAnsi="Arial"/>
          <w:sz w:val="22"/>
          <w:szCs w:val="22"/>
        </w:rPr>
        <w:t xml:space="preserve">Ground clinical concepts in SNOMED CT using OwlReady2 and Python</w:t>
      </w:r>
    </w:p>
    <w:p>
      <w:pPr>
        <w:pStyle w:val="ListParagraph"/>
        <w:numPr>
          <w:ilvl w:val="0"/>
          <w:numId w:val="2"/>
        </w:numPr>
        <w:spacing w:after="100"/>
      </w:pPr>
      <w:r>
        <w:rPr>
          <w:rFonts w:ascii="Arial" w:cs="Arial" w:eastAsia="Arial" w:hAnsi="Arial"/>
          <w:sz w:val="22"/>
          <w:szCs w:val="22"/>
        </w:rPr>
        <w:t xml:space="preserve">Implement DL query generation pipeline</w:t>
      </w:r>
    </w:p>
    <w:p>
      <w:pPr>
        <w:pStyle w:val="ListParagraph"/>
        <w:numPr>
          <w:ilvl w:val="0"/>
          <w:numId w:val="2"/>
        </w:numPr>
        <w:spacing w:after="100"/>
      </w:pPr>
      <w:r>
        <w:rPr>
          <w:rFonts w:ascii="Arial" w:cs="Arial" w:eastAsia="Arial" w:hAnsi="Arial"/>
          <w:sz w:val="22"/>
          <w:szCs w:val="22"/>
        </w:rPr>
        <w:t xml:space="preserve">Begin coverage analysis on 25–30 preference statements</w:t>
      </w:r>
    </w:p>
    <w:p>
      <w:pPr>
        <w:spacing w:after="80"/>
      </w:pPr>
    </w:p>
    <w:p>
      <w:pPr>
        <w:spacing w:after="100"/>
      </w:pPr>
      <w:r>
        <w:rPr>
          <w:rFonts w:ascii="Arial" w:cs="Arial" w:eastAsia="Arial" w:hAnsi="Arial"/>
          <w:b/>
          <w:bCs/>
          <w:color w:val="2E4057"/>
          <w:sz w:val="22"/>
          <w:szCs w:val="22"/>
        </w:rPr>
        <w:t xml:space="preserve">Week 5–6 (by May 20)</w:t>
      </w:r>
    </w:p>
    <w:p>
      <w:pPr>
        <w:pStyle w:val="ListParagraph"/>
        <w:numPr>
          <w:ilvl w:val="0"/>
          <w:numId w:val="2"/>
        </w:numPr>
        <w:spacing w:after="100"/>
      </w:pPr>
      <w:r>
        <w:rPr>
          <w:rFonts w:ascii="Arial" w:cs="Arial" w:eastAsia="Arial" w:hAnsi="Arial"/>
          <w:sz w:val="22"/>
          <w:szCs w:val="22"/>
        </w:rPr>
        <w:t xml:space="preserve">Complete coverage analysis and categorize failures</w:t>
      </w:r>
    </w:p>
    <w:p>
      <w:pPr>
        <w:pStyle w:val="ListParagraph"/>
        <w:numPr>
          <w:ilvl w:val="0"/>
          <w:numId w:val="2"/>
        </w:numPr>
        <w:spacing w:after="100"/>
      </w:pPr>
      <w:r>
        <w:rPr>
          <w:rFonts w:ascii="Arial" w:cs="Arial" w:eastAsia="Arial" w:hAnsi="Arial"/>
          <w:sz w:val="22"/>
          <w:szCs w:val="22"/>
        </w:rPr>
        <w:t xml:space="preserve">Design and run 15 clinical vignette scenario tests</w:t>
      </w:r>
    </w:p>
    <w:p>
      <w:pPr>
        <w:pStyle w:val="ListParagraph"/>
        <w:numPr>
          <w:ilvl w:val="0"/>
          <w:numId w:val="2"/>
        </w:numPr>
        <w:spacing w:after="100"/>
      </w:pPr>
      <w:r>
        <w:rPr>
          <w:rFonts w:ascii="Arial" w:cs="Arial" w:eastAsia="Arial" w:hAnsi="Arial"/>
          <w:sz w:val="22"/>
          <w:szCs w:val="22"/>
        </w:rPr>
        <w:t xml:space="preserve">Begin expressivity comparison against FHIR ADI and POLST (if time permits)</w:t>
      </w:r>
    </w:p>
    <w:p>
      <w:pPr>
        <w:spacing w:after="80"/>
      </w:pPr>
    </w:p>
    <w:p>
      <w:pPr>
        <w:spacing w:after="100"/>
      </w:pPr>
      <w:r>
        <w:rPr>
          <w:rFonts w:ascii="Arial" w:cs="Arial" w:eastAsia="Arial" w:hAnsi="Arial"/>
          <w:b/>
          <w:bCs/>
          <w:color w:val="2E4057"/>
          <w:sz w:val="22"/>
          <w:szCs w:val="22"/>
        </w:rPr>
        <w:t xml:space="preserve">Week 7 (Presentations: June 1 | Final Report: June 5)</w:t>
      </w:r>
    </w:p>
    <w:p>
      <w:pPr>
        <w:pStyle w:val="ListParagraph"/>
        <w:numPr>
          <w:ilvl w:val="0"/>
          <w:numId w:val="2"/>
        </w:numPr>
        <w:spacing w:after="100"/>
      </w:pPr>
      <w:r>
        <w:rPr>
          <w:rFonts w:ascii="Arial" w:cs="Arial" w:eastAsia="Arial" w:hAnsi="Arial"/>
          <w:sz w:val="22"/>
          <w:szCs w:val="22"/>
        </w:rPr>
        <w:t xml:space="preserve">Finalize analysis and synthesize findings</w:t>
      </w:r>
    </w:p>
    <w:p>
      <w:pPr>
        <w:pStyle w:val="ListParagraph"/>
        <w:numPr>
          <w:ilvl w:val="0"/>
          <w:numId w:val="2"/>
        </w:numPr>
        <w:spacing w:after="100"/>
      </w:pPr>
      <w:r>
        <w:rPr>
          <w:rFonts w:ascii="Arial" w:cs="Arial" w:eastAsia="Arial" w:hAnsi="Arial"/>
          <w:sz w:val="22"/>
          <w:szCs w:val="22"/>
        </w:rPr>
        <w:t xml:space="preserve">Prepare poster and 8–10 minute presentation</w:t>
      </w:r>
    </w:p>
    <w:p>
      <w:pPr>
        <w:pStyle w:val="ListParagraph"/>
        <w:numPr>
          <w:ilvl w:val="0"/>
          <w:numId w:val="2"/>
        </w:numPr>
        <w:spacing w:after="100"/>
      </w:pPr>
      <w:r>
        <w:rPr>
          <w:rFonts w:ascii="Arial" w:cs="Arial" w:eastAsia="Arial" w:hAnsi="Arial"/>
          <w:sz w:val="22"/>
          <w:szCs w:val="22"/>
        </w:rPr>
        <w:t xml:space="preserve">Write final report (10 pages): motivation, design decisions, pipeline, evaluation, discussion</w:t>
      </w:r>
    </w:p>
    <w:p>
      <w:pPr>
        <w:spacing w:after="80"/>
      </w:pPr>
    </w:p>
    <w:p>
      <w:pPr>
        <w:pBdr>
          <w:bottom w:val="single" w:color="4472C4" w:sz="6" w:space="1"/>
        </w:pBdr>
        <w:spacing w:after="160"/>
      </w:pPr>
    </w:p>
    <w:p>
      <w:pPr>
        <w:spacing w:before="120"/>
        <w:jc w:val="center"/>
      </w:pPr>
      <w:r>
        <w:rPr>
          <w:rFonts w:ascii="Arial" w:cs="Arial" w:eastAsia="Arial" w:hAnsi="Arial"/>
          <w:i/>
          <w:iCs/>
          <w:color w:val="888888"/>
          <w:sz w:val="20"/>
          <w:szCs w:val="20"/>
        </w:rPr>
        <w:t xml:space="preserve">Submitted to BMDS210, Spring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2026-04-12T23:55:40.770Z</dcterms:created>
  <dcterms:modified xsi:type="dcterms:W3CDTF">2026-04-12T23:55:40.771Z</dcterms:modified>
</cp:coreProperties>
</file>

<file path=docProps/custom.xml><?xml version="1.0" encoding="utf-8"?>
<Properties xmlns="http://schemas.openxmlformats.org/officeDocument/2006/custom-properties" xmlns:vt="http://schemas.openxmlformats.org/officeDocument/2006/docPropsVTypes"/>
</file>