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3EB" w:rsidRDefault="003553EB" w:rsidP="003553EB">
      <w:pPr>
        <w:spacing w:line="280" w:lineRule="exact"/>
        <w:rPr>
          <w:rFonts w:ascii="Georgia" w:hAnsi="Georgia" w:cs="Calibri"/>
          <w:b/>
          <w:szCs w:val="24"/>
        </w:rPr>
      </w:pPr>
      <w:r w:rsidRPr="003553EB">
        <w:rPr>
          <w:rFonts w:ascii="Georgia" w:hAnsi="Georgia" w:cs="Calibri"/>
          <w:b/>
          <w:szCs w:val="24"/>
        </w:rPr>
        <w:t>Adverse Health Effects of Frailty among Chronic Kidney Disease (CKD) Patients</w:t>
      </w:r>
    </w:p>
    <w:p w:rsidR="003553EB" w:rsidRPr="003553EB" w:rsidRDefault="003553EB" w:rsidP="003553EB">
      <w:pPr>
        <w:spacing w:line="280" w:lineRule="exact"/>
        <w:rPr>
          <w:rFonts w:ascii="Georgia" w:hAnsi="Georgia" w:cs="Calibri"/>
          <w:b/>
          <w:szCs w:val="24"/>
        </w:rPr>
      </w:pPr>
    </w:p>
    <w:p w:rsidR="001D54CF" w:rsidRPr="00557C34" w:rsidRDefault="001D54CF" w:rsidP="00F721C6">
      <w:pPr>
        <w:spacing w:line="280" w:lineRule="exact"/>
        <w:jc w:val="both"/>
        <w:rPr>
          <w:rFonts w:ascii="Georgia" w:hAnsi="Georgia" w:cstheme="minorHAnsi" w:hint="eastAsia"/>
          <w:sz w:val="16"/>
          <w:szCs w:val="16"/>
        </w:rPr>
      </w:pPr>
      <w:r>
        <w:rPr>
          <w:rFonts w:ascii="Georgia" w:hAnsi="Georgia" w:cstheme="minorHAnsi"/>
          <w:sz w:val="16"/>
          <w:szCs w:val="16"/>
        </w:rPr>
        <w:t>Adverse health outcomes</w:t>
      </w:r>
      <w:r w:rsidR="00557C34">
        <w:rPr>
          <w:rFonts w:ascii="Georgia" w:hAnsi="Georgia" w:cstheme="minorHAnsi" w:hint="eastAsia"/>
          <w:sz w:val="16"/>
          <w:szCs w:val="16"/>
        </w:rPr>
        <w:t xml:space="preserve"> </w:t>
      </w:r>
      <w:r w:rsidR="00557C34">
        <w:rPr>
          <w:rFonts w:ascii="Georgia" w:hAnsi="Georgia" w:cstheme="minorHAnsi"/>
          <w:sz w:val="16"/>
          <w:szCs w:val="16"/>
        </w:rPr>
        <w:t>of frailty</w:t>
      </w:r>
      <w:r w:rsidRPr="001D54CF">
        <w:rPr>
          <w:rFonts w:ascii="Georgia" w:hAnsi="Georgia" w:cstheme="minorHAnsi"/>
          <w:sz w:val="16"/>
          <w:szCs w:val="16"/>
        </w:rPr>
        <w:t xml:space="preserve"> </w:t>
      </w:r>
      <w:r w:rsidRPr="001D54CF">
        <w:rPr>
          <w:rFonts w:ascii="Georgia" w:hAnsi="Georgia" w:cstheme="minorHAnsi" w:hint="eastAsia"/>
          <w:sz w:val="16"/>
          <w:szCs w:val="16"/>
        </w:rPr>
        <w:t>is a common</w:t>
      </w:r>
      <w:r w:rsidRPr="001D54CF">
        <w:rPr>
          <w:rFonts w:ascii="Georgia" w:hAnsi="Georgia" w:cstheme="minorHAnsi"/>
          <w:sz w:val="16"/>
          <w:szCs w:val="16"/>
        </w:rPr>
        <w:t xml:space="preserve"> but often underestimated issue in the nephrologist practice.</w:t>
      </w:r>
      <w:r>
        <w:rPr>
          <w:rFonts w:ascii="Georgia" w:hAnsi="Georgia" w:cstheme="minorHAnsi"/>
          <w:sz w:val="16"/>
          <w:szCs w:val="16"/>
        </w:rPr>
        <w:t xml:space="preserve"> </w:t>
      </w:r>
      <w:r w:rsidR="00557C34">
        <w:rPr>
          <w:rFonts w:ascii="Georgia" w:hAnsi="Georgia" w:cstheme="minorHAnsi"/>
          <w:sz w:val="16"/>
          <w:szCs w:val="16"/>
        </w:rPr>
        <w:t>Frailty, namely, a decrease in resilience to stress due to deteriorating body function</w:t>
      </w:r>
      <w:r w:rsidR="00557C34">
        <w:rPr>
          <w:rFonts w:ascii="Georgia" w:hAnsi="Georgia" w:cstheme="minorHAnsi" w:hint="eastAsia"/>
          <w:sz w:val="16"/>
          <w:szCs w:val="16"/>
        </w:rPr>
        <w:t>.</w:t>
      </w:r>
    </w:p>
    <w:p w:rsidR="001D54CF" w:rsidRDefault="001D54CF" w:rsidP="00F721C6">
      <w:pPr>
        <w:spacing w:line="280" w:lineRule="exact"/>
        <w:jc w:val="both"/>
        <w:rPr>
          <w:rFonts w:ascii="Georgia" w:hAnsi="Georgia" w:cstheme="minorHAnsi"/>
          <w:sz w:val="16"/>
          <w:szCs w:val="16"/>
        </w:rPr>
      </w:pPr>
    </w:p>
    <w:p w:rsidR="001D54CF" w:rsidRDefault="001D54CF" w:rsidP="00F721C6">
      <w:pPr>
        <w:spacing w:line="280" w:lineRule="exact"/>
        <w:jc w:val="both"/>
        <w:rPr>
          <w:rFonts w:ascii="Georgia" w:hAnsi="Georgia" w:cstheme="minorHAnsi"/>
          <w:sz w:val="16"/>
          <w:szCs w:val="16"/>
        </w:rPr>
      </w:pPr>
    </w:p>
    <w:p w:rsidR="001D54CF" w:rsidRPr="001D54CF" w:rsidRDefault="001D54CF" w:rsidP="00F721C6">
      <w:pPr>
        <w:spacing w:line="280" w:lineRule="exact"/>
        <w:jc w:val="both"/>
        <w:rPr>
          <w:rFonts w:ascii="Georgia" w:hAnsi="Georgia" w:cstheme="minorHAnsi"/>
          <w:sz w:val="16"/>
          <w:szCs w:val="16"/>
        </w:rPr>
      </w:pPr>
    </w:p>
    <w:p w:rsidR="001D54CF" w:rsidRPr="001D54CF" w:rsidRDefault="001D54CF" w:rsidP="00F721C6">
      <w:pPr>
        <w:spacing w:line="280" w:lineRule="exact"/>
        <w:jc w:val="both"/>
        <w:rPr>
          <w:rFonts w:ascii="Georgia" w:hAnsi="Georgia" w:cstheme="minorHAnsi"/>
          <w:sz w:val="19"/>
          <w:szCs w:val="19"/>
        </w:rPr>
      </w:pPr>
    </w:p>
    <w:p w:rsidR="00F721C6" w:rsidRPr="008512EA" w:rsidRDefault="00F721C6" w:rsidP="00F721C6">
      <w:pPr>
        <w:spacing w:line="280" w:lineRule="exact"/>
        <w:jc w:val="both"/>
        <w:rPr>
          <w:rFonts w:ascii="Calibri" w:hAnsi="Calibri" w:cs="Calibri"/>
          <w:b/>
          <w:sz w:val="21"/>
          <w:szCs w:val="21"/>
        </w:rPr>
      </w:pPr>
      <w:r w:rsidRPr="008512EA">
        <w:rPr>
          <w:rFonts w:ascii="Calibri" w:hAnsi="Calibri" w:cs="Calibri"/>
          <w:b/>
          <w:sz w:val="21"/>
          <w:szCs w:val="21"/>
        </w:rPr>
        <w:t>Introduction to CKD and Frailty</w:t>
      </w:r>
    </w:p>
    <w:p w:rsidR="00F721C6" w:rsidRPr="008512EA" w:rsidRDefault="00F721C6" w:rsidP="00F721C6">
      <w:pPr>
        <w:spacing w:line="280" w:lineRule="exact"/>
        <w:jc w:val="both"/>
        <w:rPr>
          <w:rFonts w:ascii="Georgia" w:hAnsi="Georgia" w:cs="Times New Roman"/>
          <w:sz w:val="19"/>
          <w:szCs w:val="19"/>
        </w:rPr>
      </w:pPr>
      <w:r w:rsidRPr="008512EA">
        <w:rPr>
          <w:rFonts w:ascii="Georgia" w:hAnsi="Georgia" w:cs="Times New Roman"/>
          <w:sz w:val="19"/>
          <w:szCs w:val="19"/>
        </w:rPr>
        <w:t>Chronic kidney disease</w:t>
      </w:r>
      <w:r w:rsidR="00557C34">
        <w:rPr>
          <w:rFonts w:ascii="Georgia" w:hAnsi="Georgia" w:cs="Times New Roman"/>
          <w:sz w:val="19"/>
          <w:szCs w:val="19"/>
        </w:rPr>
        <w:t xml:space="preserve"> (CKD</w:t>
      </w:r>
      <w:bookmarkStart w:id="0" w:name="_GoBack"/>
      <w:bookmarkEnd w:id="0"/>
      <w:r w:rsidR="00557C34">
        <w:rPr>
          <w:rFonts w:ascii="Georgia" w:hAnsi="Georgia" w:cs="Times New Roman"/>
          <w:sz w:val="19"/>
          <w:szCs w:val="19"/>
        </w:rPr>
        <w:t>)</w:t>
      </w:r>
      <w:r w:rsidRPr="008512EA">
        <w:rPr>
          <w:rFonts w:ascii="Georgia" w:hAnsi="Georgia" w:cs="Times New Roman"/>
          <w:sz w:val="19"/>
          <w:szCs w:val="19"/>
        </w:rPr>
        <w:t xml:space="preserve"> is also called chronic kidney failure, including symptoms such as gradual loss of kidney function, and advanced stage of CKD indicates a dangerous level of fluid, electrolytes and wastes accumulate in body. However, the early stage of the disease doesn’t usually manifest signs.</w:t>
      </w:r>
    </w:p>
    <w:p w:rsidR="00F721C6" w:rsidRPr="008512EA" w:rsidRDefault="00F721C6" w:rsidP="00F721C6">
      <w:pPr>
        <w:spacing w:line="280" w:lineRule="exact"/>
        <w:jc w:val="both"/>
        <w:rPr>
          <w:rFonts w:ascii="Georgia" w:hAnsi="Georgia" w:cs="Times New Roman"/>
          <w:sz w:val="19"/>
          <w:szCs w:val="19"/>
        </w:rPr>
      </w:pPr>
    </w:p>
    <w:p w:rsidR="00F721C6" w:rsidRPr="008512EA" w:rsidRDefault="00F721C6" w:rsidP="00F721C6">
      <w:pPr>
        <w:spacing w:line="280" w:lineRule="exact"/>
        <w:jc w:val="both"/>
        <w:rPr>
          <w:rFonts w:ascii="Georgia" w:hAnsi="Georgia" w:cs="Times New Roman"/>
          <w:sz w:val="19"/>
          <w:szCs w:val="19"/>
        </w:rPr>
      </w:pPr>
      <w:r w:rsidRPr="008512EA">
        <w:rPr>
          <w:rFonts w:ascii="Georgia" w:hAnsi="Georgia" w:cs="Times New Roman"/>
          <w:sz w:val="19"/>
          <w:szCs w:val="19"/>
        </w:rPr>
        <w:t>Treatment often focuses on halting the process of failure by treating the underlying cause. Without good control, CKD progresses to end-stage kidney failure (ESKD?), and if no transplant or artificial dialysis often leads to death.</w:t>
      </w:r>
    </w:p>
    <w:p w:rsidR="00F721C6" w:rsidRPr="008512EA" w:rsidRDefault="00F721C6" w:rsidP="00F721C6">
      <w:pPr>
        <w:spacing w:line="280" w:lineRule="exact"/>
        <w:jc w:val="both"/>
        <w:rPr>
          <w:rFonts w:ascii="Georgia" w:hAnsi="Georgia" w:cs="Times New Roman"/>
          <w:sz w:val="19"/>
          <w:szCs w:val="19"/>
        </w:rPr>
      </w:pPr>
    </w:p>
    <w:p w:rsidR="00F721C6" w:rsidRPr="008512EA" w:rsidRDefault="00F721C6" w:rsidP="00F721C6">
      <w:pPr>
        <w:spacing w:line="280" w:lineRule="exact"/>
        <w:jc w:val="both"/>
        <w:rPr>
          <w:rFonts w:ascii="Georgia" w:hAnsi="Georgia" w:cs="Times New Roman"/>
          <w:sz w:val="19"/>
          <w:szCs w:val="19"/>
        </w:rPr>
      </w:pPr>
      <w:r w:rsidRPr="008512EA">
        <w:rPr>
          <w:rFonts w:ascii="Georgia" w:hAnsi="Georgia" w:cs="Times New Roman"/>
          <w:sz w:val="19"/>
          <w:szCs w:val="19"/>
        </w:rPr>
        <w:t>Symptoms and signs of CKD involve nausea, vomiting, loss of appetite, fatigue and weakness, sleep problems, changes in how much you urinate, decreased mental sharpness, muscle twitches and cramps, swelling of feet and ankles, persistent itching, chest pain if fluid builds up around the lining of the heart, shortness of breath if fluid builds up in the lungs, high blood pressure (hypertension) that’s difficult to control. But because kidney is exceedingly malleable, signs may not develop until irrevocable damage has been made. Sometimes even failures have developed, amount of urine stay normal, however, wastes are not sufficiently excreted.</w:t>
      </w:r>
    </w:p>
    <w:p w:rsidR="00F721C6" w:rsidRPr="008512EA" w:rsidRDefault="00F721C6" w:rsidP="00F721C6">
      <w:pPr>
        <w:spacing w:line="280" w:lineRule="exact"/>
        <w:jc w:val="both"/>
        <w:rPr>
          <w:rFonts w:ascii="Georgia" w:hAnsi="Georgia" w:cs="Times New Roman"/>
          <w:sz w:val="19"/>
          <w:szCs w:val="19"/>
        </w:rPr>
      </w:pPr>
    </w:p>
    <w:p w:rsidR="00F721C6" w:rsidRDefault="00F721C6" w:rsidP="00F721C6">
      <w:pPr>
        <w:spacing w:line="280" w:lineRule="exact"/>
        <w:jc w:val="both"/>
        <w:rPr>
          <w:rFonts w:ascii="Georgia" w:hAnsi="Georgia" w:cs="Times New Roman"/>
          <w:sz w:val="19"/>
          <w:szCs w:val="19"/>
        </w:rPr>
      </w:pPr>
      <w:r w:rsidRPr="008512EA">
        <w:rPr>
          <w:rFonts w:ascii="Georgia" w:hAnsi="Georgia" w:cs="Times New Roman"/>
          <w:sz w:val="19"/>
          <w:szCs w:val="19"/>
        </w:rPr>
        <w:t xml:space="preserve">Causes related to CKD are Type I or II diabetes, high B.P., glomerulonephritis, interstitial nephritis, polycystic kidney disease, prolonged obstruction of the urinary tract (usually caused by enlarged prostate, kidney stones and some cancers), vesicoureteral reflux (a disorder that makes urine back up into kidneys), recurrent kidney infection which is also called pyelonephritis. Risk factors that may increase the risk of CKD are diabetes, high B.P.., cardiovascular disease, smoking, obesity, being African-American, Native American or Asian-American, family history of KD, abnormal </w:t>
      </w:r>
      <w:r w:rsidR="0009493C">
        <w:rPr>
          <w:rFonts w:ascii="Georgia" w:hAnsi="Georgia" w:cs="Times New Roman"/>
          <w:sz w:val="19"/>
          <w:szCs w:val="19"/>
        </w:rPr>
        <w:t xml:space="preserve">kidney structure, older age </w:t>
      </w:r>
      <w:r w:rsidR="0009493C">
        <w:rPr>
          <w:rFonts w:ascii="Georgia" w:hAnsi="Georgia" w:cs="Times New Roman"/>
          <w:sz w:val="19"/>
          <w:szCs w:val="19"/>
        </w:rPr>
        <w:fldChar w:fldCharType="begin" w:fldLock="1"/>
      </w:r>
      <w:r w:rsidR="00EE0817">
        <w:rPr>
          <w:rFonts w:ascii="Georgia" w:hAnsi="Georgia" w:cs="Times New Roman"/>
          <w:sz w:val="19"/>
          <w:szCs w:val="19"/>
        </w:rPr>
        <w:instrText>ADDIN CSL_CITATION {"citationItems":[{"id":"ITEM-1","itemData":{"URL":"https://www.mayoclinic.org/diseases-conditions/chronic-kidney-disease/symptoms-causes/syc-20354521","accessed":{"date-parts":[["2019","1","31"]]},"id":"ITEM-1","issued":{"date-parts":[["0"]]},"title":"Chronic kidney disease - Symptoms and causes - Mayo Clinic","type":"webpage"},"uris":["http://www.mendeley.com/documents/?uuid=66ee6ee2-a17f-36ef-acb7-0264846add76"]}],"mendeley":{"formattedCitation":"&lt;sup&gt;1&lt;/sup&gt;","plainTextFormattedCitation":"1","previouslyFormattedCitation":"[1]"},"properties":{"noteIndex":0},"schema":"https://github.com/citation-style-language/schema/raw/master/csl-citation.json"}</w:instrText>
      </w:r>
      <w:r w:rsidR="0009493C">
        <w:rPr>
          <w:rFonts w:ascii="Georgia" w:hAnsi="Georgia" w:cs="Times New Roman"/>
          <w:sz w:val="19"/>
          <w:szCs w:val="19"/>
        </w:rPr>
        <w:fldChar w:fldCharType="separate"/>
      </w:r>
      <w:r w:rsidR="00EE0817" w:rsidRPr="00EE0817">
        <w:rPr>
          <w:rFonts w:ascii="Georgia" w:hAnsi="Georgia" w:cs="Times New Roman"/>
          <w:noProof/>
          <w:sz w:val="19"/>
          <w:szCs w:val="19"/>
          <w:vertAlign w:val="superscript"/>
        </w:rPr>
        <w:t>1</w:t>
      </w:r>
      <w:r w:rsidR="0009493C">
        <w:rPr>
          <w:rFonts w:ascii="Georgia" w:hAnsi="Georgia" w:cs="Times New Roman"/>
          <w:sz w:val="19"/>
          <w:szCs w:val="19"/>
        </w:rPr>
        <w:fldChar w:fldCharType="end"/>
      </w:r>
      <w:r w:rsidRPr="008512EA">
        <w:rPr>
          <w:rFonts w:ascii="Georgia" w:hAnsi="Georgia" w:cs="Times New Roman"/>
          <w:sz w:val="19"/>
          <w:szCs w:val="19"/>
        </w:rPr>
        <w:t>.</w:t>
      </w:r>
    </w:p>
    <w:p w:rsidR="00557C34" w:rsidRPr="008512EA" w:rsidRDefault="00557C34" w:rsidP="00F721C6">
      <w:pPr>
        <w:spacing w:line="280" w:lineRule="exact"/>
        <w:jc w:val="both"/>
        <w:rPr>
          <w:rFonts w:ascii="Georgia" w:hAnsi="Georgia" w:cs="Times New Roman"/>
          <w:sz w:val="19"/>
          <w:szCs w:val="19"/>
        </w:rPr>
      </w:pPr>
    </w:p>
    <w:p w:rsidR="00F721C6" w:rsidRPr="008512EA" w:rsidRDefault="00F721C6" w:rsidP="00F721C6">
      <w:pPr>
        <w:spacing w:line="280" w:lineRule="exact"/>
        <w:jc w:val="both"/>
        <w:rPr>
          <w:rFonts w:ascii="Georgia" w:hAnsi="Georgia" w:cs="Times New Roman"/>
          <w:sz w:val="19"/>
          <w:szCs w:val="19"/>
        </w:rPr>
      </w:pPr>
      <w:r w:rsidRPr="008512EA">
        <w:rPr>
          <w:rFonts w:ascii="Georgia" w:hAnsi="Georgia" w:cs="Times New Roman"/>
          <w:sz w:val="19"/>
          <w:szCs w:val="19"/>
        </w:rPr>
        <w:t xml:space="preserve">Frailty is a geriatric condition in which resilience to stressors decreased. The risk of frailty increases with age or incidence of disease. Gradually considered more as the hallmark geriatric syndrome and foreshadowing of other geriatric syndromes, including falls, fractures, delirium, and incontinence. </w:t>
      </w:r>
    </w:p>
    <w:p w:rsidR="00F721C6" w:rsidRPr="008512EA" w:rsidRDefault="00F721C6" w:rsidP="00F721C6">
      <w:pPr>
        <w:spacing w:line="280" w:lineRule="exact"/>
        <w:jc w:val="both"/>
        <w:rPr>
          <w:rFonts w:ascii="Georgia" w:hAnsi="Georgia" w:cs="Times New Roman"/>
          <w:sz w:val="19"/>
          <w:szCs w:val="19"/>
        </w:rPr>
      </w:pPr>
    </w:p>
    <w:p w:rsidR="00F721C6" w:rsidRPr="008512EA" w:rsidRDefault="00F721C6" w:rsidP="00F721C6">
      <w:pPr>
        <w:spacing w:line="280" w:lineRule="exact"/>
        <w:jc w:val="both"/>
        <w:rPr>
          <w:rFonts w:ascii="Georgia" w:hAnsi="Georgia" w:cs="Times New Roman"/>
          <w:sz w:val="19"/>
          <w:szCs w:val="19"/>
        </w:rPr>
      </w:pPr>
      <w:r w:rsidRPr="008512EA">
        <w:rPr>
          <w:rFonts w:ascii="Georgia" w:hAnsi="Georgia" w:cs="Times New Roman"/>
          <w:sz w:val="19"/>
          <w:szCs w:val="19"/>
        </w:rPr>
        <w:t>Differential diagnosis of frailty requires ruling out other underlying medical or physiological issues which might drive symptoms of frailty. These conditions include:</w:t>
      </w:r>
    </w:p>
    <w:p w:rsidR="00F721C6" w:rsidRPr="00125BEE" w:rsidRDefault="00F721C6" w:rsidP="008512EA">
      <w:pPr>
        <w:pStyle w:val="a3"/>
        <w:spacing w:line="280" w:lineRule="exact"/>
        <w:ind w:leftChars="0" w:left="360"/>
        <w:rPr>
          <w:rFonts w:cstheme="minorHAnsi"/>
          <w:sz w:val="19"/>
          <w:szCs w:val="19"/>
        </w:rPr>
      </w:pPr>
      <w:r w:rsidRPr="00125BEE">
        <w:rPr>
          <w:rFonts w:cstheme="minorHAnsi"/>
          <w:sz w:val="19"/>
          <w:szCs w:val="19"/>
        </w:rPr>
        <w:t>Depression</w:t>
      </w:r>
    </w:p>
    <w:p w:rsidR="00F721C6" w:rsidRPr="00125BEE" w:rsidRDefault="00F721C6" w:rsidP="008512EA">
      <w:pPr>
        <w:pStyle w:val="a3"/>
        <w:spacing w:line="280" w:lineRule="exact"/>
        <w:ind w:leftChars="0" w:left="360"/>
        <w:rPr>
          <w:rFonts w:cstheme="minorHAnsi"/>
          <w:sz w:val="19"/>
          <w:szCs w:val="19"/>
        </w:rPr>
      </w:pPr>
      <w:r w:rsidRPr="00125BEE">
        <w:rPr>
          <w:rFonts w:cstheme="minorHAnsi"/>
          <w:sz w:val="19"/>
          <w:szCs w:val="19"/>
        </w:rPr>
        <w:t>Malignancy - Lymphoma, multiple myeloma, occult solid tumors</w:t>
      </w:r>
    </w:p>
    <w:p w:rsidR="00F721C6" w:rsidRPr="00125BEE" w:rsidRDefault="00F721C6" w:rsidP="008512EA">
      <w:pPr>
        <w:pStyle w:val="a3"/>
        <w:spacing w:line="280" w:lineRule="exact"/>
        <w:ind w:leftChars="0" w:left="360"/>
        <w:rPr>
          <w:rFonts w:cstheme="minorHAnsi"/>
          <w:sz w:val="19"/>
          <w:szCs w:val="19"/>
        </w:rPr>
      </w:pPr>
      <w:r w:rsidRPr="00125BEE">
        <w:rPr>
          <w:rFonts w:cstheme="minorHAnsi"/>
          <w:sz w:val="19"/>
          <w:szCs w:val="19"/>
        </w:rPr>
        <w:t>Rheumatologic disease - Polymyalgia rheumatica, vasculitis</w:t>
      </w:r>
    </w:p>
    <w:p w:rsidR="00F721C6" w:rsidRPr="00125BEE" w:rsidRDefault="00F721C6" w:rsidP="008512EA">
      <w:pPr>
        <w:pStyle w:val="a3"/>
        <w:spacing w:line="280" w:lineRule="exact"/>
        <w:ind w:leftChars="0" w:left="360"/>
        <w:rPr>
          <w:rFonts w:cstheme="minorHAnsi"/>
          <w:sz w:val="19"/>
          <w:szCs w:val="19"/>
        </w:rPr>
      </w:pPr>
      <w:r w:rsidRPr="00125BEE">
        <w:rPr>
          <w:rFonts w:cstheme="minorHAnsi"/>
          <w:sz w:val="19"/>
          <w:szCs w:val="19"/>
        </w:rPr>
        <w:t>Endocrinologic disease - Hyper- or hypothyroidism, diabetes mellitus</w:t>
      </w:r>
    </w:p>
    <w:p w:rsidR="00F721C6" w:rsidRPr="00125BEE" w:rsidRDefault="00F721C6" w:rsidP="008512EA">
      <w:pPr>
        <w:pStyle w:val="a3"/>
        <w:spacing w:line="280" w:lineRule="exact"/>
        <w:ind w:leftChars="0" w:left="360"/>
        <w:rPr>
          <w:rFonts w:cstheme="minorHAnsi"/>
          <w:sz w:val="19"/>
          <w:szCs w:val="19"/>
        </w:rPr>
      </w:pPr>
      <w:r w:rsidRPr="00125BEE">
        <w:rPr>
          <w:rFonts w:cstheme="minorHAnsi"/>
          <w:sz w:val="19"/>
          <w:szCs w:val="19"/>
        </w:rPr>
        <w:t>Cardiovascular disease - Hypertension, heart failure, coronary artery disease, peripheral vascular disease</w:t>
      </w:r>
    </w:p>
    <w:p w:rsidR="00F721C6" w:rsidRPr="00125BEE" w:rsidRDefault="00F721C6" w:rsidP="008512EA">
      <w:pPr>
        <w:pStyle w:val="a3"/>
        <w:spacing w:line="280" w:lineRule="exact"/>
        <w:ind w:leftChars="0" w:left="360"/>
        <w:rPr>
          <w:rFonts w:cstheme="minorHAnsi"/>
          <w:sz w:val="19"/>
          <w:szCs w:val="19"/>
        </w:rPr>
      </w:pPr>
      <w:r w:rsidRPr="00125BEE">
        <w:rPr>
          <w:rFonts w:cstheme="minorHAnsi"/>
          <w:sz w:val="19"/>
          <w:szCs w:val="19"/>
        </w:rPr>
        <w:t>Renal disease - Renal insufficiency</w:t>
      </w:r>
    </w:p>
    <w:p w:rsidR="00F721C6" w:rsidRPr="00125BEE" w:rsidRDefault="00F721C6" w:rsidP="008512EA">
      <w:pPr>
        <w:pStyle w:val="a3"/>
        <w:spacing w:line="280" w:lineRule="exact"/>
        <w:ind w:leftChars="0" w:left="360"/>
        <w:rPr>
          <w:rFonts w:cstheme="minorHAnsi"/>
          <w:sz w:val="19"/>
          <w:szCs w:val="19"/>
        </w:rPr>
      </w:pPr>
      <w:r w:rsidRPr="00125BEE">
        <w:rPr>
          <w:rFonts w:cstheme="minorHAnsi"/>
          <w:sz w:val="19"/>
          <w:szCs w:val="19"/>
        </w:rPr>
        <w:t>Hematologic disease - Myelodysplasia, iron deficiency, and pernicious anemia</w:t>
      </w:r>
    </w:p>
    <w:p w:rsidR="00F721C6" w:rsidRPr="00125BEE" w:rsidRDefault="00F721C6" w:rsidP="008512EA">
      <w:pPr>
        <w:pStyle w:val="a3"/>
        <w:spacing w:line="280" w:lineRule="exact"/>
        <w:ind w:leftChars="0" w:left="360"/>
        <w:rPr>
          <w:rFonts w:cstheme="minorHAnsi"/>
          <w:sz w:val="19"/>
          <w:szCs w:val="19"/>
        </w:rPr>
      </w:pPr>
      <w:r w:rsidRPr="00125BEE">
        <w:rPr>
          <w:rFonts w:cstheme="minorHAnsi"/>
          <w:sz w:val="19"/>
          <w:szCs w:val="19"/>
        </w:rPr>
        <w:lastRenderedPageBreak/>
        <w:t>Nutritional deficits - Vitamin deficiencies</w:t>
      </w:r>
    </w:p>
    <w:p w:rsidR="00F721C6" w:rsidRPr="008512EA" w:rsidRDefault="00F721C6" w:rsidP="008512EA">
      <w:pPr>
        <w:pStyle w:val="a3"/>
        <w:spacing w:line="280" w:lineRule="exact"/>
        <w:ind w:leftChars="0" w:left="360"/>
        <w:rPr>
          <w:rFonts w:ascii="Georgia" w:hAnsi="Georgia" w:cs="Arial"/>
          <w:sz w:val="19"/>
          <w:szCs w:val="19"/>
        </w:rPr>
      </w:pPr>
      <w:r w:rsidRPr="00125BEE">
        <w:rPr>
          <w:rFonts w:cstheme="minorHAnsi"/>
          <w:sz w:val="19"/>
          <w:szCs w:val="19"/>
        </w:rPr>
        <w:t>Neurologic disease - Parkinson disease, vascular dementia, serial lacunar infarcts</w:t>
      </w:r>
    </w:p>
    <w:p w:rsidR="00F721C6" w:rsidRPr="008512EA" w:rsidRDefault="00F721C6" w:rsidP="00F721C6">
      <w:pPr>
        <w:spacing w:line="280" w:lineRule="exact"/>
        <w:jc w:val="both"/>
        <w:rPr>
          <w:rFonts w:ascii="Georgia" w:hAnsi="Georgia" w:cs="Times New Roman"/>
          <w:sz w:val="19"/>
          <w:szCs w:val="19"/>
        </w:rPr>
      </w:pPr>
    </w:p>
    <w:p w:rsidR="00F721C6" w:rsidRPr="008512EA" w:rsidRDefault="00F721C6" w:rsidP="00F721C6">
      <w:pPr>
        <w:spacing w:line="280" w:lineRule="exact"/>
        <w:jc w:val="both"/>
        <w:rPr>
          <w:rFonts w:ascii="Georgia" w:hAnsi="Georgia" w:cs="Times New Roman"/>
          <w:sz w:val="19"/>
          <w:szCs w:val="19"/>
        </w:rPr>
      </w:pPr>
      <w:r w:rsidRPr="008512EA">
        <w:rPr>
          <w:rFonts w:ascii="Georgia" w:hAnsi="Georgia" w:cs="Times New Roman"/>
          <w:sz w:val="19"/>
          <w:szCs w:val="19"/>
        </w:rPr>
        <w:t xml:space="preserve">Most research identifies frailty based on the five Fried frailty criteria (slowness, weakness, low physical activity, exhaustion and shrinkage) and divides participants into three stages: non-frail, pre-frail and frail. The above stages determined with scores in the social (social network type, informal care use, loneliness), psychological (psychological distress, mastery, self-management) and physical (chronic diseases, GARS IADL-disability, OECD disability) </w:t>
      </w:r>
      <w:r w:rsidR="003553EB">
        <w:rPr>
          <w:rFonts w:ascii="Georgia" w:hAnsi="Georgia" w:cs="Times New Roman"/>
          <w:sz w:val="19"/>
          <w:szCs w:val="19"/>
        </w:rPr>
        <w:t xml:space="preserve">domains </w:t>
      </w:r>
      <w:r w:rsidR="003553EB">
        <w:rPr>
          <w:rFonts w:ascii="Georgia" w:hAnsi="Georgia" w:cs="Times New Roman"/>
          <w:sz w:val="19"/>
          <w:szCs w:val="19"/>
        </w:rPr>
        <w:fldChar w:fldCharType="begin" w:fldLock="1"/>
      </w:r>
      <w:r w:rsidR="00EE0817">
        <w:rPr>
          <w:rFonts w:ascii="Georgia" w:hAnsi="Georgia" w:cs="Times New Roman"/>
          <w:sz w:val="19"/>
          <w:szCs w:val="19"/>
        </w:rPr>
        <w:instrText>ADDIN CSL_CITATION {"citationItems":[{"id":"ITEM-1","itemData":{"ISBN":"1758-535X","author":[{"dropping-particle":"","family":"Fried","given":"Linda P","non-dropping-particle":"","parse-names":false,"suffix":""},{"dropping-particle":"","family":"Tangen","given":"Catherine M","non-dropping-particle":"","parse-names":false,"suffix":""},{"dropping-particle":"","family":"Walston","given":"Jeremy","non-dropping-particle":"","parse-names":false,"suffix":""},{"dropping-particle":"","family":"Newman","given":"Anne B","non-dropping-particle":"","parse-names":false,"suffix":""},{"dropping-particle":"","family":"Hirsch","given":"Calvin","non-dropping-particle":"","parse-names":false,"suffix":""},{"dropping-particle":"","family":"Gottdiener","given":"John","non-dropping-particle":"","parse-names":false,"suffix":""},{"dropping-particle":"","family":"Seeman","given":"Teresa","non-dropping-particle":"","parse-names":false,"suffix":""},{"dropping-particle":"","family":"Tracy","given":"Russell","non-dropping-particle":"","parse-names":false,"suffix":""},{"dropping-particle":"","family":"Kop","given":"Willem J","non-dropping-particle":"","parse-names":false,"suffix":""},{"dropping-particle":"","family":"Burke","given":"Gregory","non-dropping-particle":"","parse-names":false,"suffix":""}],"container-title":"The Journals of Gerontology Series A: Biological Sciences and Medical Sciences","id":"ITEM-1","issue":"3","issued":{"date-parts":[["2001"]]},"page":"M146-M157","title":"Frailty in older adults: evidence for a phenotype","type":"article-journal","volume":"56"},"uris":["http://www.mendeley.com/documents/?uuid=47fa47bb-cf46-4a93-9f71-98797c84b436"]}],"mendeley":{"formattedCitation":"&lt;sup&gt;2&lt;/sup&gt;","plainTextFormattedCitation":"2","previouslyFormattedCitation":"[2]"},"properties":{"noteIndex":0},"schema":"https://github.com/citation-style-language/schema/raw/master/csl-citation.json"}</w:instrText>
      </w:r>
      <w:r w:rsidR="003553EB">
        <w:rPr>
          <w:rFonts w:ascii="Georgia" w:hAnsi="Georgia" w:cs="Times New Roman"/>
          <w:sz w:val="19"/>
          <w:szCs w:val="19"/>
        </w:rPr>
        <w:fldChar w:fldCharType="separate"/>
      </w:r>
      <w:r w:rsidR="00EE0817" w:rsidRPr="00EE0817">
        <w:rPr>
          <w:rFonts w:ascii="Georgia" w:hAnsi="Georgia" w:cs="Times New Roman"/>
          <w:noProof/>
          <w:sz w:val="19"/>
          <w:szCs w:val="19"/>
          <w:vertAlign w:val="superscript"/>
        </w:rPr>
        <w:t>2</w:t>
      </w:r>
      <w:r w:rsidR="003553EB">
        <w:rPr>
          <w:rFonts w:ascii="Georgia" w:hAnsi="Georgia" w:cs="Times New Roman"/>
          <w:sz w:val="19"/>
          <w:szCs w:val="19"/>
        </w:rPr>
        <w:fldChar w:fldCharType="end"/>
      </w:r>
      <w:r w:rsidRPr="008512EA">
        <w:rPr>
          <w:rFonts w:ascii="Georgia" w:hAnsi="Georgia" w:cs="Times New Roman"/>
          <w:sz w:val="19"/>
          <w:szCs w:val="19"/>
        </w:rPr>
        <w:t>. Despite the prevalence of Fried criteria, there are dissimilarities in methods used to evaluate frailty between different studies. Another approach to assess frailty is the frailty index approach, which sees frailty as accumulations of deficits beginning from cellular level, and quantification relies on counting the amounts of deficits among manifold organ systems.</w:t>
      </w:r>
    </w:p>
    <w:p w:rsidR="00F721C6" w:rsidRPr="008512EA" w:rsidRDefault="00F721C6" w:rsidP="00F721C6">
      <w:pPr>
        <w:spacing w:line="280" w:lineRule="exact"/>
        <w:jc w:val="both"/>
        <w:rPr>
          <w:rFonts w:ascii="Georgia" w:hAnsi="Georgia" w:cs="Times New Roman"/>
          <w:sz w:val="19"/>
          <w:szCs w:val="19"/>
        </w:rPr>
      </w:pPr>
    </w:p>
    <w:p w:rsidR="00F721C6" w:rsidRPr="008512EA" w:rsidRDefault="00F721C6" w:rsidP="00F721C6">
      <w:pPr>
        <w:spacing w:line="280" w:lineRule="exact"/>
        <w:jc w:val="both"/>
        <w:rPr>
          <w:rFonts w:ascii="Georgia" w:hAnsi="Georgia" w:cs="Times New Roman"/>
          <w:sz w:val="19"/>
          <w:szCs w:val="19"/>
        </w:rPr>
      </w:pPr>
      <w:r w:rsidRPr="008512EA">
        <w:rPr>
          <w:rFonts w:ascii="Georgia" w:hAnsi="Georgia" w:cs="Times New Roman"/>
          <w:sz w:val="19"/>
          <w:szCs w:val="19"/>
        </w:rPr>
        <w:t>Regardless of measurement methods, patients with frailty have their physical function declined and risk of adverse health outcomes augmented.</w:t>
      </w:r>
    </w:p>
    <w:p w:rsidR="00F721C6" w:rsidRPr="008512EA" w:rsidRDefault="00F721C6" w:rsidP="00F721C6">
      <w:pPr>
        <w:spacing w:line="280" w:lineRule="exact"/>
        <w:jc w:val="both"/>
        <w:rPr>
          <w:rFonts w:ascii="Georgia" w:hAnsi="Georgia" w:cs="Times New Roman"/>
          <w:sz w:val="19"/>
          <w:szCs w:val="19"/>
        </w:rPr>
      </w:pPr>
    </w:p>
    <w:p w:rsidR="00F721C6" w:rsidRPr="008512EA" w:rsidRDefault="00F721C6" w:rsidP="00F721C6">
      <w:pPr>
        <w:spacing w:line="280" w:lineRule="exact"/>
        <w:jc w:val="both"/>
        <w:rPr>
          <w:rFonts w:cstheme="minorHAnsi"/>
          <w:b/>
          <w:sz w:val="21"/>
          <w:szCs w:val="21"/>
        </w:rPr>
      </w:pPr>
      <w:r w:rsidRPr="008512EA">
        <w:rPr>
          <w:rFonts w:cstheme="minorHAnsi"/>
          <w:b/>
          <w:sz w:val="21"/>
          <w:szCs w:val="21"/>
        </w:rPr>
        <w:t>Epidemiology of frailty</w:t>
      </w:r>
    </w:p>
    <w:p w:rsidR="00F721C6" w:rsidRPr="008512EA" w:rsidRDefault="00F721C6" w:rsidP="00F721C6">
      <w:pPr>
        <w:spacing w:line="280" w:lineRule="exact"/>
        <w:jc w:val="both"/>
        <w:rPr>
          <w:rFonts w:ascii="Georgia" w:hAnsi="Georgia" w:cs="Times New Roman"/>
          <w:sz w:val="19"/>
          <w:szCs w:val="19"/>
        </w:rPr>
      </w:pPr>
      <w:r w:rsidRPr="008512EA">
        <w:rPr>
          <w:rFonts w:ascii="Georgia" w:hAnsi="Georgia" w:cs="Times New Roman"/>
          <w:sz w:val="19"/>
          <w:szCs w:val="19"/>
        </w:rPr>
        <w:t xml:space="preserve">The prevalence of frailty in those who have CKD have a larger span: from 7% in community-dwellers to 73% in a cohort </w:t>
      </w:r>
      <w:r w:rsidR="003553EB">
        <w:rPr>
          <w:rFonts w:ascii="Georgia" w:hAnsi="Georgia" w:cs="Times New Roman"/>
          <w:sz w:val="19"/>
          <w:szCs w:val="19"/>
        </w:rPr>
        <w:t xml:space="preserve">of patients on hemodialysis </w:t>
      </w:r>
      <w:r w:rsidR="003553EB">
        <w:rPr>
          <w:rFonts w:ascii="Georgia" w:hAnsi="Georgia" w:cs="Times New Roman"/>
          <w:sz w:val="19"/>
          <w:szCs w:val="19"/>
        </w:rPr>
        <w:fldChar w:fldCharType="begin" w:fldLock="1"/>
      </w:r>
      <w:r w:rsidR="00EE0817">
        <w:rPr>
          <w:rFonts w:ascii="Georgia" w:hAnsi="Georgia" w:cs="Times New Roman"/>
          <w:sz w:val="19"/>
          <w:szCs w:val="19"/>
        </w:rPr>
        <w:instrText>ADDIN CSL_CITATION {"citationItems":[{"id":"ITEM-1","itemData":{"ISBN":"1758-535X","author":[{"dropping-particle":"","family":"Fried","given":"Linda P","non-dropping-particle":"","parse-names":false,"suffix":""},{"dropping-particle":"","family":"Tangen","given":"Catherine M","non-dropping-particle":"","parse-names":false,"suffix":""},{"dropping-particle":"","family":"Walston","given":"Jeremy","non-dropping-particle":"","parse-names":false,"suffix":""},{"dropping-particle":"","family":"Newman","given":"Anne B","non-dropping-particle":"","parse-names":false,"suffix":""},{"dropping-particle":"","family":"Hirsch","given":"Calvin","non-dropping-particle":"","parse-names":false,"suffix":""},{"dropping-particle":"","family":"Gottdiener","given":"John","non-dropping-particle":"","parse-names":false,"suffix":""},{"dropping-particle":"","family":"Seeman","given":"Teresa","non-dropping-particle":"","parse-names":false,"suffix":""},{"dropping-particle":"","family":"Tracy","given":"Russell","non-dropping-particle":"","parse-names":false,"suffix":""},{"dropping-particle":"","family":"Kop","given":"Willem J","non-dropping-particle":"","parse-names":false,"suffix":""},{"dropping-particle":"","family":"Burke","given":"Gregory","non-dropping-particle":"","parse-names":false,"suffix":""}],"container-title":"The Journals of Gerontology Series A: Biological Sciences and Medical Sciences","id":"ITEM-1","issue":"3","issued":{"date-parts":[["2001"]]},"page":"M146-M157","title":"Frailty in older adults: evidence for a phenotype","type":"article-journal","volume":"56"},"uris":["http://www.mendeley.com/documents/?uuid=47fa47bb-cf46-4a93-9f71-98797c84b436"]}],"mendeley":{"formattedCitation":"&lt;sup&gt;2&lt;/sup&gt;","plainTextFormattedCitation":"2","previouslyFormattedCitation":"[2]"},"properties":{"noteIndex":0},"schema":"https://github.com/citation-style-language/schema/raw/master/csl-citation.json"}</w:instrText>
      </w:r>
      <w:r w:rsidR="003553EB">
        <w:rPr>
          <w:rFonts w:ascii="Georgia" w:hAnsi="Georgia" w:cs="Times New Roman"/>
          <w:sz w:val="19"/>
          <w:szCs w:val="19"/>
        </w:rPr>
        <w:fldChar w:fldCharType="separate"/>
      </w:r>
      <w:r w:rsidR="00EE0817" w:rsidRPr="00EE0817">
        <w:rPr>
          <w:rFonts w:ascii="Georgia" w:hAnsi="Georgia" w:cs="Times New Roman"/>
          <w:noProof/>
          <w:sz w:val="19"/>
          <w:szCs w:val="19"/>
          <w:vertAlign w:val="superscript"/>
        </w:rPr>
        <w:t>2</w:t>
      </w:r>
      <w:r w:rsidR="003553EB">
        <w:rPr>
          <w:rFonts w:ascii="Georgia" w:hAnsi="Georgia" w:cs="Times New Roman"/>
          <w:sz w:val="19"/>
          <w:szCs w:val="19"/>
        </w:rPr>
        <w:fldChar w:fldCharType="end"/>
      </w:r>
      <w:r w:rsidRPr="008512EA">
        <w:rPr>
          <w:rFonts w:ascii="Georgia" w:hAnsi="Georgia" w:cs="Times New Roman"/>
          <w:sz w:val="19"/>
          <w:szCs w:val="19"/>
        </w:rPr>
        <w:t xml:space="preserve">. </w:t>
      </w:r>
    </w:p>
    <w:p w:rsidR="00F721C6" w:rsidRPr="008512EA" w:rsidRDefault="00F721C6" w:rsidP="00F721C6">
      <w:pPr>
        <w:spacing w:line="280" w:lineRule="exact"/>
        <w:jc w:val="both"/>
        <w:rPr>
          <w:rFonts w:ascii="Georgia" w:hAnsi="Georgia" w:cs="Times New Roman"/>
          <w:sz w:val="19"/>
          <w:szCs w:val="19"/>
        </w:rPr>
      </w:pPr>
    </w:p>
    <w:p w:rsidR="00F721C6" w:rsidRPr="008512EA" w:rsidRDefault="00F721C6" w:rsidP="00F721C6">
      <w:pPr>
        <w:spacing w:line="280" w:lineRule="exact"/>
        <w:jc w:val="both"/>
        <w:rPr>
          <w:rFonts w:cstheme="minorHAnsi"/>
          <w:b/>
          <w:sz w:val="21"/>
          <w:szCs w:val="21"/>
        </w:rPr>
      </w:pPr>
      <w:r w:rsidRPr="008512EA">
        <w:rPr>
          <w:rFonts w:cstheme="minorHAnsi"/>
          <w:b/>
          <w:sz w:val="21"/>
          <w:szCs w:val="21"/>
        </w:rPr>
        <w:t>Pathophysiology</w:t>
      </w:r>
    </w:p>
    <w:p w:rsidR="00F721C6" w:rsidRPr="008512EA" w:rsidRDefault="00F721C6" w:rsidP="00F721C6">
      <w:pPr>
        <w:spacing w:line="280" w:lineRule="exact"/>
        <w:jc w:val="both"/>
        <w:rPr>
          <w:rFonts w:ascii="Georgia" w:hAnsi="Georgia" w:cs="Times New Roman"/>
          <w:sz w:val="19"/>
          <w:szCs w:val="19"/>
        </w:rPr>
      </w:pPr>
      <w:r w:rsidRPr="008512EA">
        <w:rPr>
          <w:rFonts w:ascii="Georgia" w:hAnsi="Georgia" w:cs="Times New Roman"/>
          <w:sz w:val="19"/>
          <w:szCs w:val="19"/>
        </w:rPr>
        <w:t>Two leading hypotheses are plausible to explain the relationship between frailty and inflammatory-related disease.</w:t>
      </w:r>
    </w:p>
    <w:p w:rsidR="00F721C6" w:rsidRPr="008512EA" w:rsidRDefault="00F721C6" w:rsidP="00F721C6">
      <w:pPr>
        <w:spacing w:line="280" w:lineRule="exact"/>
        <w:jc w:val="both"/>
        <w:rPr>
          <w:rFonts w:ascii="Georgia" w:hAnsi="Georgia" w:cs="Times New Roman"/>
          <w:sz w:val="19"/>
          <w:szCs w:val="19"/>
        </w:rPr>
      </w:pPr>
      <w:r w:rsidRPr="008512EA">
        <w:rPr>
          <w:rFonts w:ascii="Georgia" w:hAnsi="Georgia" w:cs="Times New Roman"/>
          <w:sz w:val="19"/>
          <w:szCs w:val="19"/>
        </w:rPr>
        <w:t>One mechanism is “punished inefficiency,” which indicates the sequential effect of impairments in one system on stress and inefficiencies in other systems. The second mechanism, “shared pathophysiology,” suggests inflammation being a probable etiological cause of frailty, inflammatory-related disease has a high prevalence in frail older people.</w:t>
      </w:r>
    </w:p>
    <w:p w:rsidR="00F721C6" w:rsidRPr="008512EA" w:rsidRDefault="00F721C6" w:rsidP="00F721C6">
      <w:pPr>
        <w:spacing w:line="280" w:lineRule="exact"/>
        <w:jc w:val="both"/>
        <w:rPr>
          <w:rFonts w:ascii="Georgia" w:hAnsi="Georgia" w:cs="Times New Roman"/>
          <w:sz w:val="19"/>
          <w:szCs w:val="19"/>
        </w:rPr>
      </w:pPr>
    </w:p>
    <w:p w:rsidR="00F721C6" w:rsidRPr="008512EA" w:rsidRDefault="00F721C6" w:rsidP="00F721C6">
      <w:pPr>
        <w:spacing w:line="280" w:lineRule="exact"/>
        <w:jc w:val="both"/>
        <w:rPr>
          <w:rFonts w:cstheme="minorHAnsi"/>
          <w:b/>
          <w:sz w:val="21"/>
          <w:szCs w:val="21"/>
        </w:rPr>
      </w:pPr>
      <w:r w:rsidRPr="008512EA">
        <w:rPr>
          <w:rFonts w:cstheme="minorHAnsi"/>
          <w:b/>
          <w:sz w:val="21"/>
          <w:szCs w:val="21"/>
        </w:rPr>
        <w:t>Mortality</w:t>
      </w:r>
    </w:p>
    <w:p w:rsidR="00F721C6" w:rsidRPr="008512EA" w:rsidRDefault="00F721C6" w:rsidP="00F721C6">
      <w:pPr>
        <w:spacing w:line="280" w:lineRule="exact"/>
        <w:jc w:val="both"/>
        <w:rPr>
          <w:rFonts w:ascii="Georgia" w:hAnsi="Georgia" w:cs="Times New Roman"/>
          <w:sz w:val="19"/>
          <w:szCs w:val="19"/>
        </w:rPr>
      </w:pPr>
      <w:r w:rsidRPr="008512EA">
        <w:rPr>
          <w:rFonts w:ascii="Georgia" w:hAnsi="Georgia" w:cs="Times New Roman"/>
          <w:sz w:val="19"/>
          <w:szCs w:val="19"/>
        </w:rPr>
        <w:t xml:space="preserve">Frailty is associated with higher mortality risk, and varying hazard ratios (HR) depends on frailty definitions and populations. In the longitudinal Women’s Health Initiative Observational Study, mortality rose in those with baseline frailty </w:t>
      </w:r>
      <w:r w:rsidR="0009493C">
        <w:rPr>
          <w:rFonts w:ascii="Georgia" w:hAnsi="Georgia" w:cs="Times New Roman"/>
          <w:sz w:val="19"/>
          <w:szCs w:val="19"/>
        </w:rPr>
        <w:t xml:space="preserve">(HR 1.71; 95% CI 1.48-1.97) </w:t>
      </w:r>
      <w:r w:rsidR="0009493C">
        <w:rPr>
          <w:rFonts w:ascii="Georgia" w:hAnsi="Georgia" w:cs="Times New Roman"/>
          <w:sz w:val="19"/>
          <w:szCs w:val="19"/>
        </w:rPr>
        <w:fldChar w:fldCharType="begin" w:fldLock="1"/>
      </w:r>
      <w:r w:rsidR="00EE0817">
        <w:rPr>
          <w:rFonts w:ascii="Georgia" w:hAnsi="Georgia" w:cs="Times New Roman"/>
          <w:sz w:val="19"/>
          <w:szCs w:val="19"/>
        </w:rPr>
        <w:instrText>ADDIN CSL_CITATION {"citationItems":[{"id":"ITEM-1","itemData":{"DOI":"10.1111/j.1532-5415.2005.53405.x","ISSN":"00028614","author":[{"dropping-particle":"","family":"Fugate Woods","given":"Nancy","non-dropping-particle":"","parse-names":false,"suffix":""},{"dropping-particle":"","family":"LaCroix","given":"Andrea Z.","non-dropping-particle":"","parse-names":false,"suffix":""},{"dropping-particle":"","family":"Gray","given":"Shelly L.","non-dropping-particle":"","parse-names":false,"suffix":""},{"dropping-particle":"","family":"Aragaki","given":"Aaron","non-dropping-particle":"","parse-names":false,"suffix":""},{"dropping-particle":"","family":"Cochrane","given":"Barbara B.","non-dropping-particle":"","parse-names":false,"suffix":""},{"dropping-particle":"","family":"Brunner","given":"Robert L.","non-dropping-particle":"","parse-names":false,"suffix":""},{"dropping-particle":"","family":"Masaki","given":"Kamal","non-dropping-particle":"","parse-names":false,"suffix":""},{"dropping-particle":"","family":"Murray","given":"Anne","non-dropping-particle":"","parse-names":false,"suffix":""},{"dropping-particle":"","family":"Newman","given":"Anne B.","non-dropping-particle":"","parse-names":false,"suffix":""}],"container-title":"Journal of the American Geriatrics Society","id":"ITEM-1","issue":"8","issued":{"date-parts":[["2005","8","1"]]},"page":"1321-1330","publisher":"John Wiley &amp; Sons, Ltd (10.1111)","title":"Frailty: Emergence and Consequences in Women Aged 65 and Older in the Women's Health Initiative Observational Study","type":"article-journal","volume":"53"},"uris":["http://www.mendeley.com/documents/?uuid=9fa1ace8-a623-3aa1-af8f-da9c717ab4d3"]}],"mendeley":{"formattedCitation":"&lt;sup&gt;3&lt;/sup&gt;","plainTextFormattedCitation":"3","previouslyFormattedCitation":"[3]"},"properties":{"noteIndex":0},"schema":"https://github.com/citation-style-language/schema/raw/master/csl-citation.json"}</w:instrText>
      </w:r>
      <w:r w:rsidR="0009493C">
        <w:rPr>
          <w:rFonts w:ascii="Georgia" w:hAnsi="Georgia" w:cs="Times New Roman"/>
          <w:sz w:val="19"/>
          <w:szCs w:val="19"/>
        </w:rPr>
        <w:fldChar w:fldCharType="separate"/>
      </w:r>
      <w:r w:rsidR="00EE0817" w:rsidRPr="00EE0817">
        <w:rPr>
          <w:rFonts w:ascii="Georgia" w:hAnsi="Georgia" w:cs="Times New Roman"/>
          <w:noProof/>
          <w:sz w:val="19"/>
          <w:szCs w:val="19"/>
          <w:vertAlign w:val="superscript"/>
        </w:rPr>
        <w:t>3</w:t>
      </w:r>
      <w:r w:rsidR="0009493C">
        <w:rPr>
          <w:rFonts w:ascii="Georgia" w:hAnsi="Georgia" w:cs="Times New Roman"/>
          <w:sz w:val="19"/>
          <w:szCs w:val="19"/>
        </w:rPr>
        <w:fldChar w:fldCharType="end"/>
      </w:r>
      <w:r w:rsidRPr="008512EA">
        <w:rPr>
          <w:rFonts w:ascii="Georgia" w:hAnsi="Georgia" w:cs="Times New Roman"/>
          <w:sz w:val="19"/>
          <w:szCs w:val="19"/>
        </w:rPr>
        <w:t xml:space="preserve">. In another study, compared with robust men, it was twice the mortality for frail men </w:t>
      </w:r>
      <w:r w:rsidR="003553EB">
        <w:rPr>
          <w:rFonts w:ascii="Georgia" w:hAnsi="Georgia" w:cs="Times New Roman"/>
          <w:sz w:val="19"/>
          <w:szCs w:val="19"/>
        </w:rPr>
        <w:t xml:space="preserve">(HR 2.05; 95% CI 1.55-2.72) </w:t>
      </w:r>
      <w:r w:rsidR="003553EB">
        <w:rPr>
          <w:rFonts w:ascii="Georgia" w:hAnsi="Georgia" w:cs="Times New Roman"/>
          <w:sz w:val="19"/>
          <w:szCs w:val="19"/>
        </w:rPr>
        <w:fldChar w:fldCharType="begin" w:fldLock="1"/>
      </w:r>
      <w:r w:rsidR="00EE0817">
        <w:rPr>
          <w:rFonts w:ascii="Georgia" w:hAnsi="Georgia" w:cs="Times New Roman"/>
          <w:sz w:val="19"/>
          <w:szCs w:val="19"/>
        </w:rPr>
        <w:instrText>ADDIN CSL_CITATION {"citationItems":[{"id":"ITEM-1","itemData":{"DOI":"10.1111/j.1532-5415.2007.01259.x","ISBN":"0002-8614 (Print)\\n0002-8614 (Linking)","ISSN":"00028614","PMID":"17661960","abstract":"OBJECTIVES: To describe the association between frailty and health status, the progression of frailty, and the relationship between frailty and mortality in older men. DESIGN: Cross-sectional and prospective cohort study. SETTING: Six U.S. clinical centers. PARTICIPANTS: Five thousand nine hundred ninety-three community-dwelling men aged 65 and older. MEASUREMENTS: Frailty was defined as three or more of the following: sarcopenia (low appendicular skeletal mass adjusted for height and body fat), weakness (grip strength), self-reported exhaustion, low activity level, and slow walking speed. Prefrail men met one or two criteria; robust men had none. Follow-up averaged 4.7 years. RESULTS: At baseline, 240 subjects (4.0%) were frail, 2,395 (40.0%) were prefrail, and 3,358 were robust (56.0%). Frail men were less healthy in most measures of self-reported health than prefrail or robust men. Frailty was somewhat more common in African Americans (6.6%) and Asians (5.8%) than Caucasians (3.8%). At the second visit, men who were frail at baseline tended to remain frail (24.2%) or die (37.1%) or were unable to complete the follow-up visit (26.2%); robust men tended to remain robust (54.4%). Frail men were approximately twice as likely to die as robust men (multivariate hazard ratio (MHR)=2.05, 95% confidence interval (CI)=1.55-2.72). Mortality risk for frail men was greater in all weight categories than for nonfrail men but was highest for normal-weight frail men (MHR=2.39, 95% CI=1.51-3.79, P for interaction=.01). The relationship between frailty and mortality was somewhat stronger in younger men than older men (P for interaction=.01). CONCLUSION: Frailty in older men is associated with poorer health and a greater risk of mortality.","author":[{"dropping-particle":"","family":"Cawthon","given":"Peggy M.","non-dropping-particle":"","parse-names":false,"suffix":""},{"dropping-particle":"","family":"Marshall","given":"Lynn M.","non-dropping-particle":"","parse-names":false,"suffix":""},{"dropping-particle":"","family":"Michael","given":"Yvonne","non-dropping-particle":"","parse-names":false,"suffix":""},{"dropping-particle":"","family":"Dam","given":"Thuy Tien","non-dropping-particle":"","parse-names":false,"suffix":""},{"dropping-particle":"","family":"Ensrud","given":"Kristine E.","non-dropping-particle":"","parse-names":false,"suffix":""},{"dropping-particle":"","family":"Barrett-Connor","given":"Elizabeth","non-dropping-particle":"","parse-names":false,"suffix":""},{"dropping-particle":"","family":"Orwoll","given":"Eric S.","non-dropping-particle":"","parse-names":false,"suffix":""}],"container-title":"Journal of the American Geriatrics Society","id":"ITEM-1","issued":{"date-parts":[["2007"]]},"title":"Frailty in older men: Prevalence, progression, and relationship with mortality","type":"article-journal"},"uris":["http://www.mendeley.com/documents/?uuid=a0af5475-4cf9-4bca-9c55-b7dadb3a3844"]}],"mendeley":{"formattedCitation":"&lt;sup&gt;4&lt;/sup&gt;","plainTextFormattedCitation":"4","previouslyFormattedCitation":"[4]"},"properties":{"noteIndex":0},"schema":"https://github.com/citation-style-language/schema/raw/master/csl-citation.json"}</w:instrText>
      </w:r>
      <w:r w:rsidR="003553EB">
        <w:rPr>
          <w:rFonts w:ascii="Georgia" w:hAnsi="Georgia" w:cs="Times New Roman"/>
          <w:sz w:val="19"/>
          <w:szCs w:val="19"/>
        </w:rPr>
        <w:fldChar w:fldCharType="separate"/>
      </w:r>
      <w:r w:rsidR="00EE0817" w:rsidRPr="00EE0817">
        <w:rPr>
          <w:rFonts w:ascii="Georgia" w:hAnsi="Georgia" w:cs="Times New Roman"/>
          <w:noProof/>
          <w:sz w:val="19"/>
          <w:szCs w:val="19"/>
          <w:vertAlign w:val="superscript"/>
        </w:rPr>
        <w:t>4</w:t>
      </w:r>
      <w:r w:rsidR="003553EB">
        <w:rPr>
          <w:rFonts w:ascii="Georgia" w:hAnsi="Georgia" w:cs="Times New Roman"/>
          <w:sz w:val="19"/>
          <w:szCs w:val="19"/>
        </w:rPr>
        <w:fldChar w:fldCharType="end"/>
      </w:r>
      <w:r w:rsidRPr="008512EA">
        <w:rPr>
          <w:rFonts w:ascii="Georgia" w:hAnsi="Georgia" w:cs="Times New Roman"/>
          <w:sz w:val="19"/>
          <w:szCs w:val="19"/>
        </w:rPr>
        <w:t xml:space="preserve">. </w:t>
      </w:r>
    </w:p>
    <w:p w:rsidR="00F721C6" w:rsidRPr="008512EA" w:rsidRDefault="00F721C6" w:rsidP="00F721C6">
      <w:pPr>
        <w:spacing w:line="280" w:lineRule="exact"/>
        <w:jc w:val="both"/>
        <w:rPr>
          <w:rFonts w:ascii="Georgia" w:hAnsi="Georgia" w:cs="Times New Roman"/>
          <w:sz w:val="19"/>
          <w:szCs w:val="19"/>
        </w:rPr>
      </w:pPr>
    </w:p>
    <w:p w:rsidR="00F721C6" w:rsidRPr="008512EA" w:rsidRDefault="00F721C6" w:rsidP="00F721C6">
      <w:pPr>
        <w:spacing w:line="280" w:lineRule="exact"/>
        <w:jc w:val="both"/>
        <w:rPr>
          <w:rFonts w:cstheme="minorHAnsi"/>
          <w:b/>
          <w:sz w:val="21"/>
          <w:szCs w:val="21"/>
        </w:rPr>
      </w:pPr>
      <w:r w:rsidRPr="008512EA">
        <w:rPr>
          <w:rFonts w:cstheme="minorHAnsi"/>
          <w:b/>
          <w:sz w:val="21"/>
          <w:szCs w:val="21"/>
        </w:rPr>
        <w:t>Complications</w:t>
      </w:r>
    </w:p>
    <w:p w:rsidR="00F721C6" w:rsidRPr="008512EA" w:rsidRDefault="00F721C6" w:rsidP="00F721C6">
      <w:pPr>
        <w:spacing w:line="280" w:lineRule="exact"/>
        <w:jc w:val="both"/>
        <w:rPr>
          <w:rFonts w:ascii="Georgia" w:hAnsi="Georgia" w:cs="Times New Roman"/>
          <w:sz w:val="19"/>
          <w:szCs w:val="19"/>
        </w:rPr>
      </w:pPr>
      <w:r w:rsidRPr="008512EA">
        <w:rPr>
          <w:rFonts w:ascii="Georgia" w:hAnsi="Georgia" w:cs="Times New Roman"/>
          <w:sz w:val="19"/>
          <w:szCs w:val="19"/>
        </w:rPr>
        <w:t>Chronic kidney disease can affect almost every part of your body. Potential complications may include fluid retention, high blood pressure, or pulmonary edema. Hyperkalemia is probable, which is capable of damaging the heart’s function, being life-threatening. Cardiovascular disease, weak bones, anemia, decreased sex drive, erectile dysfunction or reduced fertility may be accompanying. Besides, damage to central nervous system, leading to difficulty concentrating, personality changes or seizures is likely. Other complications like decreased immune response, pericarditis, pregnancy complications that carry risks for the mother and the developing fetus, and irreversible damage to kidneys (end-stage kidney disease) making patients eventually needing either dialysis or a kidney transplant for survival.</w:t>
      </w:r>
    </w:p>
    <w:p w:rsidR="003207E8" w:rsidRDefault="003207E8">
      <w:pPr>
        <w:rPr>
          <w:rFonts w:ascii="Georgia" w:hAnsi="Georgia"/>
        </w:rPr>
      </w:pPr>
    </w:p>
    <w:p w:rsidR="0009493C" w:rsidRDefault="0009493C">
      <w:pPr>
        <w:widowControl/>
        <w:rPr>
          <w:rFonts w:ascii="Georgia" w:hAnsi="Georgia"/>
        </w:rPr>
      </w:pPr>
      <w:r>
        <w:rPr>
          <w:rFonts w:ascii="Georgia" w:hAnsi="Georgia"/>
        </w:rPr>
        <w:br w:type="page"/>
      </w:r>
    </w:p>
    <w:p w:rsidR="0009493C" w:rsidRDefault="0009493C" w:rsidP="003553EB">
      <w:pPr>
        <w:jc w:val="center"/>
        <w:rPr>
          <w:rFonts w:ascii="Georgia" w:hAnsi="Georgia"/>
        </w:rPr>
      </w:pPr>
      <w:r>
        <w:rPr>
          <w:rFonts w:ascii="Georgia" w:hAnsi="Georgia" w:hint="eastAsia"/>
        </w:rPr>
        <w:lastRenderedPageBreak/>
        <w:t>Bibliography</w:t>
      </w:r>
    </w:p>
    <w:p w:rsidR="00EE0817" w:rsidRPr="00EE0817" w:rsidRDefault="00EE0817" w:rsidP="00EE0817">
      <w:pPr>
        <w:autoSpaceDE w:val="0"/>
        <w:autoSpaceDN w:val="0"/>
        <w:adjustRightInd w:val="0"/>
        <w:ind w:left="640" w:hanging="640"/>
        <w:rPr>
          <w:rFonts w:ascii="Georgia" w:hAnsi="Georgia" w:cs="Times New Roman"/>
          <w:noProof/>
          <w:kern w:val="0"/>
          <w:sz w:val="19"/>
          <w:szCs w:val="19"/>
        </w:rPr>
      </w:pPr>
      <w:r w:rsidRPr="00EE0817">
        <w:rPr>
          <w:rFonts w:ascii="Georgia" w:hAnsi="Georgia"/>
          <w:sz w:val="19"/>
          <w:szCs w:val="19"/>
        </w:rPr>
        <w:fldChar w:fldCharType="begin" w:fldLock="1"/>
      </w:r>
      <w:r w:rsidRPr="00EE0817">
        <w:rPr>
          <w:rFonts w:ascii="Georgia" w:hAnsi="Georgia"/>
          <w:sz w:val="19"/>
          <w:szCs w:val="19"/>
        </w:rPr>
        <w:instrText xml:space="preserve">ADDIN Mendeley Bibliography CSL_BIBLIOGRAPHY </w:instrText>
      </w:r>
      <w:r w:rsidRPr="00EE0817">
        <w:rPr>
          <w:rFonts w:ascii="Georgia" w:hAnsi="Georgia"/>
          <w:sz w:val="19"/>
          <w:szCs w:val="19"/>
        </w:rPr>
        <w:fldChar w:fldCharType="separate"/>
      </w:r>
      <w:r w:rsidRPr="00EE0817">
        <w:rPr>
          <w:rFonts w:ascii="Georgia" w:hAnsi="Georgia" w:cs="Times New Roman"/>
          <w:noProof/>
          <w:kern w:val="0"/>
          <w:sz w:val="19"/>
          <w:szCs w:val="19"/>
        </w:rPr>
        <w:t xml:space="preserve">1. </w:t>
      </w:r>
      <w:r w:rsidRPr="00EE0817">
        <w:rPr>
          <w:rFonts w:ascii="Georgia" w:hAnsi="Georgia" w:cs="Times New Roman"/>
          <w:noProof/>
          <w:kern w:val="0"/>
          <w:sz w:val="19"/>
          <w:szCs w:val="19"/>
        </w:rPr>
        <w:tab/>
        <w:t>Chronic kidney disease - Symptoms and causes - Mayo Clinic. https://www.mayoclinic.org/diseases-conditions/chronic-kidney-disease/symptoms-causes/syc-20354521. Accessed January31, 2019.</w:t>
      </w:r>
    </w:p>
    <w:p w:rsidR="00EE0817" w:rsidRPr="00EE0817" w:rsidRDefault="00EE0817" w:rsidP="00EE0817">
      <w:pPr>
        <w:autoSpaceDE w:val="0"/>
        <w:autoSpaceDN w:val="0"/>
        <w:adjustRightInd w:val="0"/>
        <w:ind w:left="640" w:hanging="640"/>
        <w:rPr>
          <w:rFonts w:ascii="Georgia" w:hAnsi="Georgia" w:cs="Times New Roman"/>
          <w:noProof/>
          <w:kern w:val="0"/>
          <w:sz w:val="19"/>
          <w:szCs w:val="19"/>
        </w:rPr>
      </w:pPr>
      <w:r w:rsidRPr="00EE0817">
        <w:rPr>
          <w:rFonts w:ascii="Georgia" w:hAnsi="Georgia" w:cs="Times New Roman"/>
          <w:noProof/>
          <w:kern w:val="0"/>
          <w:sz w:val="19"/>
          <w:szCs w:val="19"/>
        </w:rPr>
        <w:t xml:space="preserve">2. </w:t>
      </w:r>
      <w:r w:rsidRPr="00EE0817">
        <w:rPr>
          <w:rFonts w:ascii="Georgia" w:hAnsi="Georgia" w:cs="Times New Roman"/>
          <w:noProof/>
          <w:kern w:val="0"/>
          <w:sz w:val="19"/>
          <w:szCs w:val="19"/>
        </w:rPr>
        <w:tab/>
        <w:t xml:space="preserve">FriedLP, TangenCM, WalstonJ, et al. Frailty in older adults: evidence for a phenotype. </w:t>
      </w:r>
      <w:r w:rsidRPr="00EE0817">
        <w:rPr>
          <w:rFonts w:ascii="Georgia" w:hAnsi="Georgia" w:cs="Times New Roman"/>
          <w:i/>
          <w:iCs/>
          <w:noProof/>
          <w:kern w:val="0"/>
          <w:sz w:val="19"/>
          <w:szCs w:val="19"/>
        </w:rPr>
        <w:t>Journals Gerontol Ser A Biol Sci Med Sci</w:t>
      </w:r>
      <w:r w:rsidRPr="00EE0817">
        <w:rPr>
          <w:rFonts w:ascii="Georgia" w:hAnsi="Georgia" w:cs="Times New Roman"/>
          <w:noProof/>
          <w:kern w:val="0"/>
          <w:sz w:val="19"/>
          <w:szCs w:val="19"/>
        </w:rPr>
        <w:t>. 2001;56(3):M146-M157.</w:t>
      </w:r>
    </w:p>
    <w:p w:rsidR="00EE0817" w:rsidRPr="00EE0817" w:rsidRDefault="00EE0817" w:rsidP="00EE0817">
      <w:pPr>
        <w:autoSpaceDE w:val="0"/>
        <w:autoSpaceDN w:val="0"/>
        <w:adjustRightInd w:val="0"/>
        <w:ind w:left="640" w:hanging="640"/>
        <w:rPr>
          <w:rFonts w:ascii="Georgia" w:hAnsi="Georgia" w:cs="Times New Roman"/>
          <w:noProof/>
          <w:kern w:val="0"/>
          <w:sz w:val="19"/>
          <w:szCs w:val="19"/>
        </w:rPr>
      </w:pPr>
      <w:r w:rsidRPr="00EE0817">
        <w:rPr>
          <w:rFonts w:ascii="Georgia" w:hAnsi="Georgia" w:cs="Times New Roman"/>
          <w:noProof/>
          <w:kern w:val="0"/>
          <w:sz w:val="19"/>
          <w:szCs w:val="19"/>
        </w:rPr>
        <w:t xml:space="preserve">3. </w:t>
      </w:r>
      <w:r w:rsidRPr="00EE0817">
        <w:rPr>
          <w:rFonts w:ascii="Georgia" w:hAnsi="Georgia" w:cs="Times New Roman"/>
          <w:noProof/>
          <w:kern w:val="0"/>
          <w:sz w:val="19"/>
          <w:szCs w:val="19"/>
        </w:rPr>
        <w:tab/>
        <w:t xml:space="preserve">Fugate WoodsN, LaCroixAZ, GraySL, et al. Frailty: Emergence and Consequences in Women Aged 65 and Older in the Women’s Health Initiative Observational Study. </w:t>
      </w:r>
      <w:r w:rsidRPr="00EE0817">
        <w:rPr>
          <w:rFonts w:ascii="Georgia" w:hAnsi="Georgia" w:cs="Times New Roman"/>
          <w:i/>
          <w:iCs/>
          <w:noProof/>
          <w:kern w:val="0"/>
          <w:sz w:val="19"/>
          <w:szCs w:val="19"/>
        </w:rPr>
        <w:t>J Am Geriatr Soc</w:t>
      </w:r>
      <w:r w:rsidRPr="00EE0817">
        <w:rPr>
          <w:rFonts w:ascii="Georgia" w:hAnsi="Georgia" w:cs="Times New Roman"/>
          <w:noProof/>
          <w:kern w:val="0"/>
          <w:sz w:val="19"/>
          <w:szCs w:val="19"/>
        </w:rPr>
        <w:t>. 2005;53(8):1321-1330. doi:10.1111/j.1532-5415.2005.53405.x</w:t>
      </w:r>
    </w:p>
    <w:p w:rsidR="00EE0817" w:rsidRPr="00EE0817" w:rsidRDefault="00EE0817" w:rsidP="00EE0817">
      <w:pPr>
        <w:autoSpaceDE w:val="0"/>
        <w:autoSpaceDN w:val="0"/>
        <w:adjustRightInd w:val="0"/>
        <w:ind w:left="640" w:hanging="640"/>
        <w:rPr>
          <w:rFonts w:ascii="Georgia" w:hAnsi="Georgia"/>
          <w:noProof/>
          <w:sz w:val="19"/>
          <w:szCs w:val="19"/>
        </w:rPr>
      </w:pPr>
      <w:r w:rsidRPr="00EE0817">
        <w:rPr>
          <w:rFonts w:ascii="Georgia" w:hAnsi="Georgia" w:cs="Times New Roman"/>
          <w:noProof/>
          <w:kern w:val="0"/>
          <w:sz w:val="19"/>
          <w:szCs w:val="19"/>
        </w:rPr>
        <w:t xml:space="preserve">4. </w:t>
      </w:r>
      <w:r w:rsidRPr="00EE0817">
        <w:rPr>
          <w:rFonts w:ascii="Georgia" w:hAnsi="Georgia" w:cs="Times New Roman"/>
          <w:noProof/>
          <w:kern w:val="0"/>
          <w:sz w:val="19"/>
          <w:szCs w:val="19"/>
        </w:rPr>
        <w:tab/>
        <w:t xml:space="preserve">CawthonPM, MarshallLM, MichaelY, et al. Frailty in older men: Prevalence, progression, and relationship with mortality. </w:t>
      </w:r>
      <w:r w:rsidRPr="00EE0817">
        <w:rPr>
          <w:rFonts w:ascii="Georgia" w:hAnsi="Georgia" w:cs="Times New Roman"/>
          <w:i/>
          <w:iCs/>
          <w:noProof/>
          <w:kern w:val="0"/>
          <w:sz w:val="19"/>
          <w:szCs w:val="19"/>
        </w:rPr>
        <w:t>J Am Geriatr Soc</w:t>
      </w:r>
      <w:r w:rsidRPr="00EE0817">
        <w:rPr>
          <w:rFonts w:ascii="Georgia" w:hAnsi="Georgia" w:cs="Times New Roman"/>
          <w:noProof/>
          <w:kern w:val="0"/>
          <w:sz w:val="19"/>
          <w:szCs w:val="19"/>
        </w:rPr>
        <w:t>. 2007. doi:10.1111/j.1532-5415.2007.01259.x</w:t>
      </w:r>
    </w:p>
    <w:p w:rsidR="0009493C" w:rsidRPr="0009493C" w:rsidRDefault="00EE0817" w:rsidP="003553EB">
      <w:pPr>
        <w:rPr>
          <w:rFonts w:ascii="Georgia" w:hAnsi="Georgia"/>
          <w:sz w:val="19"/>
          <w:szCs w:val="19"/>
        </w:rPr>
      </w:pPr>
      <w:r w:rsidRPr="00EE0817">
        <w:rPr>
          <w:rFonts w:ascii="Georgia" w:hAnsi="Georgia"/>
          <w:sz w:val="19"/>
          <w:szCs w:val="19"/>
        </w:rPr>
        <w:fldChar w:fldCharType="end"/>
      </w:r>
    </w:p>
    <w:sectPr w:rsidR="0009493C" w:rsidRPr="0009493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78E" w:rsidRDefault="0047278E" w:rsidP="001D54CF">
      <w:r>
        <w:separator/>
      </w:r>
    </w:p>
  </w:endnote>
  <w:endnote w:type="continuationSeparator" w:id="0">
    <w:p w:rsidR="0047278E" w:rsidRDefault="0047278E" w:rsidP="001D5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78E" w:rsidRDefault="0047278E" w:rsidP="001D54CF">
      <w:r>
        <w:separator/>
      </w:r>
    </w:p>
  </w:footnote>
  <w:footnote w:type="continuationSeparator" w:id="0">
    <w:p w:rsidR="0047278E" w:rsidRDefault="0047278E" w:rsidP="001D54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7C04A7"/>
    <w:multiLevelType w:val="hybridMultilevel"/>
    <w:tmpl w:val="377631E8"/>
    <w:lvl w:ilvl="0" w:tplc="4A5401BC">
      <w:start w:val="1"/>
      <w:numFmt w:val="decimal"/>
      <w:lvlText w:val="%1."/>
      <w:lvlJc w:val="left"/>
      <w:pPr>
        <w:ind w:left="360" w:hanging="360"/>
      </w:pPr>
      <w:rPr>
        <w:b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650"/>
    <w:rsid w:val="0009493C"/>
    <w:rsid w:val="00125BEE"/>
    <w:rsid w:val="001D54CF"/>
    <w:rsid w:val="003207E8"/>
    <w:rsid w:val="003553EB"/>
    <w:rsid w:val="0047278E"/>
    <w:rsid w:val="00557C34"/>
    <w:rsid w:val="00846650"/>
    <w:rsid w:val="008512EA"/>
    <w:rsid w:val="00854B04"/>
    <w:rsid w:val="00EE0817"/>
    <w:rsid w:val="00F721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DD73B"/>
  <w15:chartTrackingRefBased/>
  <w15:docId w15:val="{BE59AB4D-17B2-4D1C-9723-4CAB805A5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6"/>
    <w:pPr>
      <w:ind w:leftChars="200" w:left="480"/>
    </w:pPr>
  </w:style>
  <w:style w:type="paragraph" w:styleId="a4">
    <w:name w:val="header"/>
    <w:basedOn w:val="a"/>
    <w:link w:val="a5"/>
    <w:uiPriority w:val="99"/>
    <w:unhideWhenUsed/>
    <w:rsid w:val="001D54CF"/>
    <w:pPr>
      <w:tabs>
        <w:tab w:val="center" w:pos="4153"/>
        <w:tab w:val="right" w:pos="8306"/>
      </w:tabs>
      <w:snapToGrid w:val="0"/>
    </w:pPr>
    <w:rPr>
      <w:sz w:val="20"/>
      <w:szCs w:val="20"/>
    </w:rPr>
  </w:style>
  <w:style w:type="character" w:customStyle="1" w:styleId="a5">
    <w:name w:val="頁首 字元"/>
    <w:basedOn w:val="a0"/>
    <w:link w:val="a4"/>
    <w:uiPriority w:val="99"/>
    <w:rsid w:val="001D54CF"/>
    <w:rPr>
      <w:sz w:val="20"/>
      <w:szCs w:val="20"/>
    </w:rPr>
  </w:style>
  <w:style w:type="paragraph" w:styleId="a6">
    <w:name w:val="footer"/>
    <w:basedOn w:val="a"/>
    <w:link w:val="a7"/>
    <w:uiPriority w:val="99"/>
    <w:unhideWhenUsed/>
    <w:rsid w:val="001D54CF"/>
    <w:pPr>
      <w:tabs>
        <w:tab w:val="center" w:pos="4153"/>
        <w:tab w:val="right" w:pos="8306"/>
      </w:tabs>
      <w:snapToGrid w:val="0"/>
    </w:pPr>
    <w:rPr>
      <w:sz w:val="20"/>
      <w:szCs w:val="20"/>
    </w:rPr>
  </w:style>
  <w:style w:type="character" w:customStyle="1" w:styleId="a7">
    <w:name w:val="頁尾 字元"/>
    <w:basedOn w:val="a0"/>
    <w:link w:val="a6"/>
    <w:uiPriority w:val="99"/>
    <w:rsid w:val="001D54C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193053">
      <w:bodyDiv w:val="1"/>
      <w:marLeft w:val="0"/>
      <w:marRight w:val="0"/>
      <w:marTop w:val="0"/>
      <w:marBottom w:val="0"/>
      <w:divBdr>
        <w:top w:val="none" w:sz="0" w:space="0" w:color="auto"/>
        <w:left w:val="none" w:sz="0" w:space="0" w:color="auto"/>
        <w:bottom w:val="none" w:sz="0" w:space="0" w:color="auto"/>
        <w:right w:val="none" w:sz="0" w:space="0" w:color="auto"/>
      </w:divBdr>
    </w:div>
    <w:div w:id="1800343103">
      <w:bodyDiv w:val="1"/>
      <w:marLeft w:val="0"/>
      <w:marRight w:val="0"/>
      <w:marTop w:val="0"/>
      <w:marBottom w:val="0"/>
      <w:divBdr>
        <w:top w:val="none" w:sz="0" w:space="0" w:color="auto"/>
        <w:left w:val="none" w:sz="0" w:space="0" w:color="auto"/>
        <w:bottom w:val="none" w:sz="0" w:space="0" w:color="auto"/>
        <w:right w:val="none" w:sz="0" w:space="0" w:color="auto"/>
      </w:divBdr>
    </w:div>
    <w:div w:id="212114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D08F3F0C-79BD-4314-9182-F7C1C6BE7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2480</Words>
  <Characters>14138</Characters>
  <Application>Microsoft Office Word</Application>
  <DocSecurity>0</DocSecurity>
  <Lines>117</Lines>
  <Paragraphs>33</Paragraphs>
  <ScaleCrop>false</ScaleCrop>
  <Company/>
  <LinksUpToDate>false</LinksUpToDate>
  <CharactersWithSpaces>16585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9</cp:revision>
  <dcterms:created xsi:type="dcterms:W3CDTF">2019-01-27T09:56:00Z</dcterms:created>
  <dcterms:modified xsi:type="dcterms:W3CDTF">2019-02-11T02:45:00Z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4d9c74e8-af30-32eb-abc8-e767cc90368a</vt:lpwstr>
  </property>
  <property fmtid="{D5CDD505-2E9C-101B-9397-08002B2CF9AE}" pid="24" name="Mendeley Citation Style_1">
    <vt:lpwstr>http://www.zotero.org/styles/american-medical-association</vt:lpwstr>
  </property>
</Properties>
</file>