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525" w:rsidRDefault="00435525" w:rsidP="00435525">
      <w:bookmarkStart w:id="0" w:name="_GoBack"/>
      <w:bookmarkEnd w:id="0"/>
      <w:r>
        <w:rPr>
          <w:rFonts w:hint="eastAsia"/>
        </w:rPr>
        <w:t xml:space="preserve">* Risk factors or </w:t>
      </w:r>
      <w:r>
        <w:t>causes of frailty among CKD patients.</w:t>
      </w:r>
    </w:p>
    <w:tbl>
      <w:tblPr>
        <w:tblStyle w:val="a3"/>
        <w:tblW w:w="0" w:type="auto"/>
        <w:tblLook w:val="04A0" w:firstRow="1" w:lastRow="0" w:firstColumn="1" w:lastColumn="0" w:noHBand="0" w:noVBand="1"/>
      </w:tblPr>
      <w:tblGrid>
        <w:gridCol w:w="333"/>
        <w:gridCol w:w="2052"/>
        <w:gridCol w:w="244"/>
        <w:gridCol w:w="236"/>
        <w:gridCol w:w="3299"/>
        <w:gridCol w:w="1803"/>
        <w:gridCol w:w="1468"/>
        <w:gridCol w:w="1207"/>
        <w:gridCol w:w="2033"/>
        <w:gridCol w:w="1273"/>
      </w:tblGrid>
      <w:tr w:rsidR="00DA5F6A" w:rsidTr="008E6B2D">
        <w:tc>
          <w:tcPr>
            <w:tcW w:w="2385" w:type="dxa"/>
            <w:gridSpan w:val="2"/>
          </w:tcPr>
          <w:p w:rsidR="00DF7657" w:rsidRDefault="00DF7657" w:rsidP="008E6B2D"/>
        </w:tc>
        <w:tc>
          <w:tcPr>
            <w:tcW w:w="3779" w:type="dxa"/>
            <w:gridSpan w:val="3"/>
          </w:tcPr>
          <w:p w:rsidR="00DF7657" w:rsidRDefault="00DF7657" w:rsidP="008E6B2D">
            <w:r>
              <w:rPr>
                <w:rFonts w:hint="eastAsia"/>
              </w:rPr>
              <w:t>Effect (</w:t>
            </w:r>
            <w:r>
              <w:t>descriptions</w:t>
            </w:r>
            <w:r>
              <w:rPr>
                <w:rFonts w:hint="eastAsia"/>
              </w:rPr>
              <w:t>)</w:t>
            </w:r>
          </w:p>
        </w:tc>
        <w:tc>
          <w:tcPr>
            <w:tcW w:w="1803" w:type="dxa"/>
          </w:tcPr>
          <w:p w:rsidR="00DF7657" w:rsidRDefault="00DF7657" w:rsidP="005A4E26">
            <w:r>
              <w:rPr>
                <w:rFonts w:hint="eastAsia"/>
              </w:rPr>
              <w:t>Risk Difference</w:t>
            </w:r>
          </w:p>
        </w:tc>
        <w:tc>
          <w:tcPr>
            <w:tcW w:w="1468" w:type="dxa"/>
          </w:tcPr>
          <w:p w:rsidR="00DF7657" w:rsidRPr="006E22D5" w:rsidRDefault="00DF7657" w:rsidP="008E6B2D">
            <w:r>
              <w:t>Frailty Assessment</w:t>
            </w:r>
          </w:p>
        </w:tc>
        <w:tc>
          <w:tcPr>
            <w:tcW w:w="1207" w:type="dxa"/>
          </w:tcPr>
          <w:p w:rsidR="00DF7657" w:rsidRDefault="00DF7657" w:rsidP="008E6B2D">
            <w:r>
              <w:rPr>
                <w:rFonts w:hint="eastAsia"/>
              </w:rPr>
              <w:t>Sample Size</w:t>
            </w:r>
          </w:p>
        </w:tc>
        <w:tc>
          <w:tcPr>
            <w:tcW w:w="2033" w:type="dxa"/>
          </w:tcPr>
          <w:p w:rsidR="00DF7657" w:rsidRDefault="00DF7657" w:rsidP="008E6B2D">
            <w:r>
              <w:rPr>
                <w:rFonts w:hint="eastAsia"/>
              </w:rPr>
              <w:t xml:space="preserve">CKD </w:t>
            </w:r>
            <w:r w:rsidR="00083D58">
              <w:t>Severity</w:t>
            </w:r>
          </w:p>
        </w:tc>
        <w:tc>
          <w:tcPr>
            <w:tcW w:w="1273" w:type="dxa"/>
          </w:tcPr>
          <w:p w:rsidR="00DF7657" w:rsidRDefault="00DF7657" w:rsidP="008E6B2D">
            <w:r>
              <w:rPr>
                <w:rFonts w:hint="eastAsia"/>
              </w:rPr>
              <w:t>Reference</w:t>
            </w:r>
          </w:p>
        </w:tc>
      </w:tr>
      <w:tr w:rsidR="00DA5F6A" w:rsidTr="008E6B2D">
        <w:tc>
          <w:tcPr>
            <w:tcW w:w="2385" w:type="dxa"/>
            <w:gridSpan w:val="2"/>
          </w:tcPr>
          <w:p w:rsidR="00DF7657" w:rsidRDefault="00DF7657" w:rsidP="008E6B2D">
            <w:r>
              <w:rPr>
                <w:rFonts w:hint="eastAsia"/>
              </w:rPr>
              <w:t>Biological</w:t>
            </w:r>
          </w:p>
        </w:tc>
        <w:tc>
          <w:tcPr>
            <w:tcW w:w="3779" w:type="dxa"/>
            <w:gridSpan w:val="3"/>
          </w:tcPr>
          <w:p w:rsidR="00DF7657" w:rsidRDefault="00DF7657" w:rsidP="008E6B2D"/>
        </w:tc>
        <w:tc>
          <w:tcPr>
            <w:tcW w:w="1803" w:type="dxa"/>
          </w:tcPr>
          <w:p w:rsidR="00DF7657" w:rsidRDefault="00DF7657" w:rsidP="008E6B2D"/>
        </w:tc>
        <w:tc>
          <w:tcPr>
            <w:tcW w:w="1468" w:type="dxa"/>
          </w:tcPr>
          <w:p w:rsidR="00DF7657" w:rsidRDefault="00DF7657" w:rsidP="008E6B2D"/>
        </w:tc>
        <w:tc>
          <w:tcPr>
            <w:tcW w:w="1207" w:type="dxa"/>
          </w:tcPr>
          <w:p w:rsidR="00DF7657" w:rsidRDefault="00DF7657" w:rsidP="008E6B2D"/>
        </w:tc>
        <w:tc>
          <w:tcPr>
            <w:tcW w:w="2033" w:type="dxa"/>
          </w:tcPr>
          <w:p w:rsidR="00DF7657" w:rsidRDefault="00DF7657" w:rsidP="008E6B2D"/>
        </w:tc>
        <w:tc>
          <w:tcPr>
            <w:tcW w:w="1273" w:type="dxa"/>
          </w:tcPr>
          <w:p w:rsidR="00DF7657" w:rsidRDefault="00DF7657" w:rsidP="008E6B2D"/>
        </w:tc>
      </w:tr>
      <w:tr w:rsidR="006F0209" w:rsidTr="008E6B2D">
        <w:trPr>
          <w:trHeight w:val="164"/>
        </w:trPr>
        <w:tc>
          <w:tcPr>
            <w:tcW w:w="333" w:type="dxa"/>
            <w:vMerge w:val="restart"/>
          </w:tcPr>
          <w:p w:rsidR="006F0209" w:rsidRDefault="006F0209" w:rsidP="006F0209"/>
        </w:tc>
        <w:tc>
          <w:tcPr>
            <w:tcW w:w="2052" w:type="dxa"/>
            <w:vMerge w:val="restart"/>
          </w:tcPr>
          <w:p w:rsidR="006F0209" w:rsidRDefault="006F0209" w:rsidP="006F0209">
            <w:r>
              <w:rPr>
                <w:rFonts w:hint="eastAsia"/>
              </w:rPr>
              <w:t>Cardiovascular</w:t>
            </w:r>
          </w:p>
        </w:tc>
        <w:tc>
          <w:tcPr>
            <w:tcW w:w="3779" w:type="dxa"/>
            <w:gridSpan w:val="3"/>
          </w:tcPr>
          <w:p w:rsidR="006F0209" w:rsidRPr="00AB114E" w:rsidRDefault="006F0209" w:rsidP="006F0209">
            <w:r w:rsidRPr="00AB114E">
              <w:rPr>
                <w:rFonts w:hint="eastAsia"/>
              </w:rPr>
              <w:t>Cerebrovascular Accident</w:t>
            </w:r>
          </w:p>
        </w:tc>
        <w:tc>
          <w:tcPr>
            <w:tcW w:w="1803" w:type="dxa"/>
          </w:tcPr>
          <w:p w:rsidR="006F0209" w:rsidRPr="00AB114E" w:rsidRDefault="006F0209" w:rsidP="006F0209">
            <w:r w:rsidRPr="00AB114E">
              <w:rPr>
                <w:rFonts w:hint="eastAsia"/>
              </w:rPr>
              <w:t>OR 1.55</w:t>
            </w:r>
            <w:r>
              <w:t xml:space="preserve"> (1.05-2.99)</w:t>
            </w:r>
          </w:p>
        </w:tc>
        <w:tc>
          <w:tcPr>
            <w:tcW w:w="1468" w:type="dxa"/>
          </w:tcPr>
          <w:p w:rsidR="006F0209" w:rsidRPr="00AB114E" w:rsidRDefault="006F0209" w:rsidP="006F0209">
            <w:r>
              <w:rPr>
                <w:rFonts w:hint="eastAsia"/>
              </w:rPr>
              <w:t>Fried Phenotypes</w:t>
            </w:r>
          </w:p>
        </w:tc>
        <w:tc>
          <w:tcPr>
            <w:tcW w:w="1207" w:type="dxa"/>
          </w:tcPr>
          <w:p w:rsidR="006F0209" w:rsidRPr="00AB114E" w:rsidRDefault="006F0209" w:rsidP="006F0209">
            <w:r>
              <w:rPr>
                <w:rFonts w:hint="eastAsia"/>
              </w:rPr>
              <w:t>2275</w:t>
            </w:r>
          </w:p>
        </w:tc>
        <w:tc>
          <w:tcPr>
            <w:tcW w:w="2033" w:type="dxa"/>
          </w:tcPr>
          <w:p w:rsidR="006F0209" w:rsidRDefault="006F0209" w:rsidP="006F0209">
            <w:r>
              <w:t>CKD stage 5D (hemodialysis)</w:t>
            </w:r>
          </w:p>
        </w:tc>
        <w:tc>
          <w:tcPr>
            <w:tcW w:w="1273" w:type="dxa"/>
          </w:tcPr>
          <w:p w:rsidR="006F0209" w:rsidRPr="00AB114E" w:rsidRDefault="006F0209" w:rsidP="006F0209">
            <w:r>
              <w:fldChar w:fldCharType="begin" w:fldLock="1"/>
            </w:r>
            <w:r>
              <w:instrText>ADDIN CSL_CITATION {"citationItems":[{"id":"ITEM-1","itemData":{"DOI":"10.1681/ASN.2007020221","ISSN":"1533-3450","PMID":"17942958","abstract":"The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 : JASN","id":"ITEM-1","issue":"11","issued":{"date-parts":[["2007","11","1"]]},"page":"2960-7","publisher":"American Society of Nephrology","title":"Significance of frailty among dialysis patients.","type":"article-journal","volume":"18"},"uris":["http://www.mendeley.com/documents/?uuid=b0dc38c8-cd62-36a0-938a-e21de4ee066f"]}],"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6F0209" w:rsidTr="008E6B2D">
        <w:trPr>
          <w:trHeight w:val="164"/>
        </w:trPr>
        <w:tc>
          <w:tcPr>
            <w:tcW w:w="333" w:type="dxa"/>
            <w:vMerge/>
          </w:tcPr>
          <w:p w:rsidR="006F0209" w:rsidRDefault="006F0209" w:rsidP="006F0209"/>
        </w:tc>
        <w:tc>
          <w:tcPr>
            <w:tcW w:w="2052" w:type="dxa"/>
            <w:vMerge/>
          </w:tcPr>
          <w:p w:rsidR="006F0209" w:rsidRDefault="006F0209" w:rsidP="006F0209"/>
        </w:tc>
        <w:tc>
          <w:tcPr>
            <w:tcW w:w="3779" w:type="dxa"/>
            <w:gridSpan w:val="3"/>
          </w:tcPr>
          <w:p w:rsidR="006F0209" w:rsidRDefault="006F0209" w:rsidP="006F0209">
            <w:r>
              <w:rPr>
                <w:rFonts w:hint="eastAsia"/>
              </w:rPr>
              <w:t>Per</w:t>
            </w:r>
            <w:r>
              <w:t>manent Vascular Access (fistula or graft)</w:t>
            </w:r>
          </w:p>
        </w:tc>
        <w:tc>
          <w:tcPr>
            <w:tcW w:w="1803" w:type="dxa"/>
          </w:tcPr>
          <w:p w:rsidR="006F0209" w:rsidRDefault="006F0209" w:rsidP="006F0209">
            <w:r>
              <w:rPr>
                <w:rFonts w:hint="eastAsia"/>
              </w:rPr>
              <w:t>HR</w:t>
            </w:r>
            <w:r>
              <w:t xml:space="preserve"> 0.71 (0.51-0.98)</w:t>
            </w:r>
          </w:p>
        </w:tc>
        <w:tc>
          <w:tcPr>
            <w:tcW w:w="1468" w:type="dxa"/>
          </w:tcPr>
          <w:p w:rsidR="006F0209" w:rsidRDefault="006F0209" w:rsidP="006F0209">
            <w:r>
              <w:rPr>
                <w:rFonts w:hint="eastAsia"/>
              </w:rPr>
              <w:t>Fried Pheno</w:t>
            </w:r>
            <w:r>
              <w:t>types</w:t>
            </w:r>
          </w:p>
        </w:tc>
        <w:tc>
          <w:tcPr>
            <w:tcW w:w="1207" w:type="dxa"/>
          </w:tcPr>
          <w:p w:rsidR="006F0209" w:rsidRDefault="006F0209" w:rsidP="006F0209">
            <w:r>
              <w:rPr>
                <w:rFonts w:hint="eastAsia"/>
              </w:rPr>
              <w:t>2275</w:t>
            </w:r>
          </w:p>
        </w:tc>
        <w:tc>
          <w:tcPr>
            <w:tcW w:w="2033" w:type="dxa"/>
          </w:tcPr>
          <w:p w:rsidR="006F0209" w:rsidRDefault="006F0209" w:rsidP="006F0209">
            <w:r>
              <w:t>CKD stage 5D (hemodialysis)</w:t>
            </w:r>
          </w:p>
        </w:tc>
        <w:tc>
          <w:tcPr>
            <w:tcW w:w="1273" w:type="dxa"/>
          </w:tcPr>
          <w:p w:rsidR="006F0209" w:rsidRDefault="006F0209" w:rsidP="006F0209">
            <w:r>
              <w:fldChar w:fldCharType="begin" w:fldLock="1"/>
            </w:r>
            <w:r>
              <w:instrText>ADDIN CSL_CITATION {"citationItems":[{"id":"ITEM-1","itemData":{"DOI":"10.1681/ASN.2007020221","ISSN":"1533-3450","PMID":"17942958","abstract":"The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 : JASN","id":"ITEM-1","issue":"11","issued":{"date-parts":[["2007","11","1"]]},"page":"2960-7","publisher":"American Society of Nephrology","title":"Significance of frailty among dialysis patients.","type":"article-journal","volume":"18"},"uris":["http://www.mendeley.com/documents/?uuid=b0dc38c8-cd62-36a0-938a-e21de4ee066f"]}],"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6F0209" w:rsidTr="008E6B2D">
        <w:tc>
          <w:tcPr>
            <w:tcW w:w="333" w:type="dxa"/>
          </w:tcPr>
          <w:p w:rsidR="006F0209" w:rsidRDefault="006F0209" w:rsidP="006F0209"/>
        </w:tc>
        <w:tc>
          <w:tcPr>
            <w:tcW w:w="2052" w:type="dxa"/>
          </w:tcPr>
          <w:p w:rsidR="006F0209" w:rsidRDefault="006F0209" w:rsidP="006F0209">
            <w:r>
              <w:t>Renal Function Decline</w:t>
            </w:r>
          </w:p>
        </w:tc>
        <w:tc>
          <w:tcPr>
            <w:tcW w:w="3779" w:type="dxa"/>
            <w:gridSpan w:val="3"/>
          </w:tcPr>
          <w:p w:rsidR="006F0209" w:rsidRDefault="006F0209" w:rsidP="006F0209">
            <w:r>
              <w:t xml:space="preserve">Risk for death or </w:t>
            </w:r>
            <w:r>
              <w:rPr>
                <w:rFonts w:hint="eastAsia"/>
              </w:rPr>
              <w:t xml:space="preserve">dialysis </w:t>
            </w:r>
            <w:r>
              <w:t>therapy</w:t>
            </w:r>
          </w:p>
        </w:tc>
        <w:tc>
          <w:tcPr>
            <w:tcW w:w="1803" w:type="dxa"/>
          </w:tcPr>
          <w:p w:rsidR="006F0209" w:rsidRDefault="006F0209" w:rsidP="006F0209">
            <w:r>
              <w:rPr>
                <w:rFonts w:hint="eastAsia"/>
              </w:rPr>
              <w:t>2.5</w:t>
            </w:r>
            <w:r>
              <w:t xml:space="preserve"> (1.4-4.4)-fold greater </w:t>
            </w:r>
          </w:p>
        </w:tc>
        <w:tc>
          <w:tcPr>
            <w:tcW w:w="1468" w:type="dxa"/>
          </w:tcPr>
          <w:p w:rsidR="006F0209" w:rsidRDefault="006F0209" w:rsidP="006F0209">
            <w:r>
              <w:rPr>
                <w:rFonts w:hint="eastAsia"/>
              </w:rPr>
              <w:t>Fried Phenotypes</w:t>
            </w:r>
          </w:p>
        </w:tc>
        <w:tc>
          <w:tcPr>
            <w:tcW w:w="1207" w:type="dxa"/>
          </w:tcPr>
          <w:p w:rsidR="006F0209" w:rsidRDefault="006F0209" w:rsidP="006F0209">
            <w:r>
              <w:rPr>
                <w:rFonts w:hint="eastAsia"/>
              </w:rPr>
              <w:t>336</w:t>
            </w:r>
          </w:p>
        </w:tc>
        <w:tc>
          <w:tcPr>
            <w:tcW w:w="2033" w:type="dxa"/>
          </w:tcPr>
          <w:p w:rsidR="006F0209" w:rsidRDefault="006F0209" w:rsidP="006F0209">
            <w:r>
              <w:t>CKD stages 1-4</w:t>
            </w:r>
          </w:p>
        </w:tc>
        <w:tc>
          <w:tcPr>
            <w:tcW w:w="1273" w:type="dxa"/>
          </w:tcPr>
          <w:p w:rsidR="006F0209" w:rsidRDefault="006F0209" w:rsidP="006F0209">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6F0209" w:rsidTr="008E6B2D">
        <w:tc>
          <w:tcPr>
            <w:tcW w:w="333" w:type="dxa"/>
          </w:tcPr>
          <w:p w:rsidR="006F0209" w:rsidRDefault="006F0209" w:rsidP="006F0209"/>
        </w:tc>
        <w:tc>
          <w:tcPr>
            <w:tcW w:w="2052" w:type="dxa"/>
          </w:tcPr>
          <w:p w:rsidR="006F0209" w:rsidRDefault="006F0209" w:rsidP="006F0209">
            <w:r>
              <w:rPr>
                <w:rFonts w:hint="eastAsia"/>
              </w:rPr>
              <w:t>Immu</w:t>
            </w:r>
            <w:r>
              <w:t>nological</w:t>
            </w:r>
          </w:p>
        </w:tc>
        <w:tc>
          <w:tcPr>
            <w:tcW w:w="3779" w:type="dxa"/>
            <w:gridSpan w:val="3"/>
          </w:tcPr>
          <w:p w:rsidR="006F0209" w:rsidRDefault="006F0209" w:rsidP="006F0209">
            <w:r w:rsidRPr="002F590A">
              <w:t>Mycophenolate mofetil (MMF) dose reduction (MDR)</w:t>
            </w:r>
          </w:p>
        </w:tc>
        <w:tc>
          <w:tcPr>
            <w:tcW w:w="1803" w:type="dxa"/>
          </w:tcPr>
          <w:p w:rsidR="006F0209" w:rsidRDefault="006F0209" w:rsidP="006F0209">
            <w:r>
              <w:rPr>
                <w:rFonts w:hint="eastAsia"/>
              </w:rPr>
              <w:t>HR</w:t>
            </w:r>
            <w:r>
              <w:t xml:space="preserve"> 1.29 (1.01-1.66)</w:t>
            </w:r>
          </w:p>
        </w:tc>
        <w:tc>
          <w:tcPr>
            <w:tcW w:w="1468" w:type="dxa"/>
          </w:tcPr>
          <w:p w:rsidR="006F0209" w:rsidRDefault="006F0209" w:rsidP="006F0209">
            <w:r>
              <w:rPr>
                <w:rFonts w:hint="eastAsia"/>
              </w:rPr>
              <w:t>Fried Phenotypes</w:t>
            </w:r>
          </w:p>
        </w:tc>
        <w:tc>
          <w:tcPr>
            <w:tcW w:w="1207" w:type="dxa"/>
          </w:tcPr>
          <w:p w:rsidR="006F0209" w:rsidRDefault="006F0209" w:rsidP="006F0209">
            <w:r>
              <w:rPr>
                <w:rFonts w:hint="eastAsia"/>
              </w:rPr>
              <w:t>525</w:t>
            </w:r>
          </w:p>
        </w:tc>
        <w:tc>
          <w:tcPr>
            <w:tcW w:w="2033" w:type="dxa"/>
          </w:tcPr>
          <w:p w:rsidR="006F0209" w:rsidRDefault="006F0209" w:rsidP="006F0209">
            <w:r>
              <w:t>CKD stage 5T</w:t>
            </w:r>
          </w:p>
        </w:tc>
        <w:tc>
          <w:tcPr>
            <w:tcW w:w="1273" w:type="dxa"/>
          </w:tcPr>
          <w:p w:rsidR="006F0209" w:rsidRDefault="006F0209" w:rsidP="006F0209">
            <w:r>
              <w:fldChar w:fldCharType="begin" w:fldLock="1"/>
            </w:r>
            <w:r>
              <w:instrText>ADDIN CSL_CITATION {"citationItems":[{"id":"ITEM-1","itemData":{"DOI":"10.1097/TP.0000000000000444","ISBN":"0041-1337","ISSN":"00411337","PMID":"25393156","abstract":"Background: Mycophenolate mofetil (MMF) side effects often prompt dose reduction or discontinuation, and this MMF dose reduction (MDR) can lead to rejection and possibly graft loss. Unfortunately, little is known about what factors might cause or contribute to MDR. Frailty, a measure of physiologic reserve, is emerging as an important, novel domain of risk in kidney transplantation (KT) recipients. We hypothesized that frailty, an inflammatory phenotype, might be associated with MDR. Methods: We measured frailty (shrinking, weakness, exhaustion, low activity, and slowed walking speed), other patient and donor characteristics, longitudinal MMF doses, and graft loss in 525 KT recipients. Time-to-MDR was quantified using an adjusted Cox proportional hazards model. Results: By 2 years post-transplant, 54% of frail recipients and 45% of non-frail recipients experienced MDR; by 4 years, incidence was 67% and 51%. Frail recipients were 1.29-times (95%CI:1.01-1.66; P=0.04) more likely to experience MDR, as were deceased donor recipients (aHR=1.92, 95%CI:1.44-2.54, P&lt;0.001) and older adults (age≥65 vs. &lt;65; aHR=1.47, 95%CI: 1.10-1.96, P=0.01). MDR was independently associated with a substantially increased risk of death-censored graft loss (aHR=5.24, 95%CI:1.97-13.98, P=0.001). Conclusion: A better understanding of risk factors for MMF intolerance might help in planning alternate strategies to maintain adequate immunosuppression and prolong allograft survival.","author":[{"dropping-particle":"","family":"McAdams-Demarco","given":"Mara A.","non-dropping-particle":"","parse-names":false,"suffix":""},{"dropping-particle":"","family":"Law","given":"Andrew","non-dropping-particle":"","parse-names":false,"suffix":""},{"dropping-particle":"","family":"Tan","given":"Jingwen","non-dropping-particle":"","parse-names":false,"suffix":""},{"dropping-particle":"","family":"Delp","given":"Cassandra","non-dropping-particle":"","parse-names":false,"suffix":""},{"dropping-particle":"","family":"King","given":"Elizabeth A.","non-dropping-particle":"","parse-names":false,"suffix":""},{"dropping-particle":"","family":"Orandi","given":"Babak","non-dropping-particle":"","parse-names":false,"suffix":""},{"dropping-particle":"","family":"Salter","given":"Megan","non-dropping-particle":"","parse-names":false,"suffix":""},{"dropping-particle":"","family":"Alachkar","given":"Nada","non-dropping-particle":"","parse-names":false,"suffix":""},{"dropping-particle":"","family":"Desai","given":"Niraj","non-dropping-particle":"","parse-names":false,"suffix":""},{"dropping-particle":"","family":"Grams","given":"Morgan","non-dropping-particle":"","parse-names":false,"suffix":""},{"dropping-particle":"","family":"Walston","given":"Jeremy","non-dropping-particle":"","parse-names":false,"suffix":""},{"dropping-particle":"","family":"Segev","given":"Dorry L.","non-dropping-particle":"","parse-names":false,"suffix":""}],"container-title":"Transplantation","id":"ITEM-1","issue":"4","issued":{"date-parts":[["2015"]]},"page":"805-810","title":"Frailty, mycophenolate reduction, and graft loss in kidney transplant recipients","type":"article-journal","volume":"99"},"uris":["http://www.mendeley.com/documents/?uuid=5e2837b4-4bc9-3b59-9186-13b45f74a8a5"]}],"mendeley":{"formattedCitation":"&lt;sup&gt;9&lt;/sup&gt;","plainTextFormattedCitation":"9","previouslyFormattedCitation":"&lt;sup&gt;10&lt;/sup&gt;"},"properties":{"noteIndex":0},"schema":"https://github.com/citation-style-language/schema/raw/master/csl-citation.json"}</w:instrText>
            </w:r>
            <w:r>
              <w:fldChar w:fldCharType="separate"/>
            </w:r>
            <w:r w:rsidRPr="00596FF4">
              <w:rPr>
                <w:noProof/>
                <w:vertAlign w:val="superscript"/>
              </w:rPr>
              <w:t>9</w:t>
            </w:r>
            <w:r>
              <w:fldChar w:fldCharType="end"/>
            </w:r>
          </w:p>
        </w:tc>
      </w:tr>
      <w:tr w:rsidR="006F0209" w:rsidTr="008E6B2D">
        <w:tc>
          <w:tcPr>
            <w:tcW w:w="333" w:type="dxa"/>
          </w:tcPr>
          <w:p w:rsidR="006F0209" w:rsidRDefault="006F0209" w:rsidP="006F0209"/>
        </w:tc>
        <w:tc>
          <w:tcPr>
            <w:tcW w:w="2052" w:type="dxa"/>
          </w:tcPr>
          <w:p w:rsidR="006F0209" w:rsidRDefault="006F0209" w:rsidP="006F0209">
            <w:r>
              <w:rPr>
                <w:rFonts w:hint="eastAsia"/>
              </w:rPr>
              <w:t>Cognitive</w:t>
            </w:r>
          </w:p>
        </w:tc>
        <w:tc>
          <w:tcPr>
            <w:tcW w:w="3779" w:type="dxa"/>
            <w:gridSpan w:val="3"/>
          </w:tcPr>
          <w:p w:rsidR="006F0209" w:rsidRDefault="006F0209" w:rsidP="006F0209">
            <w:r>
              <w:t xml:space="preserve">Modified </w:t>
            </w:r>
            <w:r>
              <w:rPr>
                <w:rFonts w:hint="eastAsia"/>
              </w:rPr>
              <w:t>Mini-Mental State (</w:t>
            </w:r>
            <w:r>
              <w:t>3MS</w:t>
            </w:r>
            <w:r>
              <w:rPr>
                <w:rFonts w:hint="eastAsia"/>
              </w:rPr>
              <w:t>)</w:t>
            </w:r>
          </w:p>
        </w:tc>
        <w:tc>
          <w:tcPr>
            <w:tcW w:w="1803" w:type="dxa"/>
          </w:tcPr>
          <w:p w:rsidR="006F0209" w:rsidRDefault="006F0209" w:rsidP="006F0209">
            <w:r>
              <w:t>-2.37 to -2.80 (1 year)</w:t>
            </w:r>
          </w:p>
        </w:tc>
        <w:tc>
          <w:tcPr>
            <w:tcW w:w="1468" w:type="dxa"/>
          </w:tcPr>
          <w:p w:rsidR="006F0209" w:rsidRDefault="006F0209" w:rsidP="006F0209">
            <w:r>
              <w:rPr>
                <w:rFonts w:hint="eastAsia"/>
              </w:rPr>
              <w:t>Fried Phenotypes</w:t>
            </w:r>
          </w:p>
        </w:tc>
        <w:tc>
          <w:tcPr>
            <w:tcW w:w="1207" w:type="dxa"/>
          </w:tcPr>
          <w:p w:rsidR="006F0209" w:rsidRDefault="006F0209" w:rsidP="006F0209">
            <w:r>
              <w:rPr>
                <w:rFonts w:hint="eastAsia"/>
              </w:rPr>
              <w:t>324</w:t>
            </w:r>
          </w:p>
        </w:tc>
        <w:tc>
          <w:tcPr>
            <w:tcW w:w="2033" w:type="dxa"/>
          </w:tcPr>
          <w:p w:rsidR="006F0209" w:rsidRDefault="006F0209" w:rsidP="006F0209">
            <w:r>
              <w:rPr>
                <w:rFonts w:hint="eastAsia"/>
              </w:rPr>
              <w:t>ESRD</w:t>
            </w:r>
          </w:p>
        </w:tc>
        <w:tc>
          <w:tcPr>
            <w:tcW w:w="1273" w:type="dxa"/>
          </w:tcPr>
          <w:p w:rsidR="006F0209" w:rsidRDefault="006F0209" w:rsidP="006F0209">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6F0209" w:rsidTr="008E6B2D">
        <w:trPr>
          <w:trHeight w:val="693"/>
        </w:trPr>
        <w:tc>
          <w:tcPr>
            <w:tcW w:w="333" w:type="dxa"/>
          </w:tcPr>
          <w:p w:rsidR="006F0209" w:rsidRDefault="006F0209" w:rsidP="006F0209"/>
        </w:tc>
        <w:tc>
          <w:tcPr>
            <w:tcW w:w="2052" w:type="dxa"/>
          </w:tcPr>
          <w:p w:rsidR="006F0209" w:rsidRDefault="006F0209" w:rsidP="006F0209">
            <w:r>
              <w:rPr>
                <w:rFonts w:hint="eastAsia"/>
              </w:rPr>
              <w:t>Diabetes</w:t>
            </w:r>
          </w:p>
        </w:tc>
        <w:tc>
          <w:tcPr>
            <w:tcW w:w="3779" w:type="dxa"/>
            <w:gridSpan w:val="3"/>
          </w:tcPr>
          <w:p w:rsidR="006F0209" w:rsidRDefault="006F0209" w:rsidP="006F0209">
            <w:r>
              <w:t>Diabetes</w:t>
            </w:r>
          </w:p>
        </w:tc>
        <w:tc>
          <w:tcPr>
            <w:tcW w:w="1803" w:type="dxa"/>
          </w:tcPr>
          <w:p w:rsidR="006F0209" w:rsidRDefault="006F0209" w:rsidP="006F0209">
            <w:r>
              <w:rPr>
                <w:rFonts w:hint="eastAsia"/>
              </w:rPr>
              <w:t>OR 1.35</w:t>
            </w:r>
            <w:r>
              <w:t xml:space="preserve"> (1.10-1.65)</w:t>
            </w:r>
          </w:p>
        </w:tc>
        <w:tc>
          <w:tcPr>
            <w:tcW w:w="1468" w:type="dxa"/>
          </w:tcPr>
          <w:p w:rsidR="006F0209" w:rsidRDefault="006F0209" w:rsidP="006F0209">
            <w:r>
              <w:rPr>
                <w:rFonts w:hint="eastAsia"/>
              </w:rPr>
              <w:t>Fried Phenotypes</w:t>
            </w:r>
          </w:p>
        </w:tc>
        <w:tc>
          <w:tcPr>
            <w:tcW w:w="1207" w:type="dxa"/>
          </w:tcPr>
          <w:p w:rsidR="006F0209" w:rsidRDefault="006F0209" w:rsidP="006F0209">
            <w:r>
              <w:rPr>
                <w:rFonts w:hint="eastAsia"/>
              </w:rPr>
              <w:t>2275</w:t>
            </w:r>
          </w:p>
        </w:tc>
        <w:tc>
          <w:tcPr>
            <w:tcW w:w="2033" w:type="dxa"/>
          </w:tcPr>
          <w:p w:rsidR="006F0209" w:rsidRDefault="006F0209" w:rsidP="006F0209">
            <w:r>
              <w:t>CKD stage 5D</w:t>
            </w:r>
          </w:p>
        </w:tc>
        <w:tc>
          <w:tcPr>
            <w:tcW w:w="1273" w:type="dxa"/>
          </w:tcPr>
          <w:p w:rsidR="006F0209" w:rsidRDefault="006F0209" w:rsidP="006F0209">
            <w:r>
              <w:fldChar w:fldCharType="begin" w:fldLock="1"/>
            </w:r>
            <w:r>
              <w:instrText>ADDIN CSL_CITATION {"citationItems":[{"id":"ITEM-1","itemData":{"DOI":"10.1681/ASN.2007020221","ISSN":"1533-3450","PMID":"17942958","abstract":"The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 : JASN","id":"ITEM-1","issue":"11","issued":{"date-parts":[["2007","11","1"]]},"page":"2960-7","publisher":"American Society of Nephrology","title":"Significance of frailty among dialysis patients.","type":"article-journal","volume":"18"},"uris":["http://www.mendeley.com/documents/?uuid=b0dc38c8-cd62-36a0-938a-e21de4ee066f"]}],"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6F0209" w:rsidTr="008E6B2D">
        <w:trPr>
          <w:trHeight w:val="693"/>
        </w:trPr>
        <w:tc>
          <w:tcPr>
            <w:tcW w:w="333" w:type="dxa"/>
            <w:vMerge w:val="restart"/>
          </w:tcPr>
          <w:p w:rsidR="006F0209" w:rsidRDefault="006F0209" w:rsidP="006F0209"/>
        </w:tc>
        <w:tc>
          <w:tcPr>
            <w:tcW w:w="2052" w:type="dxa"/>
            <w:vMerge w:val="restart"/>
          </w:tcPr>
          <w:p w:rsidR="006F0209" w:rsidRDefault="006F0209" w:rsidP="006F0209">
            <w:r>
              <w:rPr>
                <w:rFonts w:hint="eastAsia"/>
              </w:rPr>
              <w:t>La</w:t>
            </w:r>
            <w:r>
              <w:t>boratory data</w:t>
            </w:r>
          </w:p>
        </w:tc>
        <w:tc>
          <w:tcPr>
            <w:tcW w:w="3779" w:type="dxa"/>
            <w:gridSpan w:val="3"/>
          </w:tcPr>
          <w:p w:rsidR="006F0209" w:rsidRDefault="006F0209" w:rsidP="006F0209">
            <w:r>
              <w:rPr>
                <w:rFonts w:hint="eastAsia"/>
                <w:lang w:eastAsia="ko-KR"/>
              </w:rPr>
              <w:t xml:space="preserve">Serum Albumin </w:t>
            </w:r>
            <w:r>
              <w:rPr>
                <w:lang w:eastAsia="ko-KR"/>
              </w:rPr>
              <w:t>Concentrations (g/dL)</w:t>
            </w:r>
          </w:p>
        </w:tc>
        <w:tc>
          <w:tcPr>
            <w:tcW w:w="1803" w:type="dxa"/>
          </w:tcPr>
          <w:p w:rsidR="006F0209" w:rsidRDefault="006F0209" w:rsidP="006F0209"/>
        </w:tc>
        <w:tc>
          <w:tcPr>
            <w:tcW w:w="1468" w:type="dxa"/>
            <w:vMerge w:val="restart"/>
          </w:tcPr>
          <w:p w:rsidR="006F0209" w:rsidRDefault="006F0209" w:rsidP="006F0209">
            <w:r>
              <w:rPr>
                <w:rFonts w:hint="eastAsia"/>
              </w:rPr>
              <w:t>Fried Phenotypes</w:t>
            </w:r>
          </w:p>
        </w:tc>
        <w:tc>
          <w:tcPr>
            <w:tcW w:w="1207" w:type="dxa"/>
            <w:vMerge w:val="restart"/>
          </w:tcPr>
          <w:p w:rsidR="006F0209" w:rsidRDefault="006F0209" w:rsidP="006F0209">
            <w:r>
              <w:rPr>
                <w:rFonts w:hint="eastAsia"/>
              </w:rPr>
              <w:t>2275</w:t>
            </w:r>
          </w:p>
        </w:tc>
        <w:tc>
          <w:tcPr>
            <w:tcW w:w="2033" w:type="dxa"/>
            <w:vMerge w:val="restart"/>
          </w:tcPr>
          <w:p w:rsidR="006F0209" w:rsidRDefault="006F0209" w:rsidP="006F0209">
            <w:r>
              <w:t>CKD stage 5D</w:t>
            </w:r>
          </w:p>
        </w:tc>
        <w:tc>
          <w:tcPr>
            <w:tcW w:w="1273" w:type="dxa"/>
            <w:vMerge w:val="restart"/>
          </w:tcPr>
          <w:p w:rsidR="006F0209" w:rsidRDefault="006F0209" w:rsidP="006F0209">
            <w:r>
              <w:fldChar w:fldCharType="begin" w:fldLock="1"/>
            </w:r>
            <w:r>
              <w:instrText>ADDIN CSL_CITATION {"citationItems":[{"id":"ITEM-1","itemData":{"DOI":"10.1681/ASN.2007020221","ISSN":"1533-3450","PMID":"17942958","abstract":"The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 : JASN","id":"ITEM-1","issue":"11","issued":{"date-parts":[["2007","11","1"]]},"page":"2960-7","publisher":"American Society of Nephrology","title":"Significance of frailty among dialysis patients.","type":"article-journal","volume":"18"},"uris":["http://www.mendeley.com/documents/?uuid=b0dc38c8-cd62-36a0-938a-e21de4ee066f"]}],"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6F0209" w:rsidTr="008E6B2D">
        <w:trPr>
          <w:trHeight w:val="401"/>
        </w:trPr>
        <w:tc>
          <w:tcPr>
            <w:tcW w:w="333" w:type="dxa"/>
            <w:vMerge/>
          </w:tcPr>
          <w:p w:rsidR="006F0209" w:rsidRDefault="006F0209" w:rsidP="006F0209"/>
        </w:tc>
        <w:tc>
          <w:tcPr>
            <w:tcW w:w="2052" w:type="dxa"/>
            <w:vMerge/>
          </w:tcPr>
          <w:p w:rsidR="006F0209" w:rsidRDefault="006F0209" w:rsidP="006F0209"/>
        </w:tc>
        <w:tc>
          <w:tcPr>
            <w:tcW w:w="244" w:type="dxa"/>
          </w:tcPr>
          <w:p w:rsidR="006F0209" w:rsidRDefault="006F0209" w:rsidP="006F0209"/>
        </w:tc>
        <w:tc>
          <w:tcPr>
            <w:tcW w:w="3535" w:type="dxa"/>
            <w:gridSpan w:val="2"/>
          </w:tcPr>
          <w:p w:rsidR="006F0209" w:rsidRPr="00A31EDE" w:rsidRDefault="006F0209" w:rsidP="006F0209">
            <w:pPr>
              <w:rPr>
                <w:rFonts w:eastAsia="DengXian"/>
                <w:lang w:val="de-DE" w:eastAsia="zh-CN"/>
              </w:rPr>
            </w:pPr>
            <w:r>
              <w:rPr>
                <w:rFonts w:hint="eastAsia"/>
              </w:rPr>
              <w:t>&lt;3.2</w:t>
            </w:r>
            <w:r>
              <w:t xml:space="preserve"> vs.</w:t>
            </w:r>
            <w:r w:rsidRPr="00A31EDE">
              <w:rPr>
                <w:rFonts w:cstheme="minorHAnsi"/>
              </w:rPr>
              <w:t xml:space="preserve"> </w:t>
            </w:r>
            <w:r w:rsidRPr="00A31EDE">
              <w:rPr>
                <w:rFonts w:eastAsia="DengXian" w:cstheme="minorHAnsi"/>
                <w:lang w:eastAsia="zh-CN"/>
              </w:rPr>
              <w:t>≥3.9</w:t>
            </w:r>
          </w:p>
        </w:tc>
        <w:tc>
          <w:tcPr>
            <w:tcW w:w="1803" w:type="dxa"/>
          </w:tcPr>
          <w:p w:rsidR="006F0209" w:rsidRDefault="006F0209" w:rsidP="006F0209">
            <w:r>
              <w:t xml:space="preserve">OR </w:t>
            </w:r>
            <w:r>
              <w:rPr>
                <w:rFonts w:hint="eastAsia"/>
              </w:rPr>
              <w:t>1.89</w:t>
            </w:r>
            <w:r>
              <w:t xml:space="preserve"> (1.30-2.59)</w:t>
            </w:r>
          </w:p>
        </w:tc>
        <w:tc>
          <w:tcPr>
            <w:tcW w:w="1468" w:type="dxa"/>
            <w:vMerge/>
          </w:tcPr>
          <w:p w:rsidR="006F0209" w:rsidRDefault="006F0209" w:rsidP="006F0209"/>
        </w:tc>
        <w:tc>
          <w:tcPr>
            <w:tcW w:w="1207" w:type="dxa"/>
            <w:vMerge/>
          </w:tcPr>
          <w:p w:rsidR="006F0209" w:rsidRDefault="006F0209" w:rsidP="006F0209"/>
        </w:tc>
        <w:tc>
          <w:tcPr>
            <w:tcW w:w="2033" w:type="dxa"/>
            <w:vMerge/>
          </w:tcPr>
          <w:p w:rsidR="006F0209" w:rsidRDefault="006F0209" w:rsidP="006F0209"/>
        </w:tc>
        <w:tc>
          <w:tcPr>
            <w:tcW w:w="1273" w:type="dxa"/>
            <w:vMerge/>
          </w:tcPr>
          <w:p w:rsidR="006F0209" w:rsidRDefault="006F0209" w:rsidP="006F0209"/>
        </w:tc>
      </w:tr>
      <w:tr w:rsidR="006F0209" w:rsidTr="008E6B2D">
        <w:tc>
          <w:tcPr>
            <w:tcW w:w="2385" w:type="dxa"/>
            <w:gridSpan w:val="2"/>
          </w:tcPr>
          <w:p w:rsidR="006F0209" w:rsidRDefault="006F0209" w:rsidP="006F0209">
            <w:r>
              <w:rPr>
                <w:rFonts w:hint="eastAsia"/>
              </w:rPr>
              <w:t>Psychological</w:t>
            </w:r>
          </w:p>
        </w:tc>
        <w:tc>
          <w:tcPr>
            <w:tcW w:w="3779" w:type="dxa"/>
            <w:gridSpan w:val="3"/>
          </w:tcPr>
          <w:p w:rsidR="006F0209" w:rsidRDefault="006F0209" w:rsidP="006F0209"/>
        </w:tc>
        <w:tc>
          <w:tcPr>
            <w:tcW w:w="1803" w:type="dxa"/>
          </w:tcPr>
          <w:p w:rsidR="006F0209" w:rsidRDefault="006F0209" w:rsidP="006F0209"/>
        </w:tc>
        <w:tc>
          <w:tcPr>
            <w:tcW w:w="1468" w:type="dxa"/>
          </w:tcPr>
          <w:p w:rsidR="006F0209" w:rsidRDefault="006F0209" w:rsidP="006F0209"/>
        </w:tc>
        <w:tc>
          <w:tcPr>
            <w:tcW w:w="1207" w:type="dxa"/>
          </w:tcPr>
          <w:p w:rsidR="006F0209" w:rsidRDefault="006F0209" w:rsidP="006F0209"/>
        </w:tc>
        <w:tc>
          <w:tcPr>
            <w:tcW w:w="2033" w:type="dxa"/>
          </w:tcPr>
          <w:p w:rsidR="006F0209" w:rsidRDefault="006F0209" w:rsidP="006F0209"/>
        </w:tc>
        <w:tc>
          <w:tcPr>
            <w:tcW w:w="1273" w:type="dxa"/>
          </w:tcPr>
          <w:p w:rsidR="006F0209" w:rsidRDefault="006F0209" w:rsidP="006F0209"/>
        </w:tc>
      </w:tr>
      <w:tr w:rsidR="006F0209" w:rsidTr="008E6B2D">
        <w:tc>
          <w:tcPr>
            <w:tcW w:w="333" w:type="dxa"/>
          </w:tcPr>
          <w:p w:rsidR="006F0209" w:rsidRDefault="006F0209" w:rsidP="006F0209"/>
        </w:tc>
        <w:tc>
          <w:tcPr>
            <w:tcW w:w="2052" w:type="dxa"/>
          </w:tcPr>
          <w:p w:rsidR="006F0209" w:rsidRDefault="006F0209" w:rsidP="006F0209">
            <w:r>
              <w:t>Delirium</w:t>
            </w:r>
          </w:p>
        </w:tc>
        <w:tc>
          <w:tcPr>
            <w:tcW w:w="3779" w:type="dxa"/>
            <w:gridSpan w:val="3"/>
          </w:tcPr>
          <w:p w:rsidR="006F0209" w:rsidRDefault="006F0209" w:rsidP="006F0209">
            <w:r>
              <w:rPr>
                <w:rFonts w:hint="eastAsia"/>
              </w:rPr>
              <w:t>Post-KT delirium</w:t>
            </w:r>
          </w:p>
        </w:tc>
        <w:tc>
          <w:tcPr>
            <w:tcW w:w="1803" w:type="dxa"/>
          </w:tcPr>
          <w:p w:rsidR="006F0209" w:rsidRDefault="006F0209" w:rsidP="006F0209">
            <w:r>
              <w:t>OR 2.05 (1.02-</w:t>
            </w:r>
            <w:r>
              <w:lastRenderedPageBreak/>
              <w:t>4.13)</w:t>
            </w:r>
          </w:p>
        </w:tc>
        <w:tc>
          <w:tcPr>
            <w:tcW w:w="1468" w:type="dxa"/>
          </w:tcPr>
          <w:p w:rsidR="006F0209" w:rsidRDefault="006F0209" w:rsidP="006F0209">
            <w:r>
              <w:rPr>
                <w:rFonts w:hint="eastAsia"/>
              </w:rPr>
              <w:lastRenderedPageBreak/>
              <w:t xml:space="preserve">Fried </w:t>
            </w:r>
            <w:r>
              <w:rPr>
                <w:rFonts w:hint="eastAsia"/>
              </w:rPr>
              <w:lastRenderedPageBreak/>
              <w:t>Phenotypes</w:t>
            </w:r>
          </w:p>
        </w:tc>
        <w:tc>
          <w:tcPr>
            <w:tcW w:w="1207" w:type="dxa"/>
          </w:tcPr>
          <w:p w:rsidR="006F0209" w:rsidRDefault="006F0209" w:rsidP="006F0209">
            <w:r>
              <w:rPr>
                <w:rFonts w:hint="eastAsia"/>
              </w:rPr>
              <w:lastRenderedPageBreak/>
              <w:t>893</w:t>
            </w:r>
          </w:p>
        </w:tc>
        <w:tc>
          <w:tcPr>
            <w:tcW w:w="2033" w:type="dxa"/>
          </w:tcPr>
          <w:p w:rsidR="006F0209" w:rsidRDefault="006F0209" w:rsidP="006F0209">
            <w:r>
              <w:t>CKD stage 5T</w:t>
            </w:r>
          </w:p>
        </w:tc>
        <w:tc>
          <w:tcPr>
            <w:tcW w:w="1273" w:type="dxa"/>
          </w:tcPr>
          <w:p w:rsidR="006F0209" w:rsidRDefault="006F0209" w:rsidP="006F0209">
            <w:r>
              <w:fldChar w:fldCharType="begin" w:fldLock="1"/>
            </w:r>
            <w:r>
              <w:instrText>ADDIN CSL_CITATION {"citationItems":[{"id":"ITEM-1","itemData":{"DOI":"10.1681/ASN.2018010064","ISSN":"1533-3450","PMID":"29685884","abstract":"Background Frail kidney transplant (KT) recipients may be particularly vulnerable to surgical stressors, resulting in delirium and subsequent adverse outcomes. We sought to identify the incidence, risk factors, and sequelae of post-KT delirium.Methods We studied 125,304 adult KT recipients (1999-2014) to estimate delirium incidence in national registry claims. Additionally, we used a validated chart abstraction algorithm to identify post-KT delirium in 893 adult recipients (2009-2017) from a cohort study of frailty. Delirium sequelae were identified using adjusted logistic regression (length of stay ≥2 weeks and institutional discharge [skilled nursing or rehabilitation facility]) and adjusted Cox regression (death-censored graft loss and mortality).Results Only 0.8% of KT recipients had a delirium claim. In the cohort study, delirium incidence increased with age (18-49 years old: 2.0%; 50-64 years old: 4.6%; 65-75 years old: 9.2%; and ≥75 years old: 13.8%) and frailty (9.0% versus 3.9%); 20.0% of frail recipients aged ≥75 years old experienced delirium. Frailty was independently associated with delirium (odds ratio [OR], 2.05; 95% confidence interval [95% CI], 1.02 to 4.13; P=0.04), but premorbid global cognitive function was not. Recipients with delirium had increased risks of ≥2-week length of stay (OR, 5.42; 95% CI, 2.76 to 10.66; P&lt;0.001), institutional discharge (OR, 22.41; 95% CI, 7.85 to 63.98; P&lt;0.001), graft loss (hazard ratio [HR], 2.73; 95% CI, 1.14 to 6.53; P=0.03), and mortality (HR, 3.12; 95% CI, 1.76 to 5.54; P&lt;0.001).Conclusions Post-KT delirium is a strong risk factor for subsequent adverse outcomes, yet it is a clinical entity that is often missed.","author":[{"dropping-particle":"","family":"Haugen","given":"Christine E","non-dropping-particle":"","parse-names":false,"suffix":""},{"dropping-particle":"","family":"Mountford","given":"Alexandra","non-dropping-particle":"","parse-names":false,"suffix":""},{"dropping-particle":"","family":"Warsame","given":"Fatima","non-dropping-particle":"","parse-names":false,"suffix":""},{"dropping-particle":"","family":"Berkowitz","given":"Rachel","non-dropping-particle":"","parse-names":false,"suffix":""},{"dropping-particle":"","family":"Bae","given":"Sunjae","non-dropping-particle":"","parse-names":false,"suffix":""},{"dropping-particle":"","family":"Thomas","given":"Alvin","non-dropping-particle":"","parse-names":false,"suffix":""},{"dropping-particle":"","family":"Brown","given":"Charles H","non-dropping-particle":"","parse-names":false,"suffix":""},{"dropping-particle":"","family":"Brennan","given":"Daniel C","non-dropping-particle":"","parse-names":false,"suffix":""},{"dropping-particle":"","family":"Neufeld","given":"Karin J","non-dropping-particle":"","parse-names":false,"suffix":""},{"dropping-particle":"","family":"Carlson","given":"Michelle C","non-dropping-particle":"","parse-names":false,"suffix":""},{"dropping-particle":"","family":"Segev","given":"Dorry L","non-dropping-particle":"","parse-names":false,"suffix":""},{"dropping-particle":"","family":"McAdams-DeMarco","given":"Mara","non-dropping-particle":"","parse-names":false,"suffix":""}],"container-title":"Journal of the American Society of Nephrology : JASN","id":"ITEM-1","issue":"6","issued":{"date-parts":[["2018","6","1"]]},"page":"1752-1759","publisher":"American Society of Nephrology","title":"Incidence, Risk Factors, and Sequelae of Post-kidney Transplant Delirium.","type":"article-journal","volume":"29"},"uris":["http://www.mendeley.com/documents/?uuid=749ae920-a167-3b38-a5c9-cac45e4c2d59"]}],"mendeley":{"formattedCitation":"&lt;sup&gt;15&lt;/sup&gt;","plainTextFormattedCitation":"15","previouslyFormattedCitation":"&lt;sup&gt;16&lt;/sup&gt;"},"properties":{"noteIndex":0},"schema":"https://github.com/citation-style-language/schema/raw/master/csl-citation.json"}</w:instrText>
            </w:r>
            <w:r>
              <w:fldChar w:fldCharType="separate"/>
            </w:r>
            <w:r w:rsidRPr="00596FF4">
              <w:rPr>
                <w:noProof/>
                <w:vertAlign w:val="superscript"/>
              </w:rPr>
              <w:t>15</w:t>
            </w:r>
            <w:r>
              <w:fldChar w:fldCharType="end"/>
            </w:r>
          </w:p>
        </w:tc>
      </w:tr>
      <w:tr w:rsidR="006F0209" w:rsidTr="00AE78B2">
        <w:trPr>
          <w:trHeight w:val="336"/>
        </w:trPr>
        <w:tc>
          <w:tcPr>
            <w:tcW w:w="2385" w:type="dxa"/>
            <w:gridSpan w:val="2"/>
            <w:vMerge w:val="restart"/>
          </w:tcPr>
          <w:p w:rsidR="006F0209" w:rsidRDefault="006F0209" w:rsidP="006F0209">
            <w:pPr>
              <w:rPr>
                <w:rFonts w:eastAsia="DengXian"/>
                <w:lang w:eastAsia="zh-CN"/>
              </w:rPr>
            </w:pPr>
            <w:r>
              <w:rPr>
                <w:rFonts w:eastAsia="DengXian" w:hint="eastAsia"/>
                <w:lang w:eastAsia="zh-CN"/>
              </w:rPr>
              <w:t>Q</w:t>
            </w:r>
            <w:r>
              <w:rPr>
                <w:rFonts w:eastAsia="DengXian"/>
                <w:lang w:eastAsia="zh-CN"/>
              </w:rPr>
              <w:t>uality of Life</w:t>
            </w:r>
          </w:p>
        </w:tc>
        <w:tc>
          <w:tcPr>
            <w:tcW w:w="3779" w:type="dxa"/>
            <w:gridSpan w:val="3"/>
          </w:tcPr>
          <w:p w:rsidR="006F0209" w:rsidRPr="00054770" w:rsidRDefault="006F0209" w:rsidP="006F0209">
            <w:r>
              <w:rPr>
                <w:rFonts w:hint="eastAsia"/>
              </w:rPr>
              <w:t>H</w:t>
            </w:r>
            <w:r>
              <w:t>RQoL</w:t>
            </w:r>
          </w:p>
        </w:tc>
        <w:tc>
          <w:tcPr>
            <w:tcW w:w="1803" w:type="dxa"/>
          </w:tcPr>
          <w:p w:rsidR="006F0209" w:rsidRDefault="006F0209" w:rsidP="006F0209"/>
        </w:tc>
        <w:tc>
          <w:tcPr>
            <w:tcW w:w="1468" w:type="dxa"/>
          </w:tcPr>
          <w:p w:rsidR="006F0209" w:rsidRDefault="006F0209" w:rsidP="006F0209"/>
        </w:tc>
        <w:tc>
          <w:tcPr>
            <w:tcW w:w="1207" w:type="dxa"/>
          </w:tcPr>
          <w:p w:rsidR="006F0209" w:rsidRDefault="006F0209" w:rsidP="006F0209"/>
        </w:tc>
        <w:tc>
          <w:tcPr>
            <w:tcW w:w="2033" w:type="dxa"/>
          </w:tcPr>
          <w:p w:rsidR="006F0209" w:rsidRDefault="006F0209" w:rsidP="006F0209"/>
        </w:tc>
        <w:tc>
          <w:tcPr>
            <w:tcW w:w="1273" w:type="dxa"/>
          </w:tcPr>
          <w:p w:rsidR="006F0209" w:rsidRDefault="006F0209" w:rsidP="006F0209"/>
        </w:tc>
      </w:tr>
      <w:tr w:rsidR="006F0209" w:rsidTr="003E3F14">
        <w:trPr>
          <w:trHeight w:val="336"/>
        </w:trPr>
        <w:tc>
          <w:tcPr>
            <w:tcW w:w="2385" w:type="dxa"/>
            <w:gridSpan w:val="2"/>
            <w:vMerge/>
          </w:tcPr>
          <w:p w:rsidR="006F0209" w:rsidRDefault="006F0209" w:rsidP="006F0209">
            <w:pPr>
              <w:rPr>
                <w:rFonts w:eastAsia="DengXian"/>
                <w:lang w:eastAsia="zh-CN"/>
              </w:rPr>
            </w:pPr>
          </w:p>
        </w:tc>
        <w:tc>
          <w:tcPr>
            <w:tcW w:w="244" w:type="dxa"/>
          </w:tcPr>
          <w:p w:rsidR="006F0209" w:rsidRDefault="006F0209" w:rsidP="006F0209"/>
        </w:tc>
        <w:tc>
          <w:tcPr>
            <w:tcW w:w="3535" w:type="dxa"/>
            <w:gridSpan w:val="2"/>
          </w:tcPr>
          <w:p w:rsidR="006F0209" w:rsidRPr="00054770" w:rsidRDefault="006F0209" w:rsidP="006F0209">
            <w:r>
              <w:rPr>
                <w:rFonts w:hint="eastAsia"/>
              </w:rPr>
              <w:t>SF-36</w:t>
            </w:r>
          </w:p>
        </w:tc>
        <w:tc>
          <w:tcPr>
            <w:tcW w:w="1803" w:type="dxa"/>
          </w:tcPr>
          <w:p w:rsidR="006F0209" w:rsidRDefault="006F0209" w:rsidP="006F0209"/>
        </w:tc>
        <w:tc>
          <w:tcPr>
            <w:tcW w:w="1468" w:type="dxa"/>
          </w:tcPr>
          <w:p w:rsidR="006F0209" w:rsidRDefault="006F0209" w:rsidP="006F0209"/>
        </w:tc>
        <w:tc>
          <w:tcPr>
            <w:tcW w:w="1207" w:type="dxa"/>
          </w:tcPr>
          <w:p w:rsidR="006F0209" w:rsidRDefault="006F0209" w:rsidP="006F0209"/>
        </w:tc>
        <w:tc>
          <w:tcPr>
            <w:tcW w:w="2033" w:type="dxa"/>
          </w:tcPr>
          <w:p w:rsidR="006F0209" w:rsidRDefault="006F0209" w:rsidP="006F0209"/>
        </w:tc>
        <w:tc>
          <w:tcPr>
            <w:tcW w:w="1273" w:type="dxa"/>
          </w:tcPr>
          <w:p w:rsidR="006F0209" w:rsidRDefault="006F0209" w:rsidP="006F0209"/>
        </w:tc>
      </w:tr>
      <w:tr w:rsidR="006F0209" w:rsidTr="00017BB3">
        <w:trPr>
          <w:trHeight w:val="336"/>
        </w:trPr>
        <w:tc>
          <w:tcPr>
            <w:tcW w:w="2385" w:type="dxa"/>
            <w:gridSpan w:val="2"/>
            <w:vMerge/>
          </w:tcPr>
          <w:p w:rsidR="006F0209" w:rsidRDefault="006F0209" w:rsidP="006F0209">
            <w:pPr>
              <w:rPr>
                <w:rFonts w:eastAsia="DengXian"/>
                <w:lang w:eastAsia="zh-CN"/>
              </w:rPr>
            </w:pPr>
          </w:p>
        </w:tc>
        <w:tc>
          <w:tcPr>
            <w:tcW w:w="244" w:type="dxa"/>
          </w:tcPr>
          <w:p w:rsidR="006F0209" w:rsidRDefault="006F0209" w:rsidP="006F0209"/>
        </w:tc>
        <w:tc>
          <w:tcPr>
            <w:tcW w:w="236" w:type="dxa"/>
          </w:tcPr>
          <w:p w:rsidR="006F0209" w:rsidRPr="00054770" w:rsidRDefault="006F0209" w:rsidP="006F0209"/>
        </w:tc>
        <w:tc>
          <w:tcPr>
            <w:tcW w:w="3299" w:type="dxa"/>
          </w:tcPr>
          <w:p w:rsidR="006F0209" w:rsidRDefault="006F0209" w:rsidP="006F0209">
            <w:r>
              <w:t>Hierarchical regression R^2 change (effects of frailty on HRQoL) in Physical Component Summary</w:t>
            </w:r>
            <w:r>
              <w:rPr>
                <w:rFonts w:hint="eastAsia"/>
              </w:rPr>
              <w:t xml:space="preserve"> (PCS</w:t>
            </w:r>
            <w:r>
              <w:t>)</w:t>
            </w:r>
          </w:p>
        </w:tc>
        <w:tc>
          <w:tcPr>
            <w:tcW w:w="1803" w:type="dxa"/>
          </w:tcPr>
          <w:p w:rsidR="006F0209" w:rsidRPr="00C32753" w:rsidRDefault="006F0209" w:rsidP="006F0209">
            <w:r>
              <w:rPr>
                <w:rFonts w:hint="eastAsia"/>
              </w:rPr>
              <w:t>29%</w:t>
            </w:r>
            <w:r>
              <w:t xml:space="preserve"> (p&lt;0.001)</w:t>
            </w:r>
          </w:p>
        </w:tc>
        <w:tc>
          <w:tcPr>
            <w:tcW w:w="1468" w:type="dxa"/>
            <w:vMerge w:val="restart"/>
          </w:tcPr>
          <w:p w:rsidR="006F0209" w:rsidRDefault="006F0209" w:rsidP="006F0209">
            <w:r>
              <w:rPr>
                <w:rFonts w:hint="eastAsia"/>
              </w:rPr>
              <w:t>Fried Phenotypes</w:t>
            </w:r>
          </w:p>
        </w:tc>
        <w:tc>
          <w:tcPr>
            <w:tcW w:w="1207" w:type="dxa"/>
            <w:vMerge w:val="restart"/>
          </w:tcPr>
          <w:p w:rsidR="006F0209" w:rsidRDefault="006F0209" w:rsidP="006F0209">
            <w:r>
              <w:rPr>
                <w:rFonts w:hint="eastAsia"/>
              </w:rPr>
              <w:t>168</w:t>
            </w:r>
          </w:p>
        </w:tc>
        <w:tc>
          <w:tcPr>
            <w:tcW w:w="2033" w:type="dxa"/>
            <w:vMerge w:val="restart"/>
          </w:tcPr>
          <w:p w:rsidR="006F0209" w:rsidRDefault="006F0209" w:rsidP="006F0209">
            <w:r>
              <w:t>CKD stage 2-4</w:t>
            </w:r>
          </w:p>
        </w:tc>
        <w:tc>
          <w:tcPr>
            <w:tcW w:w="1273" w:type="dxa"/>
            <w:vMerge w:val="restart"/>
          </w:tcPr>
          <w:p w:rsidR="006F0209" w:rsidRDefault="006F0209" w:rsidP="006F0209">
            <w:r>
              <w:fldChar w:fldCharType="begin" w:fldLock="1"/>
            </w:r>
            <w:r>
              <w:instrText>ADDIN CSL_CITATION {"citationItems":[{"id":"ITEM-1","itemData":{"DOI":"10.1186/s12955-015-0270-0","ISBN":"1477-7525 (Electronic) 1477-7525 (Linking)","PMID":"26021987","abstract":"BACKGROUND: Chronic kidney disease (CKD) is a progressive and lifelong condition with multiple medical comorbidities. Patients with CKD experience frailty more frequently and have lower health-related quality of life than do those with other chronic diseases. The purpose of this study was to examine the prevalence of frailty and investigate the contribution of frailty to quality of life in pre-dialysis CKD patients in Korea. METHODS: Using a cross-sectional survey design, data were collected at an outpatient CKD clinic in a general hospital in Korea. The frailty criterion was modified from previous studies. The Short Form-36 Health Survey version 2 was used to measure physical and mental component summary scores. Data were analyzed using chi-square, t-tests, and hierarchical linear regression. RESULTS: Of the 168 CKD patients, 63 (37.5 %) were frail. Frail patients were significantly older and had lower physical and mental quality of life than those who were non-frail. In hierarchical regression evaluating the influence of frailty on physical and mental quality of life, the initial model was significantly improved when frailty was included. Frail patients had lower physical and mental quality of life. CONCLUSIONS: Frailty affected both physical and mental quality of life in pre-dialysis patients with CKD. More attention should be paid to the potential role of early detection and prevention of frailty to improve patients' quality of life.","author":[{"dropping-particle":"","family":"Lee","given":"S J","non-dropping-particle":"","parse-names":false,"suffix":""},{"dropping-particle":"","family":"Son","given":"H","non-dropping-particle":"","parse-names":false,"suffix":""},{"dropping-particle":"","family":"Shin","given":"S K","non-dropping-particle":"","parse-names":false,"suffix":""}],"container-title":"Health Qual Life Outcomes","id":"ITEM-1","issued":{"date-parts":[["2015"]]},"note":"Lee, Suk Jeong\nSon, Heesook\nShin, Sug Kyun\neng\nResearch Support, Non-U.S. Gov't\nEngland\n2015/05/30 06:00\nHealth Qual Life Outcomes. 2015 May 29;13:70. doi: 10.1186/s12955-015-0270-0.","page":"70","title":"Influence of frailty on health-related quality of life in pre-dialysis patients with chronic kidney disease in Korea: a cross-sectional study","type":"article-journal","volume":"13"},"uris":["http://www.mendeley.com/documents/?uuid=24abbc73-f302-4108-8c7e-16017b26b4f4"]}],"mendeley":{"formattedCitation":"&lt;sup&gt;17&lt;/sup&gt;","plainTextFormattedCitation":"17","previouslyFormattedCitation":"&lt;sup&gt;18&lt;/sup&gt;"},"properties":{"noteIndex":0},"schema":"https://github.com/citation-style-language/schema/raw/master/csl-citation.json"}</w:instrText>
            </w:r>
            <w:r>
              <w:fldChar w:fldCharType="separate"/>
            </w:r>
            <w:r w:rsidRPr="00596FF4">
              <w:rPr>
                <w:noProof/>
                <w:vertAlign w:val="superscript"/>
              </w:rPr>
              <w:t>17</w:t>
            </w:r>
            <w:r>
              <w:fldChar w:fldCharType="end"/>
            </w:r>
          </w:p>
        </w:tc>
      </w:tr>
      <w:tr w:rsidR="006F0209" w:rsidTr="00017BB3">
        <w:trPr>
          <w:trHeight w:val="336"/>
        </w:trPr>
        <w:tc>
          <w:tcPr>
            <w:tcW w:w="2385" w:type="dxa"/>
            <w:gridSpan w:val="2"/>
            <w:vMerge/>
          </w:tcPr>
          <w:p w:rsidR="006F0209" w:rsidRDefault="006F0209" w:rsidP="006F0209">
            <w:pPr>
              <w:rPr>
                <w:rFonts w:eastAsia="DengXian"/>
                <w:lang w:eastAsia="zh-CN"/>
              </w:rPr>
            </w:pPr>
          </w:p>
        </w:tc>
        <w:tc>
          <w:tcPr>
            <w:tcW w:w="244" w:type="dxa"/>
          </w:tcPr>
          <w:p w:rsidR="006F0209" w:rsidRDefault="006F0209" w:rsidP="006F0209"/>
        </w:tc>
        <w:tc>
          <w:tcPr>
            <w:tcW w:w="236" w:type="dxa"/>
          </w:tcPr>
          <w:p w:rsidR="006F0209" w:rsidRPr="00054770" w:rsidRDefault="006F0209" w:rsidP="006F0209"/>
        </w:tc>
        <w:tc>
          <w:tcPr>
            <w:tcW w:w="3299" w:type="dxa"/>
          </w:tcPr>
          <w:p w:rsidR="006F0209" w:rsidRDefault="006F0209" w:rsidP="006F0209">
            <w:r>
              <w:t>Hierarchical regression R^2 change (effects of frailty on HRQoL) in Mental Component Summary</w:t>
            </w:r>
            <w:r>
              <w:rPr>
                <w:rFonts w:hint="eastAsia"/>
              </w:rPr>
              <w:t xml:space="preserve"> </w:t>
            </w:r>
            <w:r>
              <w:t>(MCS)</w:t>
            </w:r>
          </w:p>
        </w:tc>
        <w:tc>
          <w:tcPr>
            <w:tcW w:w="1803" w:type="dxa"/>
          </w:tcPr>
          <w:p w:rsidR="006F0209" w:rsidRPr="00C32753" w:rsidRDefault="006F0209" w:rsidP="006F0209">
            <w:r>
              <w:rPr>
                <w:rFonts w:hint="eastAsia"/>
              </w:rPr>
              <w:t>21.3%</w:t>
            </w:r>
            <w:r>
              <w:t xml:space="preserve"> (p&lt;0.001)</w:t>
            </w:r>
          </w:p>
        </w:tc>
        <w:tc>
          <w:tcPr>
            <w:tcW w:w="1468" w:type="dxa"/>
            <w:vMerge/>
          </w:tcPr>
          <w:p w:rsidR="006F0209" w:rsidRDefault="006F0209" w:rsidP="006F0209"/>
        </w:tc>
        <w:tc>
          <w:tcPr>
            <w:tcW w:w="1207" w:type="dxa"/>
            <w:vMerge/>
          </w:tcPr>
          <w:p w:rsidR="006F0209" w:rsidRDefault="006F0209" w:rsidP="006F0209"/>
        </w:tc>
        <w:tc>
          <w:tcPr>
            <w:tcW w:w="2033" w:type="dxa"/>
            <w:vMerge/>
          </w:tcPr>
          <w:p w:rsidR="006F0209" w:rsidRDefault="006F0209" w:rsidP="006F0209"/>
        </w:tc>
        <w:tc>
          <w:tcPr>
            <w:tcW w:w="1273" w:type="dxa"/>
            <w:vMerge/>
          </w:tcPr>
          <w:p w:rsidR="006F0209" w:rsidRDefault="006F0209" w:rsidP="006F0209"/>
        </w:tc>
      </w:tr>
      <w:tr w:rsidR="006F0209" w:rsidTr="003E3F14">
        <w:trPr>
          <w:trHeight w:val="336"/>
        </w:trPr>
        <w:tc>
          <w:tcPr>
            <w:tcW w:w="2385" w:type="dxa"/>
            <w:gridSpan w:val="2"/>
            <w:vMerge/>
          </w:tcPr>
          <w:p w:rsidR="006F0209" w:rsidRDefault="006F0209" w:rsidP="006F0209">
            <w:pPr>
              <w:rPr>
                <w:rFonts w:eastAsia="DengXian"/>
                <w:lang w:eastAsia="zh-CN"/>
              </w:rPr>
            </w:pPr>
          </w:p>
        </w:tc>
        <w:tc>
          <w:tcPr>
            <w:tcW w:w="244" w:type="dxa"/>
            <w:vMerge w:val="restart"/>
          </w:tcPr>
          <w:p w:rsidR="006F0209" w:rsidRDefault="006F0209" w:rsidP="006F0209"/>
        </w:tc>
        <w:tc>
          <w:tcPr>
            <w:tcW w:w="3535" w:type="dxa"/>
            <w:gridSpan w:val="2"/>
          </w:tcPr>
          <w:p w:rsidR="006F0209" w:rsidRDefault="006F0209" w:rsidP="006F0209">
            <w:r w:rsidRPr="00054770">
              <w:t xml:space="preserve">KDQOL-SF </w:t>
            </w:r>
            <w:r>
              <w:t>scores in physical and kidney disease-specific HRQoL</w:t>
            </w:r>
          </w:p>
        </w:tc>
        <w:tc>
          <w:tcPr>
            <w:tcW w:w="1803" w:type="dxa"/>
          </w:tcPr>
          <w:p w:rsidR="006F0209" w:rsidRDefault="006F0209" w:rsidP="006F0209"/>
        </w:tc>
        <w:tc>
          <w:tcPr>
            <w:tcW w:w="1468" w:type="dxa"/>
            <w:vMerge w:val="restart"/>
          </w:tcPr>
          <w:p w:rsidR="006F0209" w:rsidRDefault="006F0209" w:rsidP="006F0209">
            <w:r>
              <w:rPr>
                <w:rFonts w:hint="eastAsia"/>
              </w:rPr>
              <w:t>Fried Phenotypes</w:t>
            </w:r>
          </w:p>
        </w:tc>
        <w:tc>
          <w:tcPr>
            <w:tcW w:w="1207" w:type="dxa"/>
            <w:vMerge w:val="restart"/>
          </w:tcPr>
          <w:p w:rsidR="006F0209" w:rsidRDefault="006F0209" w:rsidP="006F0209">
            <w:r>
              <w:rPr>
                <w:rFonts w:hint="eastAsia"/>
              </w:rPr>
              <w:t>443</w:t>
            </w:r>
          </w:p>
        </w:tc>
        <w:tc>
          <w:tcPr>
            <w:tcW w:w="2033" w:type="dxa"/>
            <w:vMerge w:val="restart"/>
          </w:tcPr>
          <w:p w:rsidR="006F0209" w:rsidRDefault="006F0209" w:rsidP="006F0209">
            <w:r>
              <w:t>CKD stage 5T</w:t>
            </w:r>
          </w:p>
        </w:tc>
        <w:tc>
          <w:tcPr>
            <w:tcW w:w="1273" w:type="dxa"/>
            <w:vMerge w:val="restart"/>
          </w:tcPr>
          <w:p w:rsidR="006F0209" w:rsidRDefault="006F0209" w:rsidP="006F0209">
            <w:r>
              <w:fldChar w:fldCharType="begin" w:fldLock="1"/>
            </w:r>
            <w:r>
              <w:instrText>ADDIN CSL_CITATION {"citationItems":[{"id":"ITEM-1","itemData":{"DOI":"10.1097/TP.0000000000001943","ISBN":"0000000000","ISSN":"00411337","PMID":"28885489","abstract":"BACKGROUND Health-related quality of life (HRQOL) reflects a patient's disease burden, treatment effectiveness, and health status and is summarized by physical, mental, and kidney disease-specific scales among end-stage renal disease patients. Although on average HRQOL improves postkidney transplant (KT), the degree of change depends on the ability of the patient to withstand the stressor of dialysis versus the ability to tolerate the intense physiologic changes of KT. Frail KT recipients may be extra vulnerable to either of these stressors, thus affecting change in HRQOL after KT. METHODS We ascertained frailty, as well as physical, mental, and kidney disease-specific HRQOL in a multicenter prospective cohort of 443 KT recipients (May 2014 to May 2017) using Kidney Disease Quality of Life Instrument Short Form. We quantified the short-term (3 months) rate of post-KT HRQOL change by frailty status using adjusted mixed-effects linear regression models. RESULTS Mean HRQOL scores at KT were 43.3 (SD, 9.6) for physical, 52.8 (SD, 8.9) for mental, and 72.6 (SD, 12.8) for kidney disease-specific HRQOL; frail recipients had worse physical (P &lt;0.001) and kidney disease-specific HRQOL (P = 0.001), but similar mental HRQOL (P = 0.43). Frail recipients experienced significantly greater rates of improvement in physical HRQOL (frail, 1.35 points/month; 95% confidence interval [CI], 0.65-2.05; nonfrail, 0.34 points/month; 95% CI, -0.17-0.85; P = 0.02) and kidney disease-specific HRQOL (frail, 3.75 points/month; 95% CI, 2.89-4.60; nonfrail, 2.41 points/month; 95% CI, 1.78-3.04; P = 0.01), but no difference in mental HRQOL (frail, 0.54 points/month; 95% CI, -0.17-1.25; nonfrail, 0.46 points/month; 95% CI, -0.06-0.98; P = 0.85) post-KT. CONCLUSIONS Despite decreased physiologic reserve, frail recipients experience improvement in post-KT physical and kidney disease-specific HRQOL better than nonfrail recipients.","author":[{"dropping-particle":"","family":"McAdams-DeMarco","given":"Mara A","non-dropping-particle":"","parse-names":false,"suffix":""},{"dropping-particle":"","family":"Olorundare","given":"Israel O","non-dropping-particle":"","parse-names":false,"suffix":""},{"dropping-particle":"","family":"Ying","given":"Hao","non-dropping-particle":"","parse-names":false,"suffix":""},{"dropping-particle":"","family":"Warsame","given":"Fatima","non-dropping-particle":"","parse-names":false,"suffix":""},{"dropping-particle":"","family":"Haugen","given":"Christine E","non-dropping-particle":"","parse-names":false,"suffix":""},{"dropping-particle":"","family":"Hall","given":"Rasheeda","non-dropping-particle":"","parse-names":false,"suffix":""},{"dropping-particle":"","family":"Garonzik-Wang","given":"Jacqueline M","non-dropping-particle":"","parse-names":false,"suffix":""},{"dropping-particle":"","family":"Desai","given":"Niraj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L","non-dropping-particle":"","parse-names":false,"suffix":""}],"container-title":"Transplantation","id":"ITEM-1","issue":"2","issued":{"date-parts":[["2018"]]},"page":"291-299","title":"Frailty and Postkidney Transplant Health-Related Quality of Life","type":"article-journal","volume":"102"},"uris":["http://www.mendeley.com/documents/?uuid=81f127d3-4cdb-4a83-8324-1f939a8ddd44"]}],"mendeley":{"formattedCitation":"&lt;sup&gt;18&lt;/sup&gt;","plainTextFormattedCitation":"18","previouslyFormattedCitation":"&lt;sup&gt;19&lt;/sup&gt;"},"properties":{"noteIndex":0},"schema":"https://github.com/citation-style-language/schema/raw/master/csl-citation.json"}</w:instrText>
            </w:r>
            <w:r>
              <w:fldChar w:fldCharType="separate"/>
            </w:r>
            <w:r w:rsidRPr="00596FF4">
              <w:rPr>
                <w:noProof/>
                <w:vertAlign w:val="superscript"/>
              </w:rPr>
              <w:t>18</w:t>
            </w:r>
            <w:r>
              <w:fldChar w:fldCharType="end"/>
            </w:r>
          </w:p>
        </w:tc>
      </w:tr>
      <w:tr w:rsidR="006F0209" w:rsidTr="00017BB3">
        <w:trPr>
          <w:trHeight w:val="336"/>
        </w:trPr>
        <w:tc>
          <w:tcPr>
            <w:tcW w:w="2385" w:type="dxa"/>
            <w:gridSpan w:val="2"/>
            <w:vMerge/>
          </w:tcPr>
          <w:p w:rsidR="006F0209" w:rsidRDefault="006F0209" w:rsidP="006F0209">
            <w:pPr>
              <w:rPr>
                <w:rFonts w:eastAsia="DengXian"/>
                <w:lang w:eastAsia="zh-CN"/>
              </w:rPr>
            </w:pPr>
          </w:p>
        </w:tc>
        <w:tc>
          <w:tcPr>
            <w:tcW w:w="244" w:type="dxa"/>
            <w:vMerge/>
          </w:tcPr>
          <w:p w:rsidR="006F0209" w:rsidRDefault="006F0209" w:rsidP="006F0209"/>
        </w:tc>
        <w:tc>
          <w:tcPr>
            <w:tcW w:w="236" w:type="dxa"/>
          </w:tcPr>
          <w:p w:rsidR="006F0209" w:rsidRDefault="006F0209" w:rsidP="006F0209"/>
        </w:tc>
        <w:tc>
          <w:tcPr>
            <w:tcW w:w="3299" w:type="dxa"/>
          </w:tcPr>
          <w:p w:rsidR="006F0209" w:rsidRDefault="006F0209" w:rsidP="006F0209">
            <w:r>
              <w:t>At KT</w:t>
            </w:r>
          </w:p>
        </w:tc>
        <w:tc>
          <w:tcPr>
            <w:tcW w:w="1803" w:type="dxa"/>
          </w:tcPr>
          <w:p w:rsidR="006F0209" w:rsidRDefault="006F0209" w:rsidP="006F0209">
            <w:r>
              <w:rPr>
                <w:rFonts w:hint="eastAsia"/>
              </w:rPr>
              <w:t>↓</w:t>
            </w:r>
          </w:p>
        </w:tc>
        <w:tc>
          <w:tcPr>
            <w:tcW w:w="1468" w:type="dxa"/>
            <w:vMerge/>
          </w:tcPr>
          <w:p w:rsidR="006F0209" w:rsidRDefault="006F0209" w:rsidP="006F0209"/>
        </w:tc>
        <w:tc>
          <w:tcPr>
            <w:tcW w:w="1207" w:type="dxa"/>
            <w:vMerge/>
          </w:tcPr>
          <w:p w:rsidR="006F0209" w:rsidRDefault="006F0209" w:rsidP="006F0209"/>
        </w:tc>
        <w:tc>
          <w:tcPr>
            <w:tcW w:w="2033" w:type="dxa"/>
            <w:vMerge/>
          </w:tcPr>
          <w:p w:rsidR="006F0209" w:rsidRDefault="006F0209" w:rsidP="006F0209"/>
        </w:tc>
        <w:tc>
          <w:tcPr>
            <w:tcW w:w="1273" w:type="dxa"/>
            <w:vMerge/>
          </w:tcPr>
          <w:p w:rsidR="006F0209" w:rsidRDefault="006F0209" w:rsidP="006F0209"/>
        </w:tc>
      </w:tr>
      <w:tr w:rsidR="006F0209" w:rsidTr="00017BB3">
        <w:trPr>
          <w:trHeight w:val="336"/>
        </w:trPr>
        <w:tc>
          <w:tcPr>
            <w:tcW w:w="2385" w:type="dxa"/>
            <w:gridSpan w:val="2"/>
            <w:vMerge/>
          </w:tcPr>
          <w:p w:rsidR="006F0209" w:rsidRDefault="006F0209" w:rsidP="006F0209">
            <w:pPr>
              <w:rPr>
                <w:rFonts w:eastAsia="DengXian"/>
                <w:lang w:eastAsia="zh-CN"/>
              </w:rPr>
            </w:pPr>
          </w:p>
        </w:tc>
        <w:tc>
          <w:tcPr>
            <w:tcW w:w="244" w:type="dxa"/>
            <w:vMerge/>
          </w:tcPr>
          <w:p w:rsidR="006F0209" w:rsidRDefault="006F0209" w:rsidP="006F0209"/>
        </w:tc>
        <w:tc>
          <w:tcPr>
            <w:tcW w:w="236" w:type="dxa"/>
          </w:tcPr>
          <w:p w:rsidR="006F0209" w:rsidRDefault="006F0209" w:rsidP="006F0209"/>
        </w:tc>
        <w:tc>
          <w:tcPr>
            <w:tcW w:w="3299" w:type="dxa"/>
          </w:tcPr>
          <w:p w:rsidR="006F0209" w:rsidRDefault="006F0209" w:rsidP="006F0209">
            <w:r>
              <w:rPr>
                <w:rFonts w:hint="eastAsia"/>
              </w:rPr>
              <w:t>Post-KT</w:t>
            </w:r>
          </w:p>
        </w:tc>
        <w:tc>
          <w:tcPr>
            <w:tcW w:w="1803" w:type="dxa"/>
          </w:tcPr>
          <w:p w:rsidR="006F0209" w:rsidRDefault="006F0209" w:rsidP="006F0209">
            <w:r>
              <w:rPr>
                <w:rFonts w:hint="eastAsia"/>
              </w:rPr>
              <w:t>Greater increase</w:t>
            </w:r>
          </w:p>
        </w:tc>
        <w:tc>
          <w:tcPr>
            <w:tcW w:w="1468" w:type="dxa"/>
            <w:vMerge/>
          </w:tcPr>
          <w:p w:rsidR="006F0209" w:rsidRDefault="006F0209" w:rsidP="006F0209"/>
        </w:tc>
        <w:tc>
          <w:tcPr>
            <w:tcW w:w="1207" w:type="dxa"/>
            <w:vMerge/>
          </w:tcPr>
          <w:p w:rsidR="006F0209" w:rsidRDefault="006F0209" w:rsidP="006F0209"/>
        </w:tc>
        <w:tc>
          <w:tcPr>
            <w:tcW w:w="2033" w:type="dxa"/>
            <w:vMerge/>
          </w:tcPr>
          <w:p w:rsidR="006F0209" w:rsidRDefault="006F0209" w:rsidP="006F0209"/>
        </w:tc>
        <w:tc>
          <w:tcPr>
            <w:tcW w:w="1273" w:type="dxa"/>
            <w:vMerge/>
          </w:tcPr>
          <w:p w:rsidR="006F0209" w:rsidRDefault="006F0209" w:rsidP="006F0209"/>
        </w:tc>
      </w:tr>
      <w:tr w:rsidR="006F0209" w:rsidTr="008E6B2D">
        <w:trPr>
          <w:trHeight w:val="912"/>
        </w:trPr>
        <w:tc>
          <w:tcPr>
            <w:tcW w:w="2385" w:type="dxa"/>
            <w:gridSpan w:val="2"/>
            <w:vMerge/>
          </w:tcPr>
          <w:p w:rsidR="006F0209" w:rsidRPr="00055A83" w:rsidRDefault="006F0209" w:rsidP="006F0209">
            <w:pPr>
              <w:rPr>
                <w:rFonts w:eastAsia="DengXian"/>
                <w:lang w:eastAsia="zh-CN"/>
              </w:rPr>
            </w:pPr>
          </w:p>
        </w:tc>
        <w:tc>
          <w:tcPr>
            <w:tcW w:w="3779" w:type="dxa"/>
            <w:gridSpan w:val="3"/>
          </w:tcPr>
          <w:p w:rsidR="006F0209" w:rsidRDefault="006F0209" w:rsidP="006F0209">
            <w:r>
              <w:rPr>
                <w:rFonts w:hint="eastAsia"/>
              </w:rPr>
              <w:t>Falls</w:t>
            </w:r>
          </w:p>
        </w:tc>
        <w:tc>
          <w:tcPr>
            <w:tcW w:w="1803" w:type="dxa"/>
          </w:tcPr>
          <w:p w:rsidR="006F0209" w:rsidRDefault="006F0209" w:rsidP="006F0209">
            <w:r>
              <w:rPr>
                <w:rFonts w:hint="eastAsia"/>
              </w:rPr>
              <w:t>HR</w:t>
            </w:r>
            <w:r>
              <w:t xml:space="preserve"> 2.1 (1.21-3.92)</w:t>
            </w:r>
          </w:p>
        </w:tc>
        <w:tc>
          <w:tcPr>
            <w:tcW w:w="1468" w:type="dxa"/>
          </w:tcPr>
          <w:p w:rsidR="006F0209" w:rsidRDefault="006F0209" w:rsidP="006F0209">
            <w:r>
              <w:rPr>
                <w:rFonts w:hint="eastAsia"/>
              </w:rPr>
              <w:t>Fried Phenotypes</w:t>
            </w:r>
          </w:p>
        </w:tc>
        <w:tc>
          <w:tcPr>
            <w:tcW w:w="1207" w:type="dxa"/>
          </w:tcPr>
          <w:p w:rsidR="006F0209" w:rsidRDefault="006F0209" w:rsidP="006F0209">
            <w:r>
              <w:rPr>
                <w:rFonts w:hint="eastAsia"/>
              </w:rPr>
              <w:t>205</w:t>
            </w:r>
          </w:p>
        </w:tc>
        <w:tc>
          <w:tcPr>
            <w:tcW w:w="2033" w:type="dxa"/>
          </w:tcPr>
          <w:p w:rsidR="006F0209" w:rsidRDefault="006F0209" w:rsidP="006F0209">
            <w:r>
              <w:t>CKD stage 5D (hemodialysis)</w:t>
            </w:r>
          </w:p>
        </w:tc>
        <w:tc>
          <w:tcPr>
            <w:tcW w:w="1273" w:type="dxa"/>
          </w:tcPr>
          <w:p w:rsidR="006F0209" w:rsidRDefault="006F0209" w:rsidP="006F0209">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p>
        </w:tc>
      </w:tr>
      <w:tr w:rsidR="006F0209" w:rsidTr="008E6B2D">
        <w:trPr>
          <w:trHeight w:val="399"/>
        </w:trPr>
        <w:tc>
          <w:tcPr>
            <w:tcW w:w="2385" w:type="dxa"/>
            <w:gridSpan w:val="2"/>
            <w:vMerge w:val="restart"/>
          </w:tcPr>
          <w:p w:rsidR="006F0209" w:rsidRPr="004A32A1" w:rsidRDefault="006F0209" w:rsidP="006F0209">
            <w:r w:rsidRPr="004A32A1">
              <w:rPr>
                <w:rFonts w:hint="eastAsia"/>
              </w:rPr>
              <w:t>Health-care u</w:t>
            </w:r>
            <w:r w:rsidRPr="004A32A1">
              <w:t>tilization</w:t>
            </w:r>
          </w:p>
        </w:tc>
        <w:tc>
          <w:tcPr>
            <w:tcW w:w="3779" w:type="dxa"/>
            <w:gridSpan w:val="3"/>
          </w:tcPr>
          <w:p w:rsidR="006F0209" w:rsidRPr="004A32A1" w:rsidRDefault="006F0209" w:rsidP="006F0209">
            <w:r>
              <w:rPr>
                <w:rFonts w:hint="eastAsia"/>
              </w:rPr>
              <w:t>Hospitalization</w:t>
            </w:r>
            <w:r>
              <w:t>/Death</w:t>
            </w:r>
          </w:p>
        </w:tc>
        <w:tc>
          <w:tcPr>
            <w:tcW w:w="1803" w:type="dxa"/>
          </w:tcPr>
          <w:p w:rsidR="006F0209" w:rsidRPr="004A32A1" w:rsidRDefault="006F0209" w:rsidP="006F0209">
            <w:r>
              <w:rPr>
                <w:rFonts w:hint="eastAsia"/>
              </w:rPr>
              <w:t>HR 1.56</w:t>
            </w:r>
            <w:r>
              <w:t xml:space="preserve"> (1.36-1.79)</w:t>
            </w:r>
          </w:p>
        </w:tc>
        <w:tc>
          <w:tcPr>
            <w:tcW w:w="1468" w:type="dxa"/>
          </w:tcPr>
          <w:p w:rsidR="006F0209" w:rsidRPr="004A32A1" w:rsidRDefault="006F0209" w:rsidP="006F0209">
            <w:r>
              <w:rPr>
                <w:rFonts w:hint="eastAsia"/>
              </w:rPr>
              <w:t>F</w:t>
            </w:r>
            <w:r>
              <w:t>ried Phenotypes</w:t>
            </w:r>
          </w:p>
        </w:tc>
        <w:tc>
          <w:tcPr>
            <w:tcW w:w="1207" w:type="dxa"/>
          </w:tcPr>
          <w:p w:rsidR="006F0209" w:rsidRPr="004A32A1" w:rsidRDefault="006F0209" w:rsidP="006F0209">
            <w:r>
              <w:rPr>
                <w:rFonts w:hint="eastAsia"/>
              </w:rPr>
              <w:t>227</w:t>
            </w:r>
            <w:r>
              <w:t>5</w:t>
            </w:r>
          </w:p>
        </w:tc>
        <w:tc>
          <w:tcPr>
            <w:tcW w:w="2033" w:type="dxa"/>
          </w:tcPr>
          <w:p w:rsidR="006F0209" w:rsidRPr="004A32A1" w:rsidRDefault="006F0209" w:rsidP="006F0209">
            <w:r>
              <w:t>CKD stage 5D</w:t>
            </w:r>
          </w:p>
        </w:tc>
        <w:tc>
          <w:tcPr>
            <w:tcW w:w="1273" w:type="dxa"/>
          </w:tcPr>
          <w:p w:rsidR="006F0209" w:rsidRPr="004A32A1" w:rsidRDefault="006F0209" w:rsidP="006F0209">
            <w:r>
              <w:fldChar w:fldCharType="begin" w:fldLock="1"/>
            </w:r>
            <w:r>
              <w:instrText>ADDIN CSL_CITATION {"citationItems":[{"id":"ITEM-1","itemData":{"DOI":"10.1681/ASN.2007020221","ISSN":"1533-3450","PMID":"17942958","abstract":"The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 : JASN","id":"ITEM-1","issue":"11","issued":{"date-parts":[["2007","11","1"]]},"page":"2960-7","publisher":"American Society of Nephrology","title":"Significance of frailty among dialysis patients.","type":"article-journal","volume":"18"},"uris":["http://www.mendeley.com/documents/?uuid=b0dc38c8-cd62-36a0-938a-e21de4ee066f"]}],"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6F0209" w:rsidTr="008E6B2D">
        <w:trPr>
          <w:trHeight w:val="399"/>
        </w:trPr>
        <w:tc>
          <w:tcPr>
            <w:tcW w:w="2385" w:type="dxa"/>
            <w:gridSpan w:val="2"/>
            <w:vMerge/>
          </w:tcPr>
          <w:p w:rsidR="006F0209" w:rsidRPr="004A32A1" w:rsidRDefault="006F0209" w:rsidP="006F0209"/>
        </w:tc>
        <w:tc>
          <w:tcPr>
            <w:tcW w:w="3779" w:type="dxa"/>
            <w:gridSpan w:val="3"/>
          </w:tcPr>
          <w:p w:rsidR="006F0209" w:rsidRDefault="006F0209" w:rsidP="006F0209">
            <w:r>
              <w:t>Hospitalization</w:t>
            </w:r>
          </w:p>
        </w:tc>
        <w:tc>
          <w:tcPr>
            <w:tcW w:w="1803" w:type="dxa"/>
          </w:tcPr>
          <w:p w:rsidR="006F0209" w:rsidRDefault="006F0209" w:rsidP="006F0209">
            <w:r>
              <w:rPr>
                <w:rFonts w:hint="eastAsia"/>
              </w:rPr>
              <w:t>HR</w:t>
            </w:r>
            <w:r>
              <w:t xml:space="preserve"> 2.06 (1.18-3.58)</w:t>
            </w:r>
          </w:p>
        </w:tc>
        <w:tc>
          <w:tcPr>
            <w:tcW w:w="1468" w:type="dxa"/>
          </w:tcPr>
          <w:p w:rsidR="006F0209" w:rsidRDefault="006F0209" w:rsidP="006F0209">
            <w:r>
              <w:rPr>
                <w:rFonts w:hint="eastAsia"/>
              </w:rPr>
              <w:t>Fried Phenotypes</w:t>
            </w:r>
          </w:p>
        </w:tc>
        <w:tc>
          <w:tcPr>
            <w:tcW w:w="1207" w:type="dxa"/>
          </w:tcPr>
          <w:p w:rsidR="006F0209" w:rsidRDefault="006F0209" w:rsidP="006F0209">
            <w:r>
              <w:rPr>
                <w:rFonts w:hint="eastAsia"/>
              </w:rPr>
              <w:t>205</w:t>
            </w:r>
          </w:p>
        </w:tc>
        <w:tc>
          <w:tcPr>
            <w:tcW w:w="2033" w:type="dxa"/>
          </w:tcPr>
          <w:p w:rsidR="006F0209" w:rsidRDefault="006F0209" w:rsidP="006F0209">
            <w:r>
              <w:t>CKD stage 5D (hemodialysis)</w:t>
            </w:r>
          </w:p>
        </w:tc>
        <w:tc>
          <w:tcPr>
            <w:tcW w:w="1273" w:type="dxa"/>
          </w:tcPr>
          <w:p w:rsidR="006F0209" w:rsidRDefault="006F0209" w:rsidP="006F0209">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63656D">
              <w:rPr>
                <w:noProof/>
                <w:vertAlign w:val="superscript"/>
              </w:rPr>
              <w:t>1</w:t>
            </w:r>
            <w:r>
              <w:fldChar w:fldCharType="end"/>
            </w:r>
          </w:p>
        </w:tc>
      </w:tr>
    </w:tbl>
    <w:p w:rsidR="00F32795" w:rsidRDefault="00F32795" w:rsidP="00DE5FCF">
      <w:r>
        <w:lastRenderedPageBreak/>
        <w:br w:type="page"/>
      </w:r>
    </w:p>
    <w:p w:rsidR="001752C5" w:rsidRDefault="00697E00" w:rsidP="00BA243C">
      <w:r>
        <w:rPr>
          <w:rFonts w:hint="eastAsia"/>
        </w:rPr>
        <w:lastRenderedPageBreak/>
        <w:t>Bibliography</w:t>
      </w:r>
    </w:p>
    <w:p w:rsidR="00596FF4" w:rsidRPr="00596FF4" w:rsidRDefault="00697E00" w:rsidP="00596FF4">
      <w:pPr>
        <w:autoSpaceDE w:val="0"/>
        <w:autoSpaceDN w:val="0"/>
        <w:adjustRightInd w:val="0"/>
        <w:ind w:left="640" w:hanging="640"/>
        <w:rPr>
          <w:rFonts w:ascii="Calibri" w:hAnsi="Calibri" w:cs="Calibri"/>
          <w:noProof/>
          <w:kern w:val="0"/>
          <w:szCs w:val="24"/>
        </w:rPr>
      </w:pPr>
      <w:r>
        <w:fldChar w:fldCharType="begin" w:fldLock="1"/>
      </w:r>
      <w:r>
        <w:instrText xml:space="preserve">ADDIN Mendeley Bibliography CSL_BIBLIOGRAPHY </w:instrText>
      </w:r>
      <w:r>
        <w:fldChar w:fldCharType="separate"/>
      </w:r>
      <w:r w:rsidR="00596FF4" w:rsidRPr="00596FF4">
        <w:rPr>
          <w:rFonts w:ascii="Calibri" w:hAnsi="Calibri" w:cs="Calibri"/>
          <w:noProof/>
          <w:kern w:val="0"/>
          <w:szCs w:val="24"/>
        </w:rPr>
        <w:t xml:space="preserve">1. </w:t>
      </w:r>
      <w:r w:rsidR="00596FF4" w:rsidRPr="00596FF4">
        <w:rPr>
          <w:rFonts w:ascii="Calibri" w:hAnsi="Calibri" w:cs="Calibri"/>
          <w:noProof/>
          <w:kern w:val="0"/>
          <w:szCs w:val="24"/>
        </w:rPr>
        <w:tab/>
        <w:t xml:space="preserve">YadlaM, JohnJ, MummadiM. A study of clinical assessment of frailty in patients on maintenance hemodialysis supported by cashless government scheme. </w:t>
      </w:r>
      <w:r w:rsidR="00596FF4" w:rsidRPr="00596FF4">
        <w:rPr>
          <w:rFonts w:ascii="Calibri" w:hAnsi="Calibri" w:cs="Calibri"/>
          <w:i/>
          <w:iCs/>
          <w:noProof/>
          <w:kern w:val="0"/>
          <w:szCs w:val="24"/>
        </w:rPr>
        <w:t>Saudi J Kidney Dis Transplant</w:t>
      </w:r>
      <w:r w:rsidR="00596FF4" w:rsidRPr="00596FF4">
        <w:rPr>
          <w:rFonts w:ascii="Calibri" w:hAnsi="Calibri" w:cs="Calibri"/>
          <w:noProof/>
          <w:kern w:val="0"/>
          <w:szCs w:val="24"/>
        </w:rPr>
        <w:t>. 2017. doi:10.4103/1319-2442.198102</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2. </w:t>
      </w:r>
      <w:r w:rsidRPr="00596FF4">
        <w:rPr>
          <w:rFonts w:ascii="Calibri" w:hAnsi="Calibri" w:cs="Calibri"/>
          <w:noProof/>
          <w:kern w:val="0"/>
          <w:szCs w:val="24"/>
        </w:rPr>
        <w:tab/>
        <w:t xml:space="preserve">MuradK, KitzmanDW. Frailty and multiple comorbidities in the elderly patient with heart failure: implications for management. </w:t>
      </w:r>
      <w:r w:rsidRPr="00596FF4">
        <w:rPr>
          <w:rFonts w:ascii="Calibri" w:hAnsi="Calibri" w:cs="Calibri"/>
          <w:i/>
          <w:iCs/>
          <w:noProof/>
          <w:kern w:val="0"/>
          <w:szCs w:val="24"/>
        </w:rPr>
        <w:t>Heart Fail Rev</w:t>
      </w:r>
      <w:r w:rsidRPr="00596FF4">
        <w:rPr>
          <w:rFonts w:ascii="Calibri" w:hAnsi="Calibri" w:cs="Calibri"/>
          <w:noProof/>
          <w:kern w:val="0"/>
          <w:szCs w:val="24"/>
        </w:rPr>
        <w:t>. 2012;17(4-5):581-588. doi:10.1007/s10741-011-9258-y</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3. </w:t>
      </w:r>
      <w:r w:rsidRPr="00596FF4">
        <w:rPr>
          <w:rFonts w:ascii="Calibri" w:hAnsi="Calibri" w:cs="Calibri"/>
          <w:noProof/>
          <w:kern w:val="0"/>
          <w:szCs w:val="24"/>
        </w:rPr>
        <w:tab/>
        <w:t xml:space="preserve">RoshanravanB, KhatriM, Robinson-CohenC, et al. A prospective study of frailty in nephrology-referred patients with CKD. </w:t>
      </w:r>
      <w:r w:rsidRPr="00596FF4">
        <w:rPr>
          <w:rFonts w:ascii="Calibri" w:hAnsi="Calibri" w:cs="Calibri"/>
          <w:i/>
          <w:iCs/>
          <w:noProof/>
          <w:kern w:val="0"/>
          <w:szCs w:val="24"/>
        </w:rPr>
        <w:t>Am J Kidney Dis</w:t>
      </w:r>
      <w:r w:rsidRPr="00596FF4">
        <w:rPr>
          <w:rFonts w:ascii="Calibri" w:hAnsi="Calibri" w:cs="Calibri"/>
          <w:noProof/>
          <w:kern w:val="0"/>
          <w:szCs w:val="24"/>
        </w:rPr>
        <w:t>. 2012;60(6):912-921. doi:10.1053/j.ajkd.2012.05.017</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4. </w:t>
      </w:r>
      <w:r w:rsidRPr="00596FF4">
        <w:rPr>
          <w:rFonts w:ascii="Calibri" w:hAnsi="Calibri" w:cs="Calibri"/>
          <w:noProof/>
          <w:kern w:val="0"/>
          <w:szCs w:val="24"/>
        </w:rPr>
        <w:tab/>
        <w:t xml:space="preserve">JohansenKL, ChertowGM, JinC, KutnerNG. Significance of frailty among dialysis patients. </w:t>
      </w:r>
      <w:r w:rsidRPr="00596FF4">
        <w:rPr>
          <w:rFonts w:ascii="Calibri" w:hAnsi="Calibri" w:cs="Calibri"/>
          <w:i/>
          <w:iCs/>
          <w:noProof/>
          <w:kern w:val="0"/>
          <w:szCs w:val="24"/>
        </w:rPr>
        <w:t>J Am Soc Nephrol</w:t>
      </w:r>
      <w:r w:rsidRPr="00596FF4">
        <w:rPr>
          <w:rFonts w:ascii="Calibri" w:hAnsi="Calibri" w:cs="Calibri"/>
          <w:noProof/>
          <w:kern w:val="0"/>
          <w:szCs w:val="24"/>
        </w:rPr>
        <w:t>. 2007;18(11):2960-2967. doi:10.1681/ASN.2007020221</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5. </w:t>
      </w:r>
      <w:r w:rsidRPr="00596FF4">
        <w:rPr>
          <w:rFonts w:ascii="Calibri" w:hAnsi="Calibri" w:cs="Calibri"/>
          <w:noProof/>
          <w:kern w:val="0"/>
          <w:szCs w:val="24"/>
        </w:rPr>
        <w:tab/>
        <w:t xml:space="preserve">McAdams-DemarcoMA, TanJ, SalterML, et al. Frailty and cognitive function in incident hemodialysis patients. </w:t>
      </w:r>
      <w:r w:rsidRPr="00596FF4">
        <w:rPr>
          <w:rFonts w:ascii="Calibri" w:hAnsi="Calibri" w:cs="Calibri"/>
          <w:i/>
          <w:iCs/>
          <w:noProof/>
          <w:kern w:val="0"/>
          <w:szCs w:val="24"/>
        </w:rPr>
        <w:t>Clin J Am Soc Nephrol</w:t>
      </w:r>
      <w:r w:rsidRPr="00596FF4">
        <w:rPr>
          <w:rFonts w:ascii="Calibri" w:hAnsi="Calibri" w:cs="Calibri"/>
          <w:noProof/>
          <w:kern w:val="0"/>
          <w:szCs w:val="24"/>
        </w:rPr>
        <w:t>. 2015;10(12):2181-2189. doi:10.2215/CJN.01960215</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6. </w:t>
      </w:r>
      <w:r w:rsidRPr="00596FF4">
        <w:rPr>
          <w:rFonts w:ascii="Calibri" w:hAnsi="Calibri" w:cs="Calibri"/>
          <w:noProof/>
          <w:kern w:val="0"/>
          <w:szCs w:val="24"/>
        </w:rPr>
        <w:tab/>
        <w:t xml:space="preserve">ChaoC-T, LaiH-J, TsaiH-B, YangS-Y, HuangJ-W. Frail phenotype is associated with distinct quantitative electroencephalographic findings among end-stage renal disease patients: an observational study. </w:t>
      </w:r>
      <w:r w:rsidRPr="00596FF4">
        <w:rPr>
          <w:rFonts w:ascii="Calibri" w:hAnsi="Calibri" w:cs="Calibri"/>
          <w:i/>
          <w:iCs/>
          <w:noProof/>
          <w:kern w:val="0"/>
          <w:szCs w:val="24"/>
        </w:rPr>
        <w:t>BMC Geriatr</w:t>
      </w:r>
      <w:r w:rsidRPr="00596FF4">
        <w:rPr>
          <w:rFonts w:ascii="Calibri" w:hAnsi="Calibri" w:cs="Calibri"/>
          <w:noProof/>
          <w:kern w:val="0"/>
          <w:szCs w:val="24"/>
        </w:rPr>
        <w:t>. 2017;17(1):277. doi:10.1186/s12877-017-0673-3</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7. </w:t>
      </w:r>
      <w:r w:rsidRPr="00596FF4">
        <w:rPr>
          <w:rFonts w:ascii="Calibri" w:hAnsi="Calibri" w:cs="Calibri"/>
          <w:noProof/>
          <w:kern w:val="0"/>
          <w:szCs w:val="24"/>
        </w:rPr>
        <w:tab/>
        <w:t xml:space="preserve">Fabrício-WehbeSCC, SchiavetoFV, VendrusculoTRP, HaasVJ, DantasRAS, RodriguesRAP. Cross-cultural adaptation and validity of the “Edmonton Frail Scale - EFS” in a Brazilian elderly sample. </w:t>
      </w:r>
      <w:r w:rsidRPr="00596FF4">
        <w:rPr>
          <w:rFonts w:ascii="Calibri" w:hAnsi="Calibri" w:cs="Calibri"/>
          <w:i/>
          <w:iCs/>
          <w:noProof/>
          <w:kern w:val="0"/>
          <w:szCs w:val="24"/>
        </w:rPr>
        <w:t>Rev Lat Am Enfermagem</w:t>
      </w:r>
      <w:r w:rsidRPr="00596FF4">
        <w:rPr>
          <w:rFonts w:ascii="Calibri" w:hAnsi="Calibri" w:cs="Calibri"/>
          <w:noProof/>
          <w:kern w:val="0"/>
          <w:szCs w:val="24"/>
        </w:rPr>
        <w:t>. 2009;17(6):1043-1049. doi:10.1590/S0104-11692009000600018</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8. </w:t>
      </w:r>
      <w:r w:rsidRPr="00596FF4">
        <w:rPr>
          <w:rFonts w:ascii="Calibri" w:hAnsi="Calibri" w:cs="Calibri"/>
          <w:noProof/>
          <w:kern w:val="0"/>
          <w:szCs w:val="24"/>
        </w:rPr>
        <w:tab/>
        <w:t xml:space="preserve">JohansenKL, DalrympleLS, DelgadoC, et al. Factors Associated with Frailty and Its Trajectory among Patients on Hemodialysis. </w:t>
      </w:r>
      <w:r w:rsidRPr="00596FF4">
        <w:rPr>
          <w:rFonts w:ascii="Calibri" w:hAnsi="Calibri" w:cs="Calibri"/>
          <w:i/>
          <w:iCs/>
          <w:noProof/>
          <w:kern w:val="0"/>
          <w:szCs w:val="24"/>
        </w:rPr>
        <w:t>Clin J Am Soc Nephrol</w:t>
      </w:r>
      <w:r w:rsidRPr="00596FF4">
        <w:rPr>
          <w:rFonts w:ascii="Calibri" w:hAnsi="Calibri" w:cs="Calibri"/>
          <w:noProof/>
          <w:kern w:val="0"/>
          <w:szCs w:val="24"/>
        </w:rPr>
        <w:t>. 2017;12(7):1100-1108. doi:10.2215/CJN.12131116</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9. </w:t>
      </w:r>
      <w:r w:rsidRPr="00596FF4">
        <w:rPr>
          <w:rFonts w:ascii="Calibri" w:hAnsi="Calibri" w:cs="Calibri"/>
          <w:noProof/>
          <w:kern w:val="0"/>
          <w:szCs w:val="24"/>
        </w:rPr>
        <w:tab/>
        <w:t xml:space="preserve">McAdams-DemarcoMA, LawA, TanJ, et al. Frailty, mycophenolate reduction, and graft loss in kidney transplant recipients. </w:t>
      </w:r>
      <w:r w:rsidRPr="00596FF4">
        <w:rPr>
          <w:rFonts w:ascii="Calibri" w:hAnsi="Calibri" w:cs="Calibri"/>
          <w:i/>
          <w:iCs/>
          <w:noProof/>
          <w:kern w:val="0"/>
          <w:szCs w:val="24"/>
        </w:rPr>
        <w:t>Transplantation</w:t>
      </w:r>
      <w:r w:rsidRPr="00596FF4">
        <w:rPr>
          <w:rFonts w:ascii="Calibri" w:hAnsi="Calibri" w:cs="Calibri"/>
          <w:noProof/>
          <w:kern w:val="0"/>
          <w:szCs w:val="24"/>
        </w:rPr>
        <w:t>. 2015;99(4):805-810. doi:10.1097/TP.0000000000000444</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10. </w:t>
      </w:r>
      <w:r w:rsidRPr="00596FF4">
        <w:rPr>
          <w:rFonts w:ascii="Calibri" w:hAnsi="Calibri" w:cs="Calibri"/>
          <w:noProof/>
          <w:kern w:val="0"/>
          <w:szCs w:val="24"/>
        </w:rPr>
        <w:tab/>
        <w:t xml:space="preserve">MargiottaE, CaldiroliL, VettorettiS, et al. SuO004GUT MICROBIOTA COMPOSITION AND FRAILTY IN ELDERLY PATIENTS WITH CHRONIC KIDNEY DISEASE. </w:t>
      </w:r>
      <w:r w:rsidRPr="00596FF4">
        <w:rPr>
          <w:rFonts w:ascii="Calibri" w:hAnsi="Calibri" w:cs="Calibri"/>
          <w:i/>
          <w:iCs/>
          <w:noProof/>
          <w:kern w:val="0"/>
          <w:szCs w:val="24"/>
        </w:rPr>
        <w:t>Nephrol Dial Transplant</w:t>
      </w:r>
      <w:r w:rsidRPr="00596FF4">
        <w:rPr>
          <w:rFonts w:ascii="Calibri" w:hAnsi="Calibri" w:cs="Calibri"/>
          <w:noProof/>
          <w:kern w:val="0"/>
          <w:szCs w:val="24"/>
        </w:rPr>
        <w:t>. 2018;33(suppl_1):i618-i618. doi:10.1093/ndt/gfy104.SuO004</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11. </w:t>
      </w:r>
      <w:r w:rsidRPr="00596FF4">
        <w:rPr>
          <w:rFonts w:ascii="Calibri" w:hAnsi="Calibri" w:cs="Calibri"/>
          <w:noProof/>
          <w:kern w:val="0"/>
          <w:szCs w:val="24"/>
        </w:rPr>
        <w:tab/>
        <w:t>Adame PerezSI, SeniorPA, FieldCJ, JindalK, MagerDR. Frailty, Health-Related Quality of Life, Cognition, Depression, Vitamin D and Health-</w:t>
      </w:r>
      <w:r w:rsidRPr="00596FF4">
        <w:rPr>
          <w:rFonts w:ascii="Calibri" w:hAnsi="Calibri" w:cs="Calibri"/>
          <w:noProof/>
          <w:kern w:val="0"/>
          <w:szCs w:val="24"/>
        </w:rPr>
        <w:lastRenderedPageBreak/>
        <w:t xml:space="preserve">Care Utilization in an Ambulatory Adult Population with Type 1 or Type 2 Diabetes Mellitus and Chronic Kidney Disease: A Cross-Sectional Analysis. </w:t>
      </w:r>
      <w:r w:rsidRPr="00596FF4">
        <w:rPr>
          <w:rFonts w:ascii="Calibri" w:hAnsi="Calibri" w:cs="Calibri"/>
          <w:i/>
          <w:iCs/>
          <w:noProof/>
          <w:kern w:val="0"/>
          <w:szCs w:val="24"/>
        </w:rPr>
        <w:t>Can J Diabetes</w:t>
      </w:r>
      <w:r w:rsidRPr="00596FF4">
        <w:rPr>
          <w:rFonts w:ascii="Calibri" w:hAnsi="Calibri" w:cs="Calibri"/>
          <w:noProof/>
          <w:kern w:val="0"/>
          <w:szCs w:val="24"/>
        </w:rPr>
        <w:t>. June2018. doi:10.1016/j.jcjd.2018.06.001</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12. </w:t>
      </w:r>
      <w:r w:rsidRPr="00596FF4">
        <w:rPr>
          <w:rFonts w:ascii="Calibri" w:hAnsi="Calibri" w:cs="Calibri"/>
          <w:noProof/>
          <w:kern w:val="0"/>
          <w:szCs w:val="24"/>
        </w:rPr>
        <w:tab/>
        <w:t xml:space="preserve">ChiangJM, KaysenGA, SegalM, ChertowGM, DelgadoC, JohansenKL. Low testosterone is associated with frailty, muscle wasting and physical dysfunction among men receiving hemodialysis: a longitudinal analysis. </w:t>
      </w:r>
      <w:r w:rsidRPr="00596FF4">
        <w:rPr>
          <w:rFonts w:ascii="Calibri" w:hAnsi="Calibri" w:cs="Calibri"/>
          <w:i/>
          <w:iCs/>
          <w:noProof/>
          <w:kern w:val="0"/>
          <w:szCs w:val="24"/>
        </w:rPr>
        <w:t>Nephrol Dial Transplant</w:t>
      </w:r>
      <w:r w:rsidRPr="00596FF4">
        <w:rPr>
          <w:rFonts w:ascii="Calibri" w:hAnsi="Calibri" w:cs="Calibri"/>
          <w:noProof/>
          <w:kern w:val="0"/>
          <w:szCs w:val="24"/>
        </w:rPr>
        <w:t>. 2018. doi:10.1093/ndt/gfy252</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13. </w:t>
      </w:r>
      <w:r w:rsidRPr="00596FF4">
        <w:rPr>
          <w:rFonts w:ascii="Calibri" w:hAnsi="Calibri" w:cs="Calibri"/>
          <w:noProof/>
          <w:kern w:val="0"/>
          <w:szCs w:val="24"/>
        </w:rPr>
        <w:tab/>
        <w:t xml:space="preserve">DeSouza OrlandiF, GesualdoGD. Assessment of the frailty level of elderly people with chronic kidney disease undergoing hemodialysis. </w:t>
      </w:r>
      <w:r w:rsidRPr="00596FF4">
        <w:rPr>
          <w:rFonts w:ascii="Calibri" w:hAnsi="Calibri" w:cs="Calibri"/>
          <w:i/>
          <w:iCs/>
          <w:noProof/>
          <w:kern w:val="0"/>
          <w:szCs w:val="24"/>
        </w:rPr>
        <w:t>ACTA Paul Enferm</w:t>
      </w:r>
      <w:r w:rsidRPr="00596FF4">
        <w:rPr>
          <w:rFonts w:ascii="Calibri" w:hAnsi="Calibri" w:cs="Calibri"/>
          <w:noProof/>
          <w:kern w:val="0"/>
          <w:szCs w:val="24"/>
        </w:rPr>
        <w:t>. 2014;27(1):29-34. doi:10.1590/1982-0194201400007</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14. </w:t>
      </w:r>
      <w:r w:rsidRPr="00596FF4">
        <w:rPr>
          <w:rFonts w:ascii="Calibri" w:hAnsi="Calibri" w:cs="Calibri"/>
          <w:noProof/>
          <w:kern w:val="0"/>
          <w:szCs w:val="24"/>
        </w:rPr>
        <w:tab/>
        <w:t xml:space="preserve">SalesC, TavaresR, AmadoL, et al. SP651ANXIETY AND DEPRESSION IN END STAGE RENAL DISEASE PATIENTS AND ITS ASSOCIATION WITH CLINICAL AND LABORATORIAL DATA. </w:t>
      </w:r>
      <w:r w:rsidRPr="00596FF4">
        <w:rPr>
          <w:rFonts w:ascii="Calibri" w:hAnsi="Calibri" w:cs="Calibri"/>
          <w:i/>
          <w:iCs/>
          <w:noProof/>
          <w:kern w:val="0"/>
          <w:szCs w:val="24"/>
        </w:rPr>
        <w:t>Nephrol Dial Transplant</w:t>
      </w:r>
      <w:r w:rsidRPr="00596FF4">
        <w:rPr>
          <w:rFonts w:ascii="Calibri" w:hAnsi="Calibri" w:cs="Calibri"/>
          <w:noProof/>
          <w:kern w:val="0"/>
          <w:szCs w:val="24"/>
        </w:rPr>
        <w:t>. 2017;32(suppl_3):iii355-iii355. doi:10.1093/ndt/gfx154.SP651</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15. </w:t>
      </w:r>
      <w:r w:rsidRPr="00596FF4">
        <w:rPr>
          <w:rFonts w:ascii="Calibri" w:hAnsi="Calibri" w:cs="Calibri"/>
          <w:noProof/>
          <w:kern w:val="0"/>
          <w:szCs w:val="24"/>
        </w:rPr>
        <w:tab/>
        <w:t xml:space="preserve">HaugenCE, MountfordA, WarsameF, et al. Incidence, Risk Factors, and Sequelae of Post-kidney Transplant Delirium. </w:t>
      </w:r>
      <w:r w:rsidRPr="00596FF4">
        <w:rPr>
          <w:rFonts w:ascii="Calibri" w:hAnsi="Calibri" w:cs="Calibri"/>
          <w:i/>
          <w:iCs/>
          <w:noProof/>
          <w:kern w:val="0"/>
          <w:szCs w:val="24"/>
        </w:rPr>
        <w:t>J Am Soc Nephrol</w:t>
      </w:r>
      <w:r w:rsidRPr="00596FF4">
        <w:rPr>
          <w:rFonts w:ascii="Calibri" w:hAnsi="Calibri" w:cs="Calibri"/>
          <w:noProof/>
          <w:kern w:val="0"/>
          <w:szCs w:val="24"/>
        </w:rPr>
        <w:t>. 2018;29(6):1752-1759. doi:10.1681/ASN.2018010064</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16. </w:t>
      </w:r>
      <w:r w:rsidRPr="00596FF4">
        <w:rPr>
          <w:rFonts w:ascii="Calibri" w:hAnsi="Calibri" w:cs="Calibri"/>
          <w:noProof/>
          <w:kern w:val="0"/>
          <w:szCs w:val="24"/>
        </w:rPr>
        <w:tab/>
        <w:t xml:space="preserve">MoffattH, MoorhouseP, MalleryL, LandryD, TennankoreK. Using the Frailty Assessment for Care Planning Tool (FACT) to screen elderly chronic kidney disease patients for frailty: the nurse experience. </w:t>
      </w:r>
      <w:r w:rsidRPr="00596FF4">
        <w:rPr>
          <w:rFonts w:ascii="Calibri" w:hAnsi="Calibri" w:cs="Calibri"/>
          <w:i/>
          <w:iCs/>
          <w:noProof/>
          <w:kern w:val="0"/>
          <w:szCs w:val="24"/>
        </w:rPr>
        <w:t>Clin Interv Aging</w:t>
      </w:r>
      <w:r w:rsidRPr="00596FF4">
        <w:rPr>
          <w:rFonts w:ascii="Calibri" w:hAnsi="Calibri" w:cs="Calibri"/>
          <w:noProof/>
          <w:kern w:val="0"/>
          <w:szCs w:val="24"/>
        </w:rPr>
        <w:t>. 2018;13:843.</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17. </w:t>
      </w:r>
      <w:r w:rsidRPr="00596FF4">
        <w:rPr>
          <w:rFonts w:ascii="Calibri" w:hAnsi="Calibri" w:cs="Calibri"/>
          <w:noProof/>
          <w:kern w:val="0"/>
          <w:szCs w:val="24"/>
        </w:rPr>
        <w:tab/>
        <w:t xml:space="preserve">LeeSJ, SonH, ShinSK. Influence of frailty on health-related quality of life in pre-dialysis patients with chronic kidney disease in Korea: a cross-sectional study. </w:t>
      </w:r>
      <w:r w:rsidRPr="00596FF4">
        <w:rPr>
          <w:rFonts w:ascii="Calibri" w:hAnsi="Calibri" w:cs="Calibri"/>
          <w:i/>
          <w:iCs/>
          <w:noProof/>
          <w:kern w:val="0"/>
          <w:szCs w:val="24"/>
        </w:rPr>
        <w:t>Heal Qual Life Outcomes</w:t>
      </w:r>
      <w:r w:rsidRPr="00596FF4">
        <w:rPr>
          <w:rFonts w:ascii="Calibri" w:hAnsi="Calibri" w:cs="Calibri"/>
          <w:noProof/>
          <w:kern w:val="0"/>
          <w:szCs w:val="24"/>
        </w:rPr>
        <w:t>. 2015;13:70. doi:10.1186/s12955-015-0270-0</w:t>
      </w:r>
    </w:p>
    <w:p w:rsidR="00596FF4" w:rsidRPr="00596FF4" w:rsidRDefault="00596FF4" w:rsidP="00596FF4">
      <w:pPr>
        <w:autoSpaceDE w:val="0"/>
        <w:autoSpaceDN w:val="0"/>
        <w:adjustRightInd w:val="0"/>
        <w:ind w:left="640" w:hanging="640"/>
        <w:rPr>
          <w:rFonts w:ascii="Calibri" w:hAnsi="Calibri" w:cs="Calibri"/>
          <w:noProof/>
        </w:rPr>
      </w:pPr>
      <w:r w:rsidRPr="00596FF4">
        <w:rPr>
          <w:rFonts w:ascii="Calibri" w:hAnsi="Calibri" w:cs="Calibri"/>
          <w:noProof/>
          <w:kern w:val="0"/>
          <w:szCs w:val="24"/>
        </w:rPr>
        <w:t xml:space="preserve">18. </w:t>
      </w:r>
      <w:r w:rsidRPr="00596FF4">
        <w:rPr>
          <w:rFonts w:ascii="Calibri" w:hAnsi="Calibri" w:cs="Calibri"/>
          <w:noProof/>
          <w:kern w:val="0"/>
          <w:szCs w:val="24"/>
        </w:rPr>
        <w:tab/>
        <w:t xml:space="preserve">McAdams-DeMarcoMA, OlorundareIO, YingH, et al. Frailty and Postkidney Transplant Health-Related Quality of Life. </w:t>
      </w:r>
      <w:r w:rsidRPr="00596FF4">
        <w:rPr>
          <w:rFonts w:ascii="Calibri" w:hAnsi="Calibri" w:cs="Calibri"/>
          <w:i/>
          <w:iCs/>
          <w:noProof/>
          <w:kern w:val="0"/>
          <w:szCs w:val="24"/>
        </w:rPr>
        <w:t>Transplantation</w:t>
      </w:r>
      <w:r w:rsidRPr="00596FF4">
        <w:rPr>
          <w:rFonts w:ascii="Calibri" w:hAnsi="Calibri" w:cs="Calibri"/>
          <w:noProof/>
          <w:kern w:val="0"/>
          <w:szCs w:val="24"/>
        </w:rPr>
        <w:t>. 2018;102(2):291-299. doi:10.1097/TP.0000000000001943</w:t>
      </w:r>
    </w:p>
    <w:p w:rsidR="00697E00" w:rsidRPr="00BA243C" w:rsidRDefault="00697E00" w:rsidP="00BA243C">
      <w:r>
        <w:fldChar w:fldCharType="end"/>
      </w:r>
    </w:p>
    <w:sectPr w:rsidR="00697E00" w:rsidRPr="00BA243C" w:rsidSect="00BA243C">
      <w:pgSz w:w="16838" w:h="11906" w:orient="landscape" w:code="9"/>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677" w:rsidRDefault="003F2677" w:rsidP="00D103FF">
      <w:r>
        <w:separator/>
      </w:r>
    </w:p>
  </w:endnote>
  <w:endnote w:type="continuationSeparator" w:id="0">
    <w:p w:rsidR="003F2677" w:rsidRDefault="003F2677" w:rsidP="00D1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677" w:rsidRDefault="003F2677" w:rsidP="00D103FF">
      <w:r>
        <w:separator/>
      </w:r>
    </w:p>
  </w:footnote>
  <w:footnote w:type="continuationSeparator" w:id="0">
    <w:p w:rsidR="003F2677" w:rsidRDefault="003F2677" w:rsidP="00D10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6201E"/>
    <w:multiLevelType w:val="hybridMultilevel"/>
    <w:tmpl w:val="8C04EFFA"/>
    <w:lvl w:ilvl="0" w:tplc="BAD036D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C232F95"/>
    <w:multiLevelType w:val="hybridMultilevel"/>
    <w:tmpl w:val="52201476"/>
    <w:lvl w:ilvl="0" w:tplc="605648B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31514C"/>
    <w:rsid w:val="00014CA0"/>
    <w:rsid w:val="00017BB3"/>
    <w:rsid w:val="00054770"/>
    <w:rsid w:val="00055A83"/>
    <w:rsid w:val="00060A16"/>
    <w:rsid w:val="00064343"/>
    <w:rsid w:val="00071C89"/>
    <w:rsid w:val="00083D58"/>
    <w:rsid w:val="000A015E"/>
    <w:rsid w:val="000B64BB"/>
    <w:rsid w:val="000C5634"/>
    <w:rsid w:val="000D2636"/>
    <w:rsid w:val="000E0703"/>
    <w:rsid w:val="00113CEC"/>
    <w:rsid w:val="00116A0C"/>
    <w:rsid w:val="0013614F"/>
    <w:rsid w:val="00137C48"/>
    <w:rsid w:val="00145D32"/>
    <w:rsid w:val="00150AA8"/>
    <w:rsid w:val="00153C71"/>
    <w:rsid w:val="0015424A"/>
    <w:rsid w:val="001752C5"/>
    <w:rsid w:val="001A237B"/>
    <w:rsid w:val="001B0401"/>
    <w:rsid w:val="001C1CBC"/>
    <w:rsid w:val="001E60E1"/>
    <w:rsid w:val="00205299"/>
    <w:rsid w:val="00221176"/>
    <w:rsid w:val="002442E0"/>
    <w:rsid w:val="00247648"/>
    <w:rsid w:val="00247690"/>
    <w:rsid w:val="0026721E"/>
    <w:rsid w:val="002A3C15"/>
    <w:rsid w:val="002F2F00"/>
    <w:rsid w:val="002F319D"/>
    <w:rsid w:val="002F590A"/>
    <w:rsid w:val="002F609A"/>
    <w:rsid w:val="0031514C"/>
    <w:rsid w:val="00316F6C"/>
    <w:rsid w:val="003555B9"/>
    <w:rsid w:val="00361DD1"/>
    <w:rsid w:val="00363A03"/>
    <w:rsid w:val="0038244B"/>
    <w:rsid w:val="003900F9"/>
    <w:rsid w:val="003A5724"/>
    <w:rsid w:val="003B33F4"/>
    <w:rsid w:val="003B4E5C"/>
    <w:rsid w:val="003C25F0"/>
    <w:rsid w:val="003E1C6E"/>
    <w:rsid w:val="003F2677"/>
    <w:rsid w:val="003F578B"/>
    <w:rsid w:val="0042328C"/>
    <w:rsid w:val="00435525"/>
    <w:rsid w:val="00445A8B"/>
    <w:rsid w:val="00461FAE"/>
    <w:rsid w:val="00463F83"/>
    <w:rsid w:val="0046487E"/>
    <w:rsid w:val="004A32A1"/>
    <w:rsid w:val="005143CB"/>
    <w:rsid w:val="005212BE"/>
    <w:rsid w:val="00541C54"/>
    <w:rsid w:val="00542EF1"/>
    <w:rsid w:val="005441DC"/>
    <w:rsid w:val="005554EA"/>
    <w:rsid w:val="00577729"/>
    <w:rsid w:val="00596FF4"/>
    <w:rsid w:val="005A4E26"/>
    <w:rsid w:val="005C3D44"/>
    <w:rsid w:val="005C4872"/>
    <w:rsid w:val="005F21C7"/>
    <w:rsid w:val="00611178"/>
    <w:rsid w:val="0061462A"/>
    <w:rsid w:val="00621C9F"/>
    <w:rsid w:val="0063656D"/>
    <w:rsid w:val="00646C52"/>
    <w:rsid w:val="006702E0"/>
    <w:rsid w:val="00697E00"/>
    <w:rsid w:val="006B1C0A"/>
    <w:rsid w:val="006C094D"/>
    <w:rsid w:val="006D188E"/>
    <w:rsid w:val="006E22D5"/>
    <w:rsid w:val="006E7686"/>
    <w:rsid w:val="006F0209"/>
    <w:rsid w:val="006F1C83"/>
    <w:rsid w:val="006F479A"/>
    <w:rsid w:val="00707A88"/>
    <w:rsid w:val="00712FBC"/>
    <w:rsid w:val="00771C6B"/>
    <w:rsid w:val="007743FB"/>
    <w:rsid w:val="007750B0"/>
    <w:rsid w:val="00785E1A"/>
    <w:rsid w:val="007A55D8"/>
    <w:rsid w:val="007D5EE3"/>
    <w:rsid w:val="007E221B"/>
    <w:rsid w:val="007E29BD"/>
    <w:rsid w:val="007F3BF7"/>
    <w:rsid w:val="00825612"/>
    <w:rsid w:val="00827399"/>
    <w:rsid w:val="00831589"/>
    <w:rsid w:val="008405CD"/>
    <w:rsid w:val="0084236C"/>
    <w:rsid w:val="008B2816"/>
    <w:rsid w:val="008B6A3E"/>
    <w:rsid w:val="008E281F"/>
    <w:rsid w:val="008E6B2D"/>
    <w:rsid w:val="008F03BA"/>
    <w:rsid w:val="0091200E"/>
    <w:rsid w:val="00912CE2"/>
    <w:rsid w:val="00917ADE"/>
    <w:rsid w:val="00947F2D"/>
    <w:rsid w:val="00955837"/>
    <w:rsid w:val="00955FED"/>
    <w:rsid w:val="00956BE6"/>
    <w:rsid w:val="0099519F"/>
    <w:rsid w:val="009B38DE"/>
    <w:rsid w:val="009F6C6E"/>
    <w:rsid w:val="00A01221"/>
    <w:rsid w:val="00A05676"/>
    <w:rsid w:val="00A31EDE"/>
    <w:rsid w:val="00A3289C"/>
    <w:rsid w:val="00A374BB"/>
    <w:rsid w:val="00A4328E"/>
    <w:rsid w:val="00A519D1"/>
    <w:rsid w:val="00A51B45"/>
    <w:rsid w:val="00A52136"/>
    <w:rsid w:val="00A5308A"/>
    <w:rsid w:val="00A73D49"/>
    <w:rsid w:val="00A75741"/>
    <w:rsid w:val="00A75A36"/>
    <w:rsid w:val="00A85838"/>
    <w:rsid w:val="00A902F7"/>
    <w:rsid w:val="00A910C1"/>
    <w:rsid w:val="00AB114E"/>
    <w:rsid w:val="00AC2C14"/>
    <w:rsid w:val="00AC35EA"/>
    <w:rsid w:val="00AD7A7F"/>
    <w:rsid w:val="00AE2EA5"/>
    <w:rsid w:val="00B36D00"/>
    <w:rsid w:val="00B36F28"/>
    <w:rsid w:val="00B44D98"/>
    <w:rsid w:val="00B6446D"/>
    <w:rsid w:val="00B747A1"/>
    <w:rsid w:val="00B773DF"/>
    <w:rsid w:val="00B94173"/>
    <w:rsid w:val="00BA243C"/>
    <w:rsid w:val="00BB0513"/>
    <w:rsid w:val="00BC186A"/>
    <w:rsid w:val="00BD12DC"/>
    <w:rsid w:val="00C04DFD"/>
    <w:rsid w:val="00C11A15"/>
    <w:rsid w:val="00C16A64"/>
    <w:rsid w:val="00C30522"/>
    <w:rsid w:val="00C32753"/>
    <w:rsid w:val="00C33A01"/>
    <w:rsid w:val="00C4071D"/>
    <w:rsid w:val="00C6305D"/>
    <w:rsid w:val="00C76590"/>
    <w:rsid w:val="00C84EDE"/>
    <w:rsid w:val="00CA7998"/>
    <w:rsid w:val="00CD53B2"/>
    <w:rsid w:val="00CE60C9"/>
    <w:rsid w:val="00CE77E7"/>
    <w:rsid w:val="00CF38DD"/>
    <w:rsid w:val="00D103FF"/>
    <w:rsid w:val="00D209DE"/>
    <w:rsid w:val="00D50400"/>
    <w:rsid w:val="00DA5F6A"/>
    <w:rsid w:val="00DB0126"/>
    <w:rsid w:val="00DD160B"/>
    <w:rsid w:val="00DE2A53"/>
    <w:rsid w:val="00DE5FCF"/>
    <w:rsid w:val="00DF7657"/>
    <w:rsid w:val="00E40429"/>
    <w:rsid w:val="00E80DF0"/>
    <w:rsid w:val="00E85B49"/>
    <w:rsid w:val="00EE167D"/>
    <w:rsid w:val="00EE7B04"/>
    <w:rsid w:val="00F008A5"/>
    <w:rsid w:val="00F04062"/>
    <w:rsid w:val="00F046B9"/>
    <w:rsid w:val="00F15657"/>
    <w:rsid w:val="00F32795"/>
    <w:rsid w:val="00F43EA1"/>
    <w:rsid w:val="00F60947"/>
    <w:rsid w:val="00F76EA4"/>
    <w:rsid w:val="00FA60C4"/>
    <w:rsid w:val="00FD31EA"/>
    <w:rsid w:val="00FD4516"/>
    <w:rsid w:val="00FE29A7"/>
    <w:rsid w:val="00FE4047"/>
    <w:rsid w:val="00FF2A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3BB5C9-BDCD-410E-9FBF-86C8CCEE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6E22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435525"/>
    <w:pPr>
      <w:ind w:leftChars="200" w:left="480"/>
    </w:pPr>
  </w:style>
  <w:style w:type="paragraph" w:styleId="a5">
    <w:name w:val="header"/>
    <w:basedOn w:val="a"/>
    <w:link w:val="a6"/>
    <w:uiPriority w:val="99"/>
    <w:unhideWhenUsed/>
    <w:rsid w:val="00D103FF"/>
    <w:pPr>
      <w:tabs>
        <w:tab w:val="center" w:pos="4153"/>
        <w:tab w:val="right" w:pos="8306"/>
      </w:tabs>
      <w:snapToGrid w:val="0"/>
    </w:pPr>
    <w:rPr>
      <w:sz w:val="20"/>
      <w:szCs w:val="20"/>
    </w:rPr>
  </w:style>
  <w:style w:type="character" w:customStyle="1" w:styleId="a6">
    <w:name w:val="頁首 字元"/>
    <w:basedOn w:val="a0"/>
    <w:link w:val="a5"/>
    <w:uiPriority w:val="99"/>
    <w:rsid w:val="00D103FF"/>
    <w:rPr>
      <w:sz w:val="20"/>
      <w:szCs w:val="20"/>
    </w:rPr>
  </w:style>
  <w:style w:type="paragraph" w:styleId="a7">
    <w:name w:val="footer"/>
    <w:basedOn w:val="a"/>
    <w:link w:val="a8"/>
    <w:uiPriority w:val="99"/>
    <w:unhideWhenUsed/>
    <w:rsid w:val="00D103FF"/>
    <w:pPr>
      <w:tabs>
        <w:tab w:val="center" w:pos="4153"/>
        <w:tab w:val="right" w:pos="8306"/>
      </w:tabs>
      <w:snapToGrid w:val="0"/>
    </w:pPr>
    <w:rPr>
      <w:sz w:val="20"/>
      <w:szCs w:val="20"/>
    </w:rPr>
  </w:style>
  <w:style w:type="character" w:customStyle="1" w:styleId="a8">
    <w:name w:val="頁尾 字元"/>
    <w:basedOn w:val="a0"/>
    <w:link w:val="a7"/>
    <w:uiPriority w:val="99"/>
    <w:rsid w:val="00D103F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74795">
      <w:bodyDiv w:val="1"/>
      <w:marLeft w:val="0"/>
      <w:marRight w:val="0"/>
      <w:marTop w:val="0"/>
      <w:marBottom w:val="0"/>
      <w:divBdr>
        <w:top w:val="none" w:sz="0" w:space="0" w:color="auto"/>
        <w:left w:val="none" w:sz="0" w:space="0" w:color="auto"/>
        <w:bottom w:val="none" w:sz="0" w:space="0" w:color="auto"/>
        <w:right w:val="none" w:sz="0" w:space="0" w:color="auto"/>
      </w:divBdr>
    </w:div>
    <w:div w:id="468400861">
      <w:bodyDiv w:val="1"/>
      <w:marLeft w:val="0"/>
      <w:marRight w:val="0"/>
      <w:marTop w:val="0"/>
      <w:marBottom w:val="0"/>
      <w:divBdr>
        <w:top w:val="none" w:sz="0" w:space="0" w:color="auto"/>
        <w:left w:val="none" w:sz="0" w:space="0" w:color="auto"/>
        <w:bottom w:val="none" w:sz="0" w:space="0" w:color="auto"/>
        <w:right w:val="none" w:sz="0" w:space="0" w:color="auto"/>
      </w:divBdr>
    </w:div>
    <w:div w:id="525871333">
      <w:bodyDiv w:val="1"/>
      <w:marLeft w:val="0"/>
      <w:marRight w:val="0"/>
      <w:marTop w:val="0"/>
      <w:marBottom w:val="0"/>
      <w:divBdr>
        <w:top w:val="none" w:sz="0" w:space="0" w:color="auto"/>
        <w:left w:val="none" w:sz="0" w:space="0" w:color="auto"/>
        <w:bottom w:val="none" w:sz="0" w:space="0" w:color="auto"/>
        <w:right w:val="none" w:sz="0" w:space="0" w:color="auto"/>
      </w:divBdr>
    </w:div>
    <w:div w:id="582224704">
      <w:bodyDiv w:val="1"/>
      <w:marLeft w:val="0"/>
      <w:marRight w:val="0"/>
      <w:marTop w:val="0"/>
      <w:marBottom w:val="0"/>
      <w:divBdr>
        <w:top w:val="none" w:sz="0" w:space="0" w:color="auto"/>
        <w:left w:val="none" w:sz="0" w:space="0" w:color="auto"/>
        <w:bottom w:val="none" w:sz="0" w:space="0" w:color="auto"/>
        <w:right w:val="none" w:sz="0" w:space="0" w:color="auto"/>
      </w:divBdr>
    </w:div>
    <w:div w:id="591353569">
      <w:bodyDiv w:val="1"/>
      <w:marLeft w:val="0"/>
      <w:marRight w:val="0"/>
      <w:marTop w:val="0"/>
      <w:marBottom w:val="0"/>
      <w:divBdr>
        <w:top w:val="none" w:sz="0" w:space="0" w:color="auto"/>
        <w:left w:val="none" w:sz="0" w:space="0" w:color="auto"/>
        <w:bottom w:val="none" w:sz="0" w:space="0" w:color="auto"/>
        <w:right w:val="none" w:sz="0" w:space="0" w:color="auto"/>
      </w:divBdr>
    </w:div>
    <w:div w:id="787161097">
      <w:bodyDiv w:val="1"/>
      <w:marLeft w:val="0"/>
      <w:marRight w:val="0"/>
      <w:marTop w:val="0"/>
      <w:marBottom w:val="0"/>
      <w:divBdr>
        <w:top w:val="none" w:sz="0" w:space="0" w:color="auto"/>
        <w:left w:val="none" w:sz="0" w:space="0" w:color="auto"/>
        <w:bottom w:val="none" w:sz="0" w:space="0" w:color="auto"/>
        <w:right w:val="none" w:sz="0" w:space="0" w:color="auto"/>
      </w:divBdr>
    </w:div>
    <w:div w:id="1288126172">
      <w:bodyDiv w:val="1"/>
      <w:marLeft w:val="0"/>
      <w:marRight w:val="0"/>
      <w:marTop w:val="0"/>
      <w:marBottom w:val="0"/>
      <w:divBdr>
        <w:top w:val="none" w:sz="0" w:space="0" w:color="auto"/>
        <w:left w:val="none" w:sz="0" w:space="0" w:color="auto"/>
        <w:bottom w:val="none" w:sz="0" w:space="0" w:color="auto"/>
        <w:right w:val="none" w:sz="0" w:space="0" w:color="auto"/>
      </w:divBdr>
    </w:div>
    <w:div w:id="1539970264">
      <w:bodyDiv w:val="1"/>
      <w:marLeft w:val="0"/>
      <w:marRight w:val="0"/>
      <w:marTop w:val="0"/>
      <w:marBottom w:val="0"/>
      <w:divBdr>
        <w:top w:val="none" w:sz="0" w:space="0" w:color="auto"/>
        <w:left w:val="none" w:sz="0" w:space="0" w:color="auto"/>
        <w:bottom w:val="none" w:sz="0" w:space="0" w:color="auto"/>
        <w:right w:val="none" w:sz="0" w:space="0" w:color="auto"/>
      </w:divBdr>
    </w:div>
    <w:div w:id="1570457699">
      <w:bodyDiv w:val="1"/>
      <w:marLeft w:val="0"/>
      <w:marRight w:val="0"/>
      <w:marTop w:val="0"/>
      <w:marBottom w:val="0"/>
      <w:divBdr>
        <w:top w:val="none" w:sz="0" w:space="0" w:color="auto"/>
        <w:left w:val="none" w:sz="0" w:space="0" w:color="auto"/>
        <w:bottom w:val="none" w:sz="0" w:space="0" w:color="auto"/>
        <w:right w:val="none" w:sz="0" w:space="0" w:color="auto"/>
      </w:divBdr>
    </w:div>
    <w:div w:id="1620070120">
      <w:bodyDiv w:val="1"/>
      <w:marLeft w:val="0"/>
      <w:marRight w:val="0"/>
      <w:marTop w:val="0"/>
      <w:marBottom w:val="0"/>
      <w:divBdr>
        <w:top w:val="none" w:sz="0" w:space="0" w:color="auto"/>
        <w:left w:val="none" w:sz="0" w:space="0" w:color="auto"/>
        <w:bottom w:val="none" w:sz="0" w:space="0" w:color="auto"/>
        <w:right w:val="none" w:sz="0" w:space="0" w:color="auto"/>
      </w:divBdr>
    </w:div>
    <w:div w:id="1926106898">
      <w:bodyDiv w:val="1"/>
      <w:marLeft w:val="0"/>
      <w:marRight w:val="0"/>
      <w:marTop w:val="0"/>
      <w:marBottom w:val="0"/>
      <w:divBdr>
        <w:top w:val="none" w:sz="0" w:space="0" w:color="auto"/>
        <w:left w:val="none" w:sz="0" w:space="0" w:color="auto"/>
        <w:bottom w:val="none" w:sz="0" w:space="0" w:color="auto"/>
        <w:right w:val="none" w:sz="0" w:space="0" w:color="auto"/>
      </w:divBdr>
    </w:div>
    <w:div w:id="1996494691">
      <w:bodyDiv w:val="1"/>
      <w:marLeft w:val="0"/>
      <w:marRight w:val="0"/>
      <w:marTop w:val="0"/>
      <w:marBottom w:val="0"/>
      <w:divBdr>
        <w:top w:val="none" w:sz="0" w:space="0" w:color="auto"/>
        <w:left w:val="none" w:sz="0" w:space="0" w:color="auto"/>
        <w:bottom w:val="none" w:sz="0" w:space="0" w:color="auto"/>
        <w:right w:val="none" w:sz="0" w:space="0" w:color="auto"/>
      </w:divBdr>
    </w:div>
    <w:div w:id="21172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370321B4-C2CA-46A8-BB63-F9C1F682E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Pages>
  <Words>6398</Words>
  <Characters>36475</Characters>
  <Application>Microsoft Office Word</Application>
  <DocSecurity>0</DocSecurity>
  <Lines>303</Lines>
  <Paragraphs>85</Paragraphs>
  <ScaleCrop>false</ScaleCrop>
  <Company/>
  <LinksUpToDate>false</LinksUpToDate>
  <CharactersWithSpaces>42788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21</cp:revision>
  <dcterms:created xsi:type="dcterms:W3CDTF">2019-02-11T05:25:00Z</dcterms:created>
  <dcterms:modified xsi:type="dcterms:W3CDTF">2019-02-16T00:10:00Z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4d9c74e8-af30-32eb-abc8-e767cc90368a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