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E00" w:rsidRDefault="00435525" w:rsidP="000D15F0">
      <w:bookmarkStart w:id="0" w:name="_GoBack"/>
      <w:bookmarkEnd w:id="0"/>
      <w:r>
        <w:rPr>
          <w:rFonts w:hint="eastAsia"/>
        </w:rPr>
        <w:t xml:space="preserve">* Risk factors or </w:t>
      </w:r>
      <w:r>
        <w:t>causes</w:t>
      </w:r>
      <w:r w:rsidR="000D15F0">
        <w:t xml:space="preserve"> of frailty among CKD patients.</w:t>
      </w:r>
    </w:p>
    <w:tbl>
      <w:tblPr>
        <w:tblStyle w:val="a3"/>
        <w:tblW w:w="0" w:type="auto"/>
        <w:tblLook w:val="04A0" w:firstRow="1" w:lastRow="0" w:firstColumn="1" w:lastColumn="0" w:noHBand="0" w:noVBand="1"/>
      </w:tblPr>
      <w:tblGrid>
        <w:gridCol w:w="305"/>
        <w:gridCol w:w="313"/>
        <w:gridCol w:w="1674"/>
        <w:gridCol w:w="244"/>
        <w:gridCol w:w="468"/>
        <w:gridCol w:w="401"/>
        <w:gridCol w:w="527"/>
        <w:gridCol w:w="152"/>
        <w:gridCol w:w="2212"/>
        <w:gridCol w:w="1745"/>
        <w:gridCol w:w="1443"/>
        <w:gridCol w:w="1178"/>
        <w:gridCol w:w="2033"/>
        <w:gridCol w:w="1253"/>
      </w:tblGrid>
      <w:tr w:rsidR="00AA5CAF" w:rsidTr="00AA5CAF">
        <w:tc>
          <w:tcPr>
            <w:tcW w:w="2292" w:type="dxa"/>
            <w:gridSpan w:val="3"/>
          </w:tcPr>
          <w:p w:rsidR="00F32795" w:rsidRDefault="00F32795" w:rsidP="008E6B2D"/>
        </w:tc>
        <w:tc>
          <w:tcPr>
            <w:tcW w:w="4004" w:type="dxa"/>
            <w:gridSpan w:val="6"/>
          </w:tcPr>
          <w:p w:rsidR="00F32795" w:rsidRDefault="00F32795" w:rsidP="008E6B2D">
            <w:r>
              <w:rPr>
                <w:rFonts w:hint="eastAsia"/>
              </w:rPr>
              <w:t>Effect (</w:t>
            </w:r>
            <w:r>
              <w:t>descriptions</w:t>
            </w:r>
            <w:r>
              <w:rPr>
                <w:rFonts w:hint="eastAsia"/>
              </w:rPr>
              <w:t>)</w:t>
            </w:r>
          </w:p>
        </w:tc>
        <w:tc>
          <w:tcPr>
            <w:tcW w:w="1745" w:type="dxa"/>
          </w:tcPr>
          <w:p w:rsidR="00F32795" w:rsidRDefault="00F32795" w:rsidP="00FF1526">
            <w:r>
              <w:rPr>
                <w:rFonts w:hint="eastAsia"/>
              </w:rPr>
              <w:t>Prevalence</w:t>
            </w:r>
          </w:p>
        </w:tc>
        <w:tc>
          <w:tcPr>
            <w:tcW w:w="1443" w:type="dxa"/>
          </w:tcPr>
          <w:p w:rsidR="00F32795" w:rsidRPr="006E22D5" w:rsidRDefault="00F32795" w:rsidP="008E6B2D">
            <w:r>
              <w:t>Frailty Assessment</w:t>
            </w:r>
          </w:p>
        </w:tc>
        <w:tc>
          <w:tcPr>
            <w:tcW w:w="1178" w:type="dxa"/>
          </w:tcPr>
          <w:p w:rsidR="00F32795" w:rsidRDefault="00F32795" w:rsidP="008E6B2D">
            <w:r>
              <w:rPr>
                <w:rFonts w:hint="eastAsia"/>
              </w:rPr>
              <w:t>Sample Size</w:t>
            </w:r>
          </w:p>
        </w:tc>
        <w:tc>
          <w:tcPr>
            <w:tcW w:w="2033" w:type="dxa"/>
          </w:tcPr>
          <w:p w:rsidR="00F32795" w:rsidRDefault="00F32795" w:rsidP="008E6B2D">
            <w:r>
              <w:rPr>
                <w:rFonts w:hint="eastAsia"/>
              </w:rPr>
              <w:t xml:space="preserve">CKD </w:t>
            </w:r>
            <w:r>
              <w:t>Pattern</w:t>
            </w:r>
          </w:p>
        </w:tc>
        <w:tc>
          <w:tcPr>
            <w:tcW w:w="1253" w:type="dxa"/>
          </w:tcPr>
          <w:p w:rsidR="00F32795" w:rsidRDefault="00F32795" w:rsidP="008E6B2D">
            <w:r>
              <w:rPr>
                <w:rFonts w:hint="eastAsia"/>
              </w:rPr>
              <w:t>Reference</w:t>
            </w:r>
          </w:p>
        </w:tc>
      </w:tr>
      <w:tr w:rsidR="00A132EC" w:rsidTr="00AA5CAF">
        <w:tc>
          <w:tcPr>
            <w:tcW w:w="2292" w:type="dxa"/>
            <w:gridSpan w:val="3"/>
          </w:tcPr>
          <w:p w:rsidR="00F32795" w:rsidRDefault="00F32795" w:rsidP="008E6B2D">
            <w:r>
              <w:rPr>
                <w:rFonts w:hint="eastAsia"/>
              </w:rPr>
              <w:t>Biological</w:t>
            </w:r>
          </w:p>
        </w:tc>
        <w:tc>
          <w:tcPr>
            <w:tcW w:w="4004" w:type="dxa"/>
            <w:gridSpan w:val="6"/>
          </w:tcPr>
          <w:p w:rsidR="00F32795" w:rsidRDefault="00F32795" w:rsidP="008E6B2D"/>
        </w:tc>
        <w:tc>
          <w:tcPr>
            <w:tcW w:w="1745" w:type="dxa"/>
          </w:tcPr>
          <w:p w:rsidR="00F32795" w:rsidRDefault="00F32795" w:rsidP="008E6B2D"/>
        </w:tc>
        <w:tc>
          <w:tcPr>
            <w:tcW w:w="1443" w:type="dxa"/>
          </w:tcPr>
          <w:p w:rsidR="00F32795" w:rsidRDefault="00F32795" w:rsidP="008E6B2D"/>
        </w:tc>
        <w:tc>
          <w:tcPr>
            <w:tcW w:w="1178" w:type="dxa"/>
          </w:tcPr>
          <w:p w:rsidR="00F32795" w:rsidRDefault="00F32795" w:rsidP="008E6B2D"/>
        </w:tc>
        <w:tc>
          <w:tcPr>
            <w:tcW w:w="2033" w:type="dxa"/>
          </w:tcPr>
          <w:p w:rsidR="00F32795" w:rsidRDefault="00F32795" w:rsidP="008E6B2D"/>
        </w:tc>
        <w:tc>
          <w:tcPr>
            <w:tcW w:w="1253" w:type="dxa"/>
          </w:tcPr>
          <w:p w:rsidR="00F32795" w:rsidRDefault="00F32795" w:rsidP="008E6B2D"/>
        </w:tc>
      </w:tr>
      <w:tr w:rsidR="00AA5CAF" w:rsidTr="00AA5CAF">
        <w:trPr>
          <w:trHeight w:val="164"/>
        </w:trPr>
        <w:tc>
          <w:tcPr>
            <w:tcW w:w="305" w:type="dxa"/>
            <w:vMerge w:val="restart"/>
          </w:tcPr>
          <w:p w:rsidR="00FF1526" w:rsidRDefault="00FF1526" w:rsidP="00FF1526"/>
        </w:tc>
        <w:tc>
          <w:tcPr>
            <w:tcW w:w="1987" w:type="dxa"/>
            <w:gridSpan w:val="2"/>
            <w:vMerge w:val="restart"/>
          </w:tcPr>
          <w:p w:rsidR="00FF1526" w:rsidRDefault="00FF1526" w:rsidP="00FF1526">
            <w:r>
              <w:rPr>
                <w:rFonts w:hint="eastAsia"/>
              </w:rPr>
              <w:t>Cardiovascular</w:t>
            </w:r>
          </w:p>
        </w:tc>
        <w:tc>
          <w:tcPr>
            <w:tcW w:w="4004" w:type="dxa"/>
            <w:gridSpan w:val="6"/>
          </w:tcPr>
          <w:p w:rsidR="00FF1526" w:rsidRDefault="00FF1526" w:rsidP="00FF1526">
            <w:r>
              <w:rPr>
                <w:rFonts w:hint="eastAsia"/>
              </w:rPr>
              <w:t>Heart Failure</w:t>
            </w:r>
          </w:p>
        </w:tc>
        <w:tc>
          <w:tcPr>
            <w:tcW w:w="1745" w:type="dxa"/>
          </w:tcPr>
          <w:p w:rsidR="00FF1526" w:rsidRDefault="00FF1526" w:rsidP="00FF1526">
            <w:r>
              <w:rPr>
                <w:rFonts w:hint="eastAsia"/>
              </w:rPr>
              <w:t>30</w:t>
            </w:r>
            <w:r>
              <w:t>%</w:t>
            </w:r>
            <w:r>
              <w:rPr>
                <w:rFonts w:hint="eastAsia"/>
              </w:rPr>
              <w:t xml:space="preserve"> </w:t>
            </w:r>
            <w:r>
              <w:t>vs 12%</w:t>
            </w:r>
          </w:p>
        </w:tc>
        <w:tc>
          <w:tcPr>
            <w:tcW w:w="1443" w:type="dxa"/>
          </w:tcPr>
          <w:p w:rsidR="00FF1526" w:rsidRDefault="00FF1526" w:rsidP="00F7258D">
            <w:r>
              <w:rPr>
                <w:rFonts w:hint="eastAsia"/>
              </w:rPr>
              <w:t>Fried Phenotypes</w:t>
            </w:r>
          </w:p>
        </w:tc>
        <w:tc>
          <w:tcPr>
            <w:tcW w:w="1178" w:type="dxa"/>
          </w:tcPr>
          <w:p w:rsidR="00FF1526" w:rsidRDefault="00FF1526" w:rsidP="00FF1526">
            <w:r>
              <w:rPr>
                <w:rFonts w:hint="eastAsia"/>
              </w:rPr>
              <w:t>336</w:t>
            </w:r>
          </w:p>
        </w:tc>
        <w:tc>
          <w:tcPr>
            <w:tcW w:w="2033" w:type="dxa"/>
          </w:tcPr>
          <w:p w:rsidR="00FF1526" w:rsidRDefault="002D5BFD" w:rsidP="002D5BFD">
            <w:r>
              <w:t>CKD stages 1-4</w:t>
            </w:r>
          </w:p>
        </w:tc>
        <w:tc>
          <w:tcPr>
            <w:tcW w:w="1253" w:type="dxa"/>
          </w:tcPr>
          <w:p w:rsidR="00FF1526" w:rsidRDefault="00FF1526" w:rsidP="00FF1526">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AA5CAF" w:rsidTr="00AA5CAF">
        <w:trPr>
          <w:trHeight w:val="164"/>
        </w:trPr>
        <w:tc>
          <w:tcPr>
            <w:tcW w:w="305" w:type="dxa"/>
            <w:vMerge/>
          </w:tcPr>
          <w:p w:rsidR="00FF1526" w:rsidRDefault="00FF1526" w:rsidP="00FF1526"/>
        </w:tc>
        <w:tc>
          <w:tcPr>
            <w:tcW w:w="1987" w:type="dxa"/>
            <w:gridSpan w:val="2"/>
            <w:vMerge/>
          </w:tcPr>
          <w:p w:rsidR="00FF1526" w:rsidRDefault="00FF1526" w:rsidP="00FF1526"/>
        </w:tc>
        <w:tc>
          <w:tcPr>
            <w:tcW w:w="4004" w:type="dxa"/>
            <w:gridSpan w:val="6"/>
          </w:tcPr>
          <w:p w:rsidR="00FF1526" w:rsidRDefault="00FF1526" w:rsidP="00FF1526">
            <w:r>
              <w:t>Angina</w:t>
            </w:r>
          </w:p>
        </w:tc>
        <w:tc>
          <w:tcPr>
            <w:tcW w:w="1745" w:type="dxa"/>
          </w:tcPr>
          <w:p w:rsidR="00FF1526" w:rsidRDefault="00FF1526" w:rsidP="00FF1526">
            <w:r>
              <w:rPr>
                <w:rFonts w:hint="eastAsia"/>
              </w:rPr>
              <w:t>34</w:t>
            </w:r>
            <w:r>
              <w:t>%</w:t>
            </w:r>
            <w:r>
              <w:rPr>
                <w:rFonts w:hint="eastAsia"/>
              </w:rPr>
              <w:t xml:space="preserve"> vs. </w:t>
            </w:r>
            <w:r>
              <w:t>22%</w:t>
            </w:r>
          </w:p>
        </w:tc>
        <w:tc>
          <w:tcPr>
            <w:tcW w:w="1443" w:type="dxa"/>
          </w:tcPr>
          <w:p w:rsidR="00FF1526" w:rsidRDefault="00FF1526" w:rsidP="00F7258D">
            <w:r>
              <w:rPr>
                <w:rFonts w:hint="eastAsia"/>
              </w:rPr>
              <w:t>Fried Phenotypes</w:t>
            </w:r>
          </w:p>
        </w:tc>
        <w:tc>
          <w:tcPr>
            <w:tcW w:w="1178" w:type="dxa"/>
          </w:tcPr>
          <w:p w:rsidR="00FF1526" w:rsidRDefault="00FF1526" w:rsidP="00FF1526">
            <w:r>
              <w:rPr>
                <w:rFonts w:hint="eastAsia"/>
              </w:rPr>
              <w:t>336</w:t>
            </w:r>
          </w:p>
        </w:tc>
        <w:tc>
          <w:tcPr>
            <w:tcW w:w="2033" w:type="dxa"/>
          </w:tcPr>
          <w:p w:rsidR="00FF1526" w:rsidRDefault="002D5BFD" w:rsidP="002D5BFD">
            <w:r>
              <w:t>CKD stages 1-4</w:t>
            </w:r>
          </w:p>
        </w:tc>
        <w:tc>
          <w:tcPr>
            <w:tcW w:w="1253" w:type="dxa"/>
          </w:tcPr>
          <w:p w:rsidR="00FF1526" w:rsidRDefault="00FF1526" w:rsidP="00FF1526">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rPr>
              <w:t>3</w:t>
            </w:r>
            <w:r>
              <w:fldChar w:fldCharType="end"/>
            </w:r>
          </w:p>
        </w:tc>
      </w:tr>
      <w:tr w:rsidR="00AA5CAF" w:rsidTr="00AA5CAF">
        <w:trPr>
          <w:trHeight w:val="164"/>
        </w:trPr>
        <w:tc>
          <w:tcPr>
            <w:tcW w:w="305" w:type="dxa"/>
          </w:tcPr>
          <w:p w:rsidR="00FF1526" w:rsidRDefault="00FF1526" w:rsidP="00FF1526"/>
        </w:tc>
        <w:tc>
          <w:tcPr>
            <w:tcW w:w="1987" w:type="dxa"/>
            <w:gridSpan w:val="2"/>
          </w:tcPr>
          <w:p w:rsidR="00FF1526" w:rsidRDefault="00FF1526" w:rsidP="00FF1526">
            <w:r>
              <w:rPr>
                <w:rFonts w:hint="eastAsia"/>
              </w:rPr>
              <w:t>Cerebrovascular</w:t>
            </w:r>
          </w:p>
        </w:tc>
        <w:tc>
          <w:tcPr>
            <w:tcW w:w="4004" w:type="dxa"/>
            <w:gridSpan w:val="6"/>
          </w:tcPr>
          <w:p w:rsidR="00FF1526" w:rsidRDefault="00FF1526" w:rsidP="00FF1526">
            <w:r>
              <w:rPr>
                <w:rFonts w:hint="eastAsia"/>
              </w:rPr>
              <w:t>Cerebrovascular Disease</w:t>
            </w:r>
            <w:r>
              <w:t xml:space="preserve"> Prevalence (%)</w:t>
            </w:r>
          </w:p>
        </w:tc>
        <w:tc>
          <w:tcPr>
            <w:tcW w:w="1745" w:type="dxa"/>
          </w:tcPr>
          <w:p w:rsidR="00FF1526" w:rsidRDefault="00FF1526" w:rsidP="00FF1526">
            <w:r>
              <w:rPr>
                <w:rFonts w:hint="eastAsia"/>
              </w:rPr>
              <w:t xml:space="preserve">26.4 vs. </w:t>
            </w:r>
            <w:r>
              <w:t>12.0</w:t>
            </w:r>
          </w:p>
        </w:tc>
        <w:tc>
          <w:tcPr>
            <w:tcW w:w="1443" w:type="dxa"/>
          </w:tcPr>
          <w:p w:rsidR="00FF1526" w:rsidRDefault="00FF1526" w:rsidP="00F7258D">
            <w:r>
              <w:rPr>
                <w:rFonts w:hint="eastAsia"/>
              </w:rPr>
              <w:t>Fried Phenotypes</w:t>
            </w:r>
          </w:p>
        </w:tc>
        <w:tc>
          <w:tcPr>
            <w:tcW w:w="1178" w:type="dxa"/>
          </w:tcPr>
          <w:p w:rsidR="00FF1526" w:rsidRDefault="00FF1526" w:rsidP="00FF1526">
            <w:r>
              <w:rPr>
                <w:rFonts w:hint="eastAsia"/>
              </w:rPr>
              <w:t>324</w:t>
            </w:r>
          </w:p>
        </w:tc>
        <w:tc>
          <w:tcPr>
            <w:tcW w:w="2033" w:type="dxa"/>
          </w:tcPr>
          <w:p w:rsidR="00FF1526" w:rsidRDefault="00FF1526" w:rsidP="00FF1526">
            <w:r>
              <w:rPr>
                <w:rFonts w:hint="eastAsia"/>
              </w:rPr>
              <w:t>ESRD</w:t>
            </w:r>
          </w:p>
        </w:tc>
        <w:tc>
          <w:tcPr>
            <w:tcW w:w="1253" w:type="dxa"/>
          </w:tcPr>
          <w:p w:rsidR="00FF1526" w:rsidRDefault="00FF1526" w:rsidP="00FF1526">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BD433B" w:rsidTr="00AA5CAF">
        <w:tc>
          <w:tcPr>
            <w:tcW w:w="305" w:type="dxa"/>
            <w:vMerge w:val="restart"/>
          </w:tcPr>
          <w:p w:rsidR="00BD433B" w:rsidRDefault="00BD433B" w:rsidP="00FF1526"/>
        </w:tc>
        <w:tc>
          <w:tcPr>
            <w:tcW w:w="1987" w:type="dxa"/>
            <w:gridSpan w:val="2"/>
            <w:vMerge w:val="restart"/>
          </w:tcPr>
          <w:p w:rsidR="00BD433B" w:rsidRDefault="00BD433B" w:rsidP="00FF1526">
            <w:r>
              <w:rPr>
                <w:rFonts w:hint="eastAsia"/>
              </w:rPr>
              <w:t>Neurological</w:t>
            </w:r>
          </w:p>
        </w:tc>
        <w:tc>
          <w:tcPr>
            <w:tcW w:w="4004" w:type="dxa"/>
            <w:gridSpan w:val="6"/>
          </w:tcPr>
          <w:p w:rsidR="00BD433B" w:rsidRDefault="00BD433B" w:rsidP="00FF1526">
            <w:r>
              <w:rPr>
                <w:rFonts w:hint="eastAsia"/>
              </w:rPr>
              <w:t>Brain Wave</w:t>
            </w:r>
          </w:p>
        </w:tc>
        <w:tc>
          <w:tcPr>
            <w:tcW w:w="1745" w:type="dxa"/>
          </w:tcPr>
          <w:p w:rsidR="00BD433B" w:rsidRDefault="00BD433B" w:rsidP="00FF1526">
            <w:r>
              <w:rPr>
                <w:rFonts w:hint="eastAsia"/>
              </w:rPr>
              <w:t>F vs. NF</w:t>
            </w:r>
          </w:p>
        </w:tc>
        <w:tc>
          <w:tcPr>
            <w:tcW w:w="1443" w:type="dxa"/>
            <w:vMerge w:val="restart"/>
          </w:tcPr>
          <w:p w:rsidR="00BD433B" w:rsidRDefault="00BD433B" w:rsidP="00FF1526">
            <w:r>
              <w:t>Simple FRAIL scale (SFS)</w:t>
            </w:r>
          </w:p>
        </w:tc>
        <w:tc>
          <w:tcPr>
            <w:tcW w:w="1178" w:type="dxa"/>
            <w:vMerge w:val="restart"/>
          </w:tcPr>
          <w:p w:rsidR="00BD433B" w:rsidRDefault="00BD433B" w:rsidP="00FF1526">
            <w:r>
              <w:rPr>
                <w:rFonts w:hint="eastAsia"/>
              </w:rPr>
              <w:t>46</w:t>
            </w:r>
          </w:p>
        </w:tc>
        <w:tc>
          <w:tcPr>
            <w:tcW w:w="2033" w:type="dxa"/>
            <w:vMerge w:val="restart"/>
          </w:tcPr>
          <w:p w:rsidR="00BD433B" w:rsidRDefault="00BD433B" w:rsidP="00FF1526">
            <w:r>
              <w:rPr>
                <w:rFonts w:hint="eastAsia"/>
              </w:rPr>
              <w:t>ESRD</w:t>
            </w:r>
            <w:r>
              <w:t>, under chronic dialysis</w:t>
            </w:r>
          </w:p>
        </w:tc>
        <w:tc>
          <w:tcPr>
            <w:tcW w:w="1253" w:type="dxa"/>
            <w:vMerge w:val="restart"/>
          </w:tcPr>
          <w:p w:rsidR="00BD433B" w:rsidRDefault="00BD433B" w:rsidP="00FF1526">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577729">
              <w:rPr>
                <w:noProof/>
                <w:vertAlign w:val="superscript"/>
              </w:rPr>
              <w:t>6</w:t>
            </w:r>
            <w:r>
              <w:fldChar w:fldCharType="end"/>
            </w:r>
          </w:p>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 xml:space="preserve">Global </w:t>
            </w:r>
            <w:r>
              <w:rPr>
                <w:rFonts w:hint="eastAsia"/>
              </w:rPr>
              <w:t>DAR</w:t>
            </w:r>
          </w:p>
        </w:tc>
        <w:tc>
          <w:tcPr>
            <w:tcW w:w="1745" w:type="dxa"/>
          </w:tcPr>
          <w:p w:rsidR="00BD433B" w:rsidRDefault="00BD433B" w:rsidP="00FF1526">
            <w:r w:rsidRPr="00F15657">
              <w:t>283 ± 679 vs. 2971 ± 4859</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DARs (left frontal)</w:t>
            </w:r>
          </w:p>
        </w:tc>
        <w:tc>
          <w:tcPr>
            <w:tcW w:w="1745" w:type="dxa"/>
          </w:tcPr>
          <w:p w:rsidR="00BD433B" w:rsidRDefault="00BD433B" w:rsidP="00FF1526">
            <w:r w:rsidRPr="00F15657">
              <w:t>135 ± 250 vs. 3073 ± 4702</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DAR (</w:t>
            </w:r>
            <w:r>
              <w:rPr>
                <w:rFonts w:hint="eastAsia"/>
              </w:rPr>
              <w:t>l</w:t>
            </w:r>
            <w:r>
              <w:t>eft TO</w:t>
            </w:r>
            <w:r>
              <w:rPr>
                <w:rFonts w:hint="eastAsia"/>
              </w:rPr>
              <w:t>)</w:t>
            </w:r>
          </w:p>
        </w:tc>
        <w:tc>
          <w:tcPr>
            <w:tcW w:w="1745" w:type="dxa"/>
          </w:tcPr>
          <w:p w:rsidR="00BD433B" w:rsidRDefault="00BD433B" w:rsidP="00FF1526">
            <w:r>
              <w:t>197 ± 318 vs. 3708 ± 6398</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DAR (c</w:t>
            </w:r>
            <w:r w:rsidRPr="00F15657">
              <w:t>entral</w:t>
            </w:r>
            <w:r>
              <w:t>)</w:t>
            </w:r>
          </w:p>
        </w:tc>
        <w:tc>
          <w:tcPr>
            <w:tcW w:w="1745" w:type="dxa"/>
          </w:tcPr>
          <w:p w:rsidR="00BD433B" w:rsidRDefault="00BD433B" w:rsidP="00FF1526">
            <w:r>
              <w:t>55 ± 96 vs. 1773 ± 3262</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DAR (right TO)</w:t>
            </w:r>
          </w:p>
        </w:tc>
        <w:tc>
          <w:tcPr>
            <w:tcW w:w="1745" w:type="dxa"/>
          </w:tcPr>
          <w:p w:rsidR="00BD433B" w:rsidRDefault="00BD433B" w:rsidP="00FF1526">
            <w:r>
              <w:t>187 ± 261 vs. 4400 ± 7763</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rPr>
                <w:rFonts w:hint="eastAsia"/>
              </w:rPr>
              <w:t>Global DTABR</w:t>
            </w:r>
          </w:p>
        </w:tc>
        <w:tc>
          <w:tcPr>
            <w:tcW w:w="1745" w:type="dxa"/>
          </w:tcPr>
          <w:p w:rsidR="00BD433B" w:rsidRDefault="00BD433B" w:rsidP="00FF1526">
            <w:r w:rsidRPr="00F15657">
              <w:t xml:space="preserve">191 ± 469 vs. </w:t>
            </w:r>
            <w:r w:rsidRPr="00F15657">
              <w:lastRenderedPageBreak/>
              <w:t>1781 ± 2793</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rsidRPr="00F15657">
              <w:t>DTABR (left frontal)</w:t>
            </w:r>
          </w:p>
        </w:tc>
        <w:tc>
          <w:tcPr>
            <w:tcW w:w="1745" w:type="dxa"/>
          </w:tcPr>
          <w:p w:rsidR="00BD433B" w:rsidRDefault="00BD433B" w:rsidP="00FF1526">
            <w:r w:rsidRPr="00F15657">
              <w:t>86 ± 158 vs. 1680 ± 2388</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rPr>
                <w:rFonts w:hint="eastAsia"/>
              </w:rPr>
              <w:t>DTA</w:t>
            </w:r>
            <w:r>
              <w:t>BR (left TO)</w:t>
            </w:r>
          </w:p>
        </w:tc>
        <w:tc>
          <w:tcPr>
            <w:tcW w:w="1745" w:type="dxa"/>
          </w:tcPr>
          <w:p w:rsidR="00BD433B" w:rsidRDefault="00BD433B" w:rsidP="00FF1526">
            <w:r w:rsidRPr="0084236C">
              <w:t>130 ± 210 vs. 1884 ± 2828</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t>DTABR (central)</w:t>
            </w:r>
          </w:p>
        </w:tc>
        <w:tc>
          <w:tcPr>
            <w:tcW w:w="1745" w:type="dxa"/>
          </w:tcPr>
          <w:p w:rsidR="00BD433B" w:rsidRDefault="00BD433B" w:rsidP="00FF1526">
            <w:r w:rsidRPr="0084236C">
              <w:t>39 ± 65 vs. 1132 ± 1957</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1113" w:type="dxa"/>
            <w:gridSpan w:val="3"/>
          </w:tcPr>
          <w:p w:rsidR="00BD433B" w:rsidRDefault="00BD433B" w:rsidP="00FF1526"/>
        </w:tc>
        <w:tc>
          <w:tcPr>
            <w:tcW w:w="2891" w:type="dxa"/>
            <w:gridSpan w:val="3"/>
          </w:tcPr>
          <w:p w:rsidR="00BD433B" w:rsidRDefault="00BD433B" w:rsidP="00FF1526">
            <w:r>
              <w:rPr>
                <w:rFonts w:hint="eastAsia"/>
              </w:rPr>
              <w:t>DTABR (</w:t>
            </w:r>
            <w:r>
              <w:t>right TO</w:t>
            </w:r>
            <w:r>
              <w:rPr>
                <w:rFonts w:hint="eastAsia"/>
              </w:rPr>
              <w:t>)</w:t>
            </w:r>
          </w:p>
        </w:tc>
        <w:tc>
          <w:tcPr>
            <w:tcW w:w="1745" w:type="dxa"/>
          </w:tcPr>
          <w:p w:rsidR="00BD433B" w:rsidRPr="0084236C" w:rsidRDefault="00BD433B" w:rsidP="00FF1526">
            <w:r w:rsidRPr="0084236C">
              <w:t>126 ± 178 vs. 2960 ± </w:t>
            </w:r>
            <w:r>
              <w:t>5271</w:t>
            </w:r>
          </w:p>
        </w:tc>
        <w:tc>
          <w:tcPr>
            <w:tcW w:w="1443" w:type="dxa"/>
            <w:vMerge/>
          </w:tcPr>
          <w:p w:rsidR="00BD433B" w:rsidRDefault="00BD433B" w:rsidP="00FF1526"/>
        </w:tc>
        <w:tc>
          <w:tcPr>
            <w:tcW w:w="1178" w:type="dxa"/>
            <w:vMerge/>
          </w:tcPr>
          <w:p w:rsidR="00BD433B" w:rsidRDefault="00BD433B" w:rsidP="00FF1526"/>
        </w:tc>
        <w:tc>
          <w:tcPr>
            <w:tcW w:w="2033" w:type="dxa"/>
            <w:vMerge/>
          </w:tcPr>
          <w:p w:rsidR="00BD433B" w:rsidRDefault="00BD433B" w:rsidP="00FF1526"/>
        </w:tc>
        <w:tc>
          <w:tcPr>
            <w:tcW w:w="1253" w:type="dxa"/>
            <w:vMerge/>
          </w:tcPr>
          <w:p w:rsidR="00BD433B" w:rsidRDefault="00BD433B" w:rsidP="00FF1526"/>
        </w:tc>
      </w:tr>
      <w:tr w:rsidR="00BD433B" w:rsidTr="00AA5CAF">
        <w:tc>
          <w:tcPr>
            <w:tcW w:w="305" w:type="dxa"/>
            <w:vMerge w:val="restart"/>
          </w:tcPr>
          <w:p w:rsidR="00BD433B" w:rsidRDefault="00BD433B" w:rsidP="00FF1526"/>
        </w:tc>
        <w:tc>
          <w:tcPr>
            <w:tcW w:w="1987" w:type="dxa"/>
            <w:gridSpan w:val="2"/>
            <w:vMerge w:val="restart"/>
          </w:tcPr>
          <w:p w:rsidR="00BD433B" w:rsidRDefault="00BD433B" w:rsidP="00FF1526">
            <w:r>
              <w:rPr>
                <w:rFonts w:hint="eastAsia"/>
              </w:rPr>
              <w:t>Cognitive</w:t>
            </w:r>
          </w:p>
        </w:tc>
        <w:tc>
          <w:tcPr>
            <w:tcW w:w="4004" w:type="dxa"/>
            <w:gridSpan w:val="6"/>
          </w:tcPr>
          <w:p w:rsidR="00BD433B" w:rsidRPr="002F2F00" w:rsidRDefault="00BD433B" w:rsidP="00FF1526">
            <w:pPr>
              <w:rPr>
                <w:color w:val="A6A6A6" w:themeColor="background1" w:themeShade="A6"/>
              </w:rPr>
            </w:pPr>
            <w:r w:rsidRPr="002F2F00">
              <w:rPr>
                <w:color w:val="A6A6A6" w:themeColor="background1" w:themeShade="A6"/>
              </w:rPr>
              <w:t>Mini-Mental State Examination (</w:t>
            </w:r>
            <w:r w:rsidRPr="002F2F00">
              <w:rPr>
                <w:rFonts w:hint="eastAsia"/>
                <w:color w:val="A6A6A6" w:themeColor="background1" w:themeShade="A6"/>
              </w:rPr>
              <w:t>MMSE)</w:t>
            </w:r>
          </w:p>
        </w:tc>
        <w:tc>
          <w:tcPr>
            <w:tcW w:w="1745" w:type="dxa"/>
          </w:tcPr>
          <w:p w:rsidR="00BD433B" w:rsidRPr="002F2F00" w:rsidRDefault="00BD433B" w:rsidP="00FF1526">
            <w:pPr>
              <w:rPr>
                <w:color w:val="A6A6A6" w:themeColor="background1" w:themeShade="A6"/>
              </w:rPr>
            </w:pPr>
          </w:p>
        </w:tc>
        <w:tc>
          <w:tcPr>
            <w:tcW w:w="1443" w:type="dxa"/>
            <w:vMerge w:val="restart"/>
          </w:tcPr>
          <w:p w:rsidR="00BD433B" w:rsidRPr="002F2F00" w:rsidRDefault="00BD433B" w:rsidP="00FF1526">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78" w:type="dxa"/>
            <w:vMerge w:val="restart"/>
          </w:tcPr>
          <w:p w:rsidR="00BD433B" w:rsidRPr="002F2F00" w:rsidRDefault="00BD433B" w:rsidP="00FF1526">
            <w:pPr>
              <w:rPr>
                <w:color w:val="A6A6A6" w:themeColor="background1" w:themeShade="A6"/>
              </w:rPr>
            </w:pPr>
            <w:r w:rsidRPr="002F2F00">
              <w:rPr>
                <w:color w:val="A6A6A6" w:themeColor="background1" w:themeShade="A6"/>
              </w:rPr>
              <w:t>137</w:t>
            </w:r>
          </w:p>
        </w:tc>
        <w:tc>
          <w:tcPr>
            <w:tcW w:w="2033" w:type="dxa"/>
            <w:vMerge w:val="restart"/>
          </w:tcPr>
          <w:p w:rsidR="00BD433B" w:rsidRPr="002F2F00" w:rsidRDefault="000C48DB" w:rsidP="00FF1526">
            <w:pPr>
              <w:rPr>
                <w:color w:val="A6A6A6" w:themeColor="background1" w:themeShade="A6"/>
              </w:rPr>
            </w:pPr>
            <w:r>
              <w:rPr>
                <w:rFonts w:hint="eastAsia"/>
                <w:color w:val="A6A6A6" w:themeColor="background1" w:themeShade="A6"/>
              </w:rPr>
              <w:t>Elderly</w:t>
            </w:r>
            <w:r>
              <w:rPr>
                <w:color w:val="A6A6A6" w:themeColor="background1" w:themeShade="A6"/>
              </w:rPr>
              <w:t xml:space="preserve">, </w:t>
            </w:r>
            <w:r w:rsidRPr="000C48DB">
              <w:rPr>
                <w:rFonts w:eastAsia="DengXian" w:cstheme="minorHAnsi"/>
                <w:color w:val="A6A6A6" w:themeColor="background1" w:themeShade="A6"/>
                <w:lang w:eastAsia="zh-CN"/>
              </w:rPr>
              <w:t>≥65y/o</w:t>
            </w:r>
          </w:p>
        </w:tc>
        <w:tc>
          <w:tcPr>
            <w:tcW w:w="1253" w:type="dxa"/>
            <w:vMerge w:val="restart"/>
          </w:tcPr>
          <w:p w:rsidR="00BD433B" w:rsidRPr="002F2F00" w:rsidRDefault="00BD433B" w:rsidP="00FF1526">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BD433B" w:rsidTr="00AA5CAF">
        <w:tc>
          <w:tcPr>
            <w:tcW w:w="305" w:type="dxa"/>
            <w:vMerge/>
          </w:tcPr>
          <w:p w:rsidR="00BD433B" w:rsidRDefault="00BD433B" w:rsidP="00FF1526"/>
        </w:tc>
        <w:tc>
          <w:tcPr>
            <w:tcW w:w="1987" w:type="dxa"/>
            <w:gridSpan w:val="2"/>
            <w:vMerge/>
          </w:tcPr>
          <w:p w:rsidR="00BD433B" w:rsidRDefault="00BD433B" w:rsidP="00FF1526"/>
        </w:tc>
        <w:tc>
          <w:tcPr>
            <w:tcW w:w="244" w:type="dxa"/>
          </w:tcPr>
          <w:p w:rsidR="00BD433B" w:rsidRPr="002F2F00" w:rsidRDefault="00BD433B" w:rsidP="00FF1526">
            <w:pPr>
              <w:rPr>
                <w:color w:val="A6A6A6" w:themeColor="background1" w:themeShade="A6"/>
              </w:rPr>
            </w:pPr>
          </w:p>
        </w:tc>
        <w:tc>
          <w:tcPr>
            <w:tcW w:w="3760" w:type="dxa"/>
            <w:gridSpan w:val="5"/>
          </w:tcPr>
          <w:p w:rsidR="00BD433B" w:rsidRPr="002F2F00" w:rsidRDefault="00BD433B" w:rsidP="00FF1526">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r w:rsidRPr="002F2F00">
              <w:rPr>
                <w:rFonts w:hint="eastAsia"/>
                <w:color w:val="A6A6A6" w:themeColor="background1" w:themeShade="A6"/>
              </w:rPr>
              <w:t xml:space="preserve"> </w:t>
            </w:r>
            <w:r w:rsidRPr="002F2F00">
              <w:rPr>
                <w:color w:val="A6A6A6" w:themeColor="background1" w:themeShade="A6"/>
              </w:rPr>
              <w:t xml:space="preserve">of </w:t>
            </w:r>
            <w:r w:rsidRPr="002F2F00">
              <w:rPr>
                <w:rFonts w:hint="eastAsia"/>
                <w:color w:val="A6A6A6" w:themeColor="background1" w:themeShade="A6"/>
              </w:rPr>
              <w:t>EFS scores</w:t>
            </w:r>
            <w:r w:rsidRPr="002F2F00">
              <w:rPr>
                <w:color w:val="A6A6A6" w:themeColor="background1" w:themeShade="A6"/>
              </w:rPr>
              <w:t xml:space="preserve"> with gross MMSE scores</w:t>
            </w:r>
          </w:p>
        </w:tc>
        <w:tc>
          <w:tcPr>
            <w:tcW w:w="1745" w:type="dxa"/>
          </w:tcPr>
          <w:p w:rsidR="00BD433B" w:rsidRPr="002F2F00" w:rsidRDefault="00BD433B" w:rsidP="00FF1526">
            <w:pPr>
              <w:rPr>
                <w:color w:val="A6A6A6" w:themeColor="background1" w:themeShade="A6"/>
              </w:rPr>
            </w:pPr>
            <w:r w:rsidRPr="002F2F00">
              <w:rPr>
                <w:rFonts w:hint="eastAsia"/>
                <w:color w:val="A6A6A6" w:themeColor="background1" w:themeShade="A6"/>
              </w:rPr>
              <w:t>-0.607</w:t>
            </w:r>
            <w:r>
              <w:rPr>
                <w:color w:val="A6A6A6" w:themeColor="background1" w:themeShade="A6"/>
              </w:rPr>
              <w:t xml:space="preserve"> (p&lt;0.01)</w:t>
            </w:r>
          </w:p>
        </w:tc>
        <w:tc>
          <w:tcPr>
            <w:tcW w:w="1443" w:type="dxa"/>
            <w:vMerge/>
          </w:tcPr>
          <w:p w:rsidR="00BD433B" w:rsidRPr="002F2F00" w:rsidRDefault="00BD433B" w:rsidP="00FF1526">
            <w:pPr>
              <w:rPr>
                <w:color w:val="A6A6A6" w:themeColor="background1" w:themeShade="A6"/>
              </w:rPr>
            </w:pPr>
          </w:p>
        </w:tc>
        <w:tc>
          <w:tcPr>
            <w:tcW w:w="1178" w:type="dxa"/>
            <w:vMerge/>
          </w:tcPr>
          <w:p w:rsidR="00BD433B" w:rsidRPr="002F2F00" w:rsidRDefault="00BD433B" w:rsidP="00FF1526">
            <w:pPr>
              <w:rPr>
                <w:color w:val="A6A6A6" w:themeColor="background1" w:themeShade="A6"/>
              </w:rPr>
            </w:pPr>
          </w:p>
        </w:tc>
        <w:tc>
          <w:tcPr>
            <w:tcW w:w="2033" w:type="dxa"/>
            <w:vMerge/>
          </w:tcPr>
          <w:p w:rsidR="00BD433B" w:rsidRPr="002F2F00" w:rsidRDefault="00BD433B" w:rsidP="00FF1526">
            <w:pPr>
              <w:rPr>
                <w:color w:val="A6A6A6" w:themeColor="background1" w:themeShade="A6"/>
              </w:rPr>
            </w:pPr>
          </w:p>
        </w:tc>
        <w:tc>
          <w:tcPr>
            <w:tcW w:w="1253" w:type="dxa"/>
            <w:vMerge/>
          </w:tcPr>
          <w:p w:rsidR="00BD433B" w:rsidRPr="002F2F00" w:rsidRDefault="00BD433B" w:rsidP="00FF1526">
            <w:pPr>
              <w:rPr>
                <w:color w:val="A6A6A6" w:themeColor="background1" w:themeShade="A6"/>
              </w:rPr>
            </w:pPr>
          </w:p>
        </w:tc>
      </w:tr>
      <w:tr w:rsidR="00BD433B" w:rsidTr="00AA5CAF">
        <w:tc>
          <w:tcPr>
            <w:tcW w:w="305" w:type="dxa"/>
            <w:vMerge/>
          </w:tcPr>
          <w:p w:rsidR="00BD433B" w:rsidRDefault="00BD433B" w:rsidP="00F7258D"/>
        </w:tc>
        <w:tc>
          <w:tcPr>
            <w:tcW w:w="1987" w:type="dxa"/>
            <w:gridSpan w:val="2"/>
            <w:vMerge/>
          </w:tcPr>
          <w:p w:rsidR="00BD433B" w:rsidRDefault="00BD433B" w:rsidP="00F7258D"/>
        </w:tc>
        <w:tc>
          <w:tcPr>
            <w:tcW w:w="4004" w:type="dxa"/>
            <w:gridSpan w:val="6"/>
          </w:tcPr>
          <w:p w:rsidR="00BD433B" w:rsidRDefault="00BD433B" w:rsidP="00F7258D">
            <w:r>
              <w:rPr>
                <w:rFonts w:hint="eastAsia"/>
              </w:rPr>
              <w:t xml:space="preserve">Executive </w:t>
            </w:r>
            <w:r>
              <w:t>Function</w:t>
            </w:r>
          </w:p>
        </w:tc>
        <w:tc>
          <w:tcPr>
            <w:tcW w:w="1745" w:type="dxa"/>
          </w:tcPr>
          <w:p w:rsidR="00BD433B" w:rsidRDefault="00BD433B" w:rsidP="00F7258D">
            <w:r>
              <w:rPr>
                <w:rFonts w:hint="eastAsia"/>
              </w:rPr>
              <w:t xml:space="preserve">F vs. </w:t>
            </w:r>
            <w:r>
              <w:t>NF at cohort entry</w:t>
            </w:r>
          </w:p>
        </w:tc>
        <w:tc>
          <w:tcPr>
            <w:tcW w:w="1443" w:type="dxa"/>
          </w:tcPr>
          <w:p w:rsidR="00BD433B" w:rsidRDefault="00BD433B" w:rsidP="00F7258D"/>
        </w:tc>
        <w:tc>
          <w:tcPr>
            <w:tcW w:w="1178" w:type="dxa"/>
          </w:tcPr>
          <w:p w:rsidR="00BD433B" w:rsidRDefault="00BD433B" w:rsidP="00F7258D"/>
        </w:tc>
        <w:tc>
          <w:tcPr>
            <w:tcW w:w="2033" w:type="dxa"/>
          </w:tcPr>
          <w:p w:rsidR="00BD433B" w:rsidRDefault="00BD433B" w:rsidP="00F7258D"/>
        </w:tc>
        <w:tc>
          <w:tcPr>
            <w:tcW w:w="1253" w:type="dxa"/>
          </w:tcPr>
          <w:p w:rsidR="00BD433B" w:rsidRDefault="00BD433B" w:rsidP="00F7258D"/>
        </w:tc>
      </w:tr>
      <w:tr w:rsidR="00BD433B" w:rsidTr="00AA5CAF">
        <w:tc>
          <w:tcPr>
            <w:tcW w:w="305" w:type="dxa"/>
            <w:vMerge/>
          </w:tcPr>
          <w:p w:rsidR="00BD433B" w:rsidRDefault="00BD433B" w:rsidP="00F7258D"/>
        </w:tc>
        <w:tc>
          <w:tcPr>
            <w:tcW w:w="1987" w:type="dxa"/>
            <w:gridSpan w:val="2"/>
            <w:vMerge/>
          </w:tcPr>
          <w:p w:rsidR="00BD433B" w:rsidRDefault="00BD433B" w:rsidP="00F7258D"/>
        </w:tc>
        <w:tc>
          <w:tcPr>
            <w:tcW w:w="244" w:type="dxa"/>
          </w:tcPr>
          <w:p w:rsidR="00BD433B" w:rsidRPr="00621C9F" w:rsidRDefault="00BD433B" w:rsidP="00F7258D"/>
        </w:tc>
        <w:tc>
          <w:tcPr>
            <w:tcW w:w="3760" w:type="dxa"/>
            <w:gridSpan w:val="5"/>
          </w:tcPr>
          <w:p w:rsidR="00BD433B" w:rsidRPr="00621C9F" w:rsidRDefault="00BD433B" w:rsidP="00F7258D">
            <w:r w:rsidRPr="00621C9F">
              <w:t>Trail Making Tests A</w:t>
            </w:r>
            <w:r>
              <w:t xml:space="preserve"> (</w:t>
            </w:r>
            <w:r>
              <w:rPr>
                <w:rFonts w:hint="eastAsia"/>
              </w:rPr>
              <w:t>TMTA</w:t>
            </w:r>
            <w:r>
              <w:t>) scores</w:t>
            </w:r>
          </w:p>
        </w:tc>
        <w:tc>
          <w:tcPr>
            <w:tcW w:w="1745" w:type="dxa"/>
          </w:tcPr>
          <w:p w:rsidR="00BD433B" w:rsidRDefault="00BD433B" w:rsidP="00A753B4">
            <w:r>
              <w:t>+1</w:t>
            </w:r>
            <w:r>
              <w:rPr>
                <w:rFonts w:hint="eastAsia"/>
              </w:rPr>
              <w:t>2.08</w:t>
            </w:r>
          </w:p>
        </w:tc>
        <w:tc>
          <w:tcPr>
            <w:tcW w:w="1443" w:type="dxa"/>
          </w:tcPr>
          <w:p w:rsidR="00BD433B" w:rsidRDefault="00BD433B" w:rsidP="00F7258D">
            <w:r>
              <w:rPr>
                <w:rFonts w:hint="eastAsia"/>
              </w:rPr>
              <w:t>Fried Phenotypes</w:t>
            </w:r>
          </w:p>
        </w:tc>
        <w:tc>
          <w:tcPr>
            <w:tcW w:w="1178" w:type="dxa"/>
          </w:tcPr>
          <w:p w:rsidR="00BD433B" w:rsidRDefault="00BD433B" w:rsidP="00F7258D">
            <w:r>
              <w:rPr>
                <w:rFonts w:hint="eastAsia"/>
              </w:rPr>
              <w:t>324</w:t>
            </w:r>
          </w:p>
        </w:tc>
        <w:tc>
          <w:tcPr>
            <w:tcW w:w="2033" w:type="dxa"/>
          </w:tcPr>
          <w:p w:rsidR="00BD433B" w:rsidRDefault="00BD433B" w:rsidP="00F7258D">
            <w:r>
              <w:rPr>
                <w:rFonts w:hint="eastAsia"/>
              </w:rPr>
              <w:t>ESRD</w:t>
            </w:r>
          </w:p>
        </w:tc>
        <w:tc>
          <w:tcPr>
            <w:tcW w:w="1253" w:type="dxa"/>
          </w:tcPr>
          <w:p w:rsidR="00BD433B" w:rsidRDefault="00BD433B" w:rsidP="00F7258D">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BD433B" w:rsidTr="00AA5CAF">
        <w:tc>
          <w:tcPr>
            <w:tcW w:w="305" w:type="dxa"/>
            <w:vMerge/>
          </w:tcPr>
          <w:p w:rsidR="00BD433B" w:rsidRDefault="00BD433B" w:rsidP="00F7258D"/>
        </w:tc>
        <w:tc>
          <w:tcPr>
            <w:tcW w:w="1987" w:type="dxa"/>
            <w:gridSpan w:val="2"/>
            <w:vMerge/>
          </w:tcPr>
          <w:p w:rsidR="00BD433B" w:rsidRDefault="00BD433B" w:rsidP="00F7258D"/>
        </w:tc>
        <w:tc>
          <w:tcPr>
            <w:tcW w:w="244" w:type="dxa"/>
          </w:tcPr>
          <w:p w:rsidR="00BD433B" w:rsidRPr="002F2F00" w:rsidRDefault="00BD433B" w:rsidP="00F7258D">
            <w:pPr>
              <w:rPr>
                <w:color w:val="A6A6A6" w:themeColor="background1" w:themeShade="A6"/>
              </w:rPr>
            </w:pPr>
          </w:p>
        </w:tc>
        <w:tc>
          <w:tcPr>
            <w:tcW w:w="3760" w:type="dxa"/>
            <w:gridSpan w:val="5"/>
          </w:tcPr>
          <w:p w:rsidR="00BD433B" w:rsidRPr="002F2F00" w:rsidRDefault="00BD433B" w:rsidP="00F7258D">
            <w:pPr>
              <w:rPr>
                <w:color w:val="A6A6A6" w:themeColor="background1" w:themeShade="A6"/>
              </w:rPr>
            </w:pPr>
            <w:r>
              <w:rPr>
                <w:rFonts w:hint="eastAsia"/>
              </w:rPr>
              <w:t>Trail Making Tests B (</w:t>
            </w:r>
            <w:r>
              <w:t>TMTB</w:t>
            </w:r>
            <w:r>
              <w:rPr>
                <w:rFonts w:hint="eastAsia"/>
              </w:rPr>
              <w:t>)</w:t>
            </w:r>
            <w:r>
              <w:t xml:space="preserve"> scores</w:t>
            </w:r>
          </w:p>
        </w:tc>
        <w:tc>
          <w:tcPr>
            <w:tcW w:w="1745" w:type="dxa"/>
          </w:tcPr>
          <w:p w:rsidR="00BD433B" w:rsidRPr="002F2F00" w:rsidRDefault="00BD433B" w:rsidP="00A753B4">
            <w:pPr>
              <w:rPr>
                <w:color w:val="A6A6A6" w:themeColor="background1" w:themeShade="A6"/>
              </w:rPr>
            </w:pPr>
            <w:r>
              <w:t>+</w:t>
            </w:r>
            <w:r>
              <w:rPr>
                <w:rFonts w:hint="eastAsia"/>
              </w:rPr>
              <w:t>33.15</w:t>
            </w:r>
          </w:p>
        </w:tc>
        <w:tc>
          <w:tcPr>
            <w:tcW w:w="1443" w:type="dxa"/>
          </w:tcPr>
          <w:p w:rsidR="00BD433B" w:rsidRPr="002F2F00" w:rsidRDefault="00BD433B" w:rsidP="00F7258D">
            <w:pPr>
              <w:rPr>
                <w:color w:val="A6A6A6" w:themeColor="background1" w:themeShade="A6"/>
              </w:rPr>
            </w:pPr>
            <w:r>
              <w:rPr>
                <w:rFonts w:hint="eastAsia"/>
              </w:rPr>
              <w:t>Fried Phenotypes</w:t>
            </w:r>
          </w:p>
        </w:tc>
        <w:tc>
          <w:tcPr>
            <w:tcW w:w="1178" w:type="dxa"/>
          </w:tcPr>
          <w:p w:rsidR="00BD433B" w:rsidRPr="002F2F00" w:rsidRDefault="00BD433B" w:rsidP="00F7258D">
            <w:pPr>
              <w:rPr>
                <w:color w:val="A6A6A6" w:themeColor="background1" w:themeShade="A6"/>
              </w:rPr>
            </w:pPr>
            <w:r>
              <w:rPr>
                <w:rFonts w:hint="eastAsia"/>
              </w:rPr>
              <w:t>324</w:t>
            </w:r>
          </w:p>
        </w:tc>
        <w:tc>
          <w:tcPr>
            <w:tcW w:w="2033" w:type="dxa"/>
          </w:tcPr>
          <w:p w:rsidR="00BD433B" w:rsidRPr="002F2F00" w:rsidRDefault="00BD433B" w:rsidP="00F7258D">
            <w:pPr>
              <w:rPr>
                <w:color w:val="A6A6A6" w:themeColor="background1" w:themeShade="A6"/>
              </w:rPr>
            </w:pPr>
            <w:r>
              <w:rPr>
                <w:rFonts w:hint="eastAsia"/>
              </w:rPr>
              <w:t>ESRD</w:t>
            </w:r>
          </w:p>
        </w:tc>
        <w:tc>
          <w:tcPr>
            <w:tcW w:w="1253" w:type="dxa"/>
          </w:tcPr>
          <w:p w:rsidR="00BD433B" w:rsidRPr="002F2F00" w:rsidRDefault="00BD433B" w:rsidP="00F7258D">
            <w:pPr>
              <w:rPr>
                <w:color w:val="A6A6A6" w:themeColor="background1" w:themeShade="A6"/>
              </w:rPr>
            </w:pPr>
            <w:r>
              <w:fldChar w:fldCharType="begin" w:fldLock="1"/>
            </w:r>
            <w:r>
              <w:instrText>ADDIN CSL_CITATION {"citationItems":[{"id":"ITEM-1","itemData":{"DOI":"10.2215/CJN.01960215","ISBN":"1555-9041","ISSN":"1555905X","PMID":"26573615","abstract":"BACKGROUND AND OBJECTIVES Patients of all ages undergoing hemodialysis (HD) have a high prevalence of cognitive impairment and worse cognitive function than 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rPr>
              <w:t>5</w:t>
            </w:r>
            <w:r>
              <w:fldChar w:fldCharType="end"/>
            </w:r>
          </w:p>
        </w:tc>
      </w:tr>
      <w:tr w:rsidR="00A132EC" w:rsidTr="00AA5CAF">
        <w:tc>
          <w:tcPr>
            <w:tcW w:w="305" w:type="dxa"/>
            <w:vMerge w:val="restart"/>
          </w:tcPr>
          <w:p w:rsidR="00AA5CAF" w:rsidRDefault="00AA5CAF" w:rsidP="00AA5CAF"/>
        </w:tc>
        <w:tc>
          <w:tcPr>
            <w:tcW w:w="1987" w:type="dxa"/>
            <w:gridSpan w:val="2"/>
            <w:vMerge w:val="restart"/>
          </w:tcPr>
          <w:p w:rsidR="00AA5CAF" w:rsidRDefault="00710D2E" w:rsidP="00AA5CAF">
            <w:r>
              <w:rPr>
                <w:rFonts w:hint="eastAsia"/>
              </w:rPr>
              <w:t>M</w:t>
            </w:r>
            <w:r>
              <w:t>icrobiota</w:t>
            </w:r>
          </w:p>
        </w:tc>
        <w:tc>
          <w:tcPr>
            <w:tcW w:w="4004" w:type="dxa"/>
            <w:gridSpan w:val="6"/>
          </w:tcPr>
          <w:p w:rsidR="00AA5CAF" w:rsidRPr="002F590A" w:rsidRDefault="00AA5CAF" w:rsidP="00AA5CAF">
            <w:r>
              <w:rPr>
                <w:rFonts w:hint="eastAsia"/>
              </w:rPr>
              <w:t>Gut Microbiota Composition</w:t>
            </w:r>
          </w:p>
        </w:tc>
        <w:tc>
          <w:tcPr>
            <w:tcW w:w="1745" w:type="dxa"/>
          </w:tcPr>
          <w:p w:rsidR="00AA5CAF" w:rsidRDefault="00AA5CAF" w:rsidP="00AA5CAF"/>
        </w:tc>
        <w:tc>
          <w:tcPr>
            <w:tcW w:w="1443" w:type="dxa"/>
            <w:vMerge w:val="restart"/>
          </w:tcPr>
          <w:p w:rsidR="00AA5CAF" w:rsidRDefault="00AA5CAF" w:rsidP="003D5DFD">
            <w:r>
              <w:rPr>
                <w:rFonts w:hint="eastAsia"/>
              </w:rPr>
              <w:t xml:space="preserve">Fried </w:t>
            </w:r>
            <w:r w:rsidR="003D5DFD">
              <w:rPr>
                <w:rFonts w:hint="eastAsia"/>
              </w:rPr>
              <w:t>Phenotype</w:t>
            </w:r>
            <w:r w:rsidR="003D5DFD">
              <w:t xml:space="preserve"> </w:t>
            </w:r>
            <w:r w:rsidR="003D5DFD">
              <w:lastRenderedPageBreak/>
              <w:t>score</w:t>
            </w:r>
          </w:p>
        </w:tc>
        <w:tc>
          <w:tcPr>
            <w:tcW w:w="1178" w:type="dxa"/>
            <w:vMerge w:val="restart"/>
          </w:tcPr>
          <w:p w:rsidR="00AA5CAF" w:rsidRDefault="00AA5CAF" w:rsidP="00AA5CAF">
            <w:r>
              <w:rPr>
                <w:rFonts w:hint="eastAsia"/>
              </w:rPr>
              <w:lastRenderedPageBreak/>
              <w:t>64</w:t>
            </w:r>
            <w:r>
              <w:t xml:space="preserve"> (and 15 </w:t>
            </w:r>
            <w:r>
              <w:lastRenderedPageBreak/>
              <w:t>control subjects)</w:t>
            </w:r>
          </w:p>
        </w:tc>
        <w:tc>
          <w:tcPr>
            <w:tcW w:w="2033" w:type="dxa"/>
            <w:vMerge w:val="restart"/>
          </w:tcPr>
          <w:p w:rsidR="00AA5CAF" w:rsidRDefault="00AA5CAF" w:rsidP="00AA5CAF">
            <w:r>
              <w:rPr>
                <w:rFonts w:hint="eastAsia"/>
              </w:rPr>
              <w:lastRenderedPageBreak/>
              <w:t>Stage 3b-4</w:t>
            </w:r>
            <w:r>
              <w:t>, eGFR 15-45ml/min</w:t>
            </w:r>
          </w:p>
        </w:tc>
        <w:tc>
          <w:tcPr>
            <w:tcW w:w="1253" w:type="dxa"/>
            <w:vMerge w:val="restart"/>
          </w:tcPr>
          <w:p w:rsidR="00AA5CAF" w:rsidRDefault="00AA5CAF" w:rsidP="00AA5CAF">
            <w:r>
              <w:fldChar w:fldCharType="begin" w:fldLock="1"/>
            </w:r>
            <w:r>
              <w:instrText>ADDIN CSL_CITATION {"citationItems":[{"id":"ITEM-1","itemData":{"DOI":"10.1093/ndt/gfy104.SuO004","ISSN":"0931-0509","author":[{"dropping-particle":"","family":"Margiotta","given":"Elisabetta","non-dropping-particle":"","parse-names":false,"suffix":""},{"dropping-particle":"","family":"Caldiroli","given":"Lara","non-dropping-particle":"","parse-names":false,"suffix":""},{"dropping-particle":"","family":"Vettoretti","given":"Simone","non-dropping-particle":"","parse-names":false,"suffix":""},{"dropping-particle":"","family":"Meneghini","given":"Maria Antonia Emilia","non-dropping-particle":"","parse-names":false,"suffix":""},{"dropping-particle":"","family":"Zanoni","given":"Francesca","non-dropping-particle":"","parse-names":false,"suffix":""},{"dropping-particle":"","family":"Miragoli","given":"Francesco","non-dropping-particle":"","parse-names":false,"suffix":""},{"dropping-particle":"","family":"Callegari","given":"Maria Luisa","non-dropping-particle":"","parse-names":false,"suffix":""},{"dropping-particle":"","family":"Messa","given":"Piergiorgio","non-dropping-particle":"","parse-names":false,"suffix":""}],"container-title":"Nephrology Dialysis Transplantation","id":"ITEM-1","issue":"suppl_1","issued":{"date-parts":[["2018","5","1"]]},"page":"i618-i618","publisher":"Oxford University Press","title":"SuO004GUT MICROBIOTA COMPOSITION AND FRAILTY IN ELDERLY PATIENTS WITH CHRONIC KIDNEY DISEASE","type":"article-journal","volume":"33"},"uris":["http://www.mendeley.com/documents/?uuid=6c09341d-dcf0-3a78-bece-65f6b8841853"]}],"mendeley":{"formattedCitation":"&lt;sup&gt;10&lt;/sup&gt;","plainTextFormattedCitation":"10","previouslyFormattedCitation":"&lt;sup&gt;11&lt;/sup&gt;"},"properties":{"noteIndex":0},"schema":"https://github.com/citation-style-language/schema/raw/master/csl-citation.json"}</w:instrText>
            </w:r>
            <w:r>
              <w:fldChar w:fldCharType="separate"/>
            </w:r>
            <w:r w:rsidRPr="00596FF4">
              <w:rPr>
                <w:noProof/>
                <w:vertAlign w:val="superscript"/>
              </w:rPr>
              <w:t>10</w:t>
            </w:r>
            <w:r>
              <w:fldChar w:fldCharType="end"/>
            </w:r>
          </w:p>
        </w:tc>
      </w:tr>
      <w:tr w:rsidR="00A132EC" w:rsidTr="00AA5CAF">
        <w:tc>
          <w:tcPr>
            <w:tcW w:w="305" w:type="dxa"/>
            <w:vMerge/>
          </w:tcPr>
          <w:p w:rsidR="00AA5CAF" w:rsidRDefault="00AA5CAF" w:rsidP="00AA5CAF"/>
        </w:tc>
        <w:tc>
          <w:tcPr>
            <w:tcW w:w="1987" w:type="dxa"/>
            <w:gridSpan w:val="2"/>
            <w:vMerge/>
          </w:tcPr>
          <w:p w:rsidR="00AA5CAF" w:rsidRDefault="00AA5CAF" w:rsidP="00AA5CAF"/>
        </w:tc>
        <w:tc>
          <w:tcPr>
            <w:tcW w:w="244" w:type="dxa"/>
          </w:tcPr>
          <w:p w:rsidR="00AA5CAF" w:rsidRDefault="00AA5CAF" w:rsidP="00AA5CAF"/>
        </w:tc>
        <w:tc>
          <w:tcPr>
            <w:tcW w:w="3760" w:type="dxa"/>
            <w:gridSpan w:val="5"/>
          </w:tcPr>
          <w:p w:rsidR="00AA5CAF" w:rsidRDefault="00AA5CAF" w:rsidP="00AA5CAF">
            <w:r>
              <w:t xml:space="preserve">Malnutrition-Inflammation-Score </w:t>
            </w:r>
            <w:r>
              <w:lastRenderedPageBreak/>
              <w:t>(</w:t>
            </w:r>
            <w:r>
              <w:rPr>
                <w:rFonts w:hint="eastAsia"/>
              </w:rPr>
              <w:t>MIS</w:t>
            </w:r>
            <w:r>
              <w:t>)</w:t>
            </w:r>
          </w:p>
        </w:tc>
        <w:tc>
          <w:tcPr>
            <w:tcW w:w="1745" w:type="dxa"/>
          </w:tcPr>
          <w:p w:rsidR="00AA5CAF" w:rsidRDefault="00AA5CAF" w:rsidP="00AA5CAF">
            <w:r>
              <w:rPr>
                <w:rFonts w:hint="eastAsia"/>
              </w:rPr>
              <w:lastRenderedPageBreak/>
              <w:t xml:space="preserve">7.6 vs. </w:t>
            </w:r>
            <w:r>
              <w:t>3.9</w:t>
            </w:r>
          </w:p>
        </w:tc>
        <w:tc>
          <w:tcPr>
            <w:tcW w:w="1443" w:type="dxa"/>
            <w:vMerge/>
          </w:tcPr>
          <w:p w:rsidR="00AA5CAF" w:rsidRDefault="00AA5CAF" w:rsidP="00AA5CAF"/>
        </w:tc>
        <w:tc>
          <w:tcPr>
            <w:tcW w:w="1178" w:type="dxa"/>
            <w:vMerge/>
          </w:tcPr>
          <w:p w:rsidR="00AA5CAF" w:rsidRDefault="00AA5CAF" w:rsidP="00AA5CAF"/>
        </w:tc>
        <w:tc>
          <w:tcPr>
            <w:tcW w:w="2033" w:type="dxa"/>
            <w:vMerge/>
          </w:tcPr>
          <w:p w:rsidR="00AA5CAF" w:rsidRDefault="00AA5CAF" w:rsidP="00AA5CAF"/>
        </w:tc>
        <w:tc>
          <w:tcPr>
            <w:tcW w:w="1253" w:type="dxa"/>
            <w:vMerge/>
          </w:tcPr>
          <w:p w:rsidR="00AA5CAF" w:rsidRDefault="00AA5CAF" w:rsidP="00AA5CAF"/>
        </w:tc>
      </w:tr>
      <w:tr w:rsidR="00A132EC" w:rsidTr="00BA64CA">
        <w:tc>
          <w:tcPr>
            <w:tcW w:w="305" w:type="dxa"/>
            <w:vMerge/>
          </w:tcPr>
          <w:p w:rsidR="00AA5CAF" w:rsidRDefault="00AA5CAF" w:rsidP="00AA5CAF"/>
        </w:tc>
        <w:tc>
          <w:tcPr>
            <w:tcW w:w="1987" w:type="dxa"/>
            <w:gridSpan w:val="2"/>
            <w:vMerge/>
          </w:tcPr>
          <w:p w:rsidR="00AA5CAF" w:rsidRDefault="00AA5CAF" w:rsidP="00AA5CAF"/>
        </w:tc>
        <w:tc>
          <w:tcPr>
            <w:tcW w:w="244" w:type="dxa"/>
          </w:tcPr>
          <w:p w:rsidR="00AA5CAF" w:rsidRDefault="00AA5CAF" w:rsidP="00AA5CAF"/>
        </w:tc>
        <w:tc>
          <w:tcPr>
            <w:tcW w:w="1548" w:type="dxa"/>
            <w:gridSpan w:val="4"/>
          </w:tcPr>
          <w:p w:rsidR="00AA5CAF" w:rsidRDefault="00AA5CAF" w:rsidP="00AA5CAF"/>
        </w:tc>
        <w:tc>
          <w:tcPr>
            <w:tcW w:w="2212" w:type="dxa"/>
          </w:tcPr>
          <w:p w:rsidR="00AA5CAF" w:rsidRDefault="00AA5CAF" w:rsidP="00AA5CAF">
            <w:r>
              <w:rPr>
                <w:rFonts w:hint="eastAsia"/>
              </w:rPr>
              <w:t>Abundance</w:t>
            </w:r>
            <w:r>
              <w:t xml:space="preserve"> of unclassified Mogibacteriaceae and </w:t>
            </w:r>
            <w:r w:rsidRPr="008405CD">
              <w:t>Oscillospira</w:t>
            </w:r>
          </w:p>
        </w:tc>
        <w:tc>
          <w:tcPr>
            <w:tcW w:w="1745" w:type="dxa"/>
          </w:tcPr>
          <w:p w:rsidR="00AA5CAF" w:rsidRDefault="00AA5CAF" w:rsidP="00AA5CAF">
            <w:r>
              <w:t>Directly proportional to MIS</w:t>
            </w:r>
          </w:p>
        </w:tc>
        <w:tc>
          <w:tcPr>
            <w:tcW w:w="1443" w:type="dxa"/>
            <w:vMerge/>
          </w:tcPr>
          <w:p w:rsidR="00AA5CAF" w:rsidRDefault="00AA5CAF" w:rsidP="00AA5CAF"/>
        </w:tc>
        <w:tc>
          <w:tcPr>
            <w:tcW w:w="1178" w:type="dxa"/>
            <w:vMerge/>
          </w:tcPr>
          <w:p w:rsidR="00AA5CAF" w:rsidRDefault="00AA5CAF" w:rsidP="00AA5CAF"/>
        </w:tc>
        <w:tc>
          <w:tcPr>
            <w:tcW w:w="2033" w:type="dxa"/>
            <w:vMerge/>
          </w:tcPr>
          <w:p w:rsidR="00AA5CAF" w:rsidRDefault="00AA5CAF" w:rsidP="00AA5CAF"/>
        </w:tc>
        <w:tc>
          <w:tcPr>
            <w:tcW w:w="1253" w:type="dxa"/>
            <w:vMerge/>
          </w:tcPr>
          <w:p w:rsidR="00AA5CAF" w:rsidRDefault="00AA5CAF" w:rsidP="00AA5CAF"/>
        </w:tc>
      </w:tr>
      <w:tr w:rsidR="00A132EC" w:rsidTr="00BA64CA">
        <w:tc>
          <w:tcPr>
            <w:tcW w:w="305" w:type="dxa"/>
            <w:vMerge/>
          </w:tcPr>
          <w:p w:rsidR="00AA5CAF" w:rsidRDefault="00AA5CAF" w:rsidP="00AA5CAF"/>
        </w:tc>
        <w:tc>
          <w:tcPr>
            <w:tcW w:w="1987" w:type="dxa"/>
            <w:gridSpan w:val="2"/>
            <w:vMerge/>
          </w:tcPr>
          <w:p w:rsidR="00AA5CAF" w:rsidRDefault="00AA5CAF" w:rsidP="00AA5CAF"/>
        </w:tc>
        <w:tc>
          <w:tcPr>
            <w:tcW w:w="244" w:type="dxa"/>
          </w:tcPr>
          <w:p w:rsidR="00AA5CAF" w:rsidRDefault="00AA5CAF" w:rsidP="00AA5CAF"/>
        </w:tc>
        <w:tc>
          <w:tcPr>
            <w:tcW w:w="1548" w:type="dxa"/>
            <w:gridSpan w:val="4"/>
          </w:tcPr>
          <w:p w:rsidR="00AA5CAF" w:rsidRDefault="00AA5CAF" w:rsidP="00AA5CAF"/>
        </w:tc>
        <w:tc>
          <w:tcPr>
            <w:tcW w:w="2212" w:type="dxa"/>
          </w:tcPr>
          <w:p w:rsidR="00AA5CAF" w:rsidRDefault="00AA5CAF" w:rsidP="00AA5CAF">
            <w:r>
              <w:t xml:space="preserve">Abundance of </w:t>
            </w:r>
            <w:r w:rsidRPr="008405CD">
              <w:t xml:space="preserve">Akkermansia, Ruminococcus, </w:t>
            </w:r>
            <w:r>
              <w:t xml:space="preserve">and </w:t>
            </w:r>
            <w:r w:rsidRPr="008405CD">
              <w:t>Eubacterium</w:t>
            </w:r>
          </w:p>
        </w:tc>
        <w:tc>
          <w:tcPr>
            <w:tcW w:w="1745" w:type="dxa"/>
          </w:tcPr>
          <w:p w:rsidR="00AA5CAF" w:rsidRDefault="00AA5CAF" w:rsidP="00AA5CAF">
            <w:r>
              <w:rPr>
                <w:rFonts w:hint="eastAsia"/>
              </w:rPr>
              <w:t>Inversely proportional to MIS</w:t>
            </w:r>
          </w:p>
        </w:tc>
        <w:tc>
          <w:tcPr>
            <w:tcW w:w="1443" w:type="dxa"/>
            <w:vMerge/>
          </w:tcPr>
          <w:p w:rsidR="00AA5CAF" w:rsidRDefault="00AA5CAF" w:rsidP="00AA5CAF"/>
        </w:tc>
        <w:tc>
          <w:tcPr>
            <w:tcW w:w="1178" w:type="dxa"/>
            <w:vMerge/>
          </w:tcPr>
          <w:p w:rsidR="00AA5CAF" w:rsidRDefault="00AA5CAF" w:rsidP="00AA5CAF"/>
        </w:tc>
        <w:tc>
          <w:tcPr>
            <w:tcW w:w="2033" w:type="dxa"/>
            <w:vMerge/>
          </w:tcPr>
          <w:p w:rsidR="00AA5CAF" w:rsidRDefault="00AA5CAF" w:rsidP="00AA5CAF"/>
        </w:tc>
        <w:tc>
          <w:tcPr>
            <w:tcW w:w="1253" w:type="dxa"/>
            <w:vMerge/>
          </w:tcPr>
          <w:p w:rsidR="00AA5CAF" w:rsidRDefault="00AA5CAF" w:rsidP="00AA5CAF"/>
        </w:tc>
      </w:tr>
      <w:tr w:rsidR="00A132EC" w:rsidTr="00AA5CAF">
        <w:tc>
          <w:tcPr>
            <w:tcW w:w="305" w:type="dxa"/>
            <w:vMerge/>
          </w:tcPr>
          <w:p w:rsidR="00AA5CAF" w:rsidRDefault="00AA5CAF" w:rsidP="00AA5CAF"/>
        </w:tc>
        <w:tc>
          <w:tcPr>
            <w:tcW w:w="1987" w:type="dxa"/>
            <w:gridSpan w:val="2"/>
            <w:vMerge/>
          </w:tcPr>
          <w:p w:rsidR="00AA5CAF" w:rsidRDefault="00AA5CAF" w:rsidP="00AA5CAF"/>
        </w:tc>
        <w:tc>
          <w:tcPr>
            <w:tcW w:w="244" w:type="dxa"/>
          </w:tcPr>
          <w:p w:rsidR="00AA5CAF" w:rsidRDefault="00AA5CAF" w:rsidP="00AA5CAF"/>
        </w:tc>
        <w:tc>
          <w:tcPr>
            <w:tcW w:w="3760" w:type="dxa"/>
            <w:gridSpan w:val="5"/>
          </w:tcPr>
          <w:p w:rsidR="00AA5CAF" w:rsidRDefault="00AA5CAF" w:rsidP="00AA5CAF">
            <w:r>
              <w:rPr>
                <w:rFonts w:hint="eastAsia"/>
              </w:rPr>
              <w:t>Bacterial Abundance</w:t>
            </w:r>
            <w:r>
              <w:t xml:space="preserve"> </w:t>
            </w:r>
            <w:r w:rsidRPr="00A75741">
              <w:t>of</w:t>
            </w:r>
            <w:r>
              <w:t xml:space="preserve"> some genera (</w:t>
            </w:r>
            <w:r w:rsidRPr="00A75741">
              <w:t>Mogibacteriacee, Coriobacteriacee, Eggerthella, Erwinia, Coprobacillus, A</w:t>
            </w:r>
            <w:r>
              <w:t>naerotruncus, etc)</w:t>
            </w:r>
          </w:p>
        </w:tc>
        <w:tc>
          <w:tcPr>
            <w:tcW w:w="1745" w:type="dxa"/>
          </w:tcPr>
          <w:p w:rsidR="00AA5CAF" w:rsidRPr="00D50400" w:rsidRDefault="00AA5CAF" w:rsidP="00AA5CAF">
            <w:r>
              <w:rPr>
                <w:rFonts w:hint="eastAsia"/>
              </w:rPr>
              <w:t>↑</w:t>
            </w:r>
          </w:p>
        </w:tc>
        <w:tc>
          <w:tcPr>
            <w:tcW w:w="1443" w:type="dxa"/>
            <w:vMerge/>
          </w:tcPr>
          <w:p w:rsidR="00AA5CAF" w:rsidRDefault="00AA5CAF" w:rsidP="00AA5CAF"/>
        </w:tc>
        <w:tc>
          <w:tcPr>
            <w:tcW w:w="1178" w:type="dxa"/>
            <w:vMerge/>
          </w:tcPr>
          <w:p w:rsidR="00AA5CAF" w:rsidRDefault="00AA5CAF" w:rsidP="00AA5CAF"/>
        </w:tc>
        <w:tc>
          <w:tcPr>
            <w:tcW w:w="2033" w:type="dxa"/>
            <w:vMerge/>
          </w:tcPr>
          <w:p w:rsidR="00AA5CAF" w:rsidRDefault="00AA5CAF" w:rsidP="00AA5CAF"/>
        </w:tc>
        <w:tc>
          <w:tcPr>
            <w:tcW w:w="1253" w:type="dxa"/>
            <w:vMerge/>
          </w:tcPr>
          <w:p w:rsidR="00AA5CAF" w:rsidRDefault="00AA5CAF" w:rsidP="00AA5CAF"/>
        </w:tc>
      </w:tr>
      <w:tr w:rsidR="00BA64CA" w:rsidTr="00AA5CAF">
        <w:tc>
          <w:tcPr>
            <w:tcW w:w="305" w:type="dxa"/>
            <w:vMerge/>
          </w:tcPr>
          <w:p w:rsidR="00BA64CA" w:rsidRDefault="00BA64CA" w:rsidP="00AA5CAF"/>
        </w:tc>
        <w:tc>
          <w:tcPr>
            <w:tcW w:w="1987" w:type="dxa"/>
            <w:gridSpan w:val="2"/>
            <w:vMerge w:val="restart"/>
          </w:tcPr>
          <w:p w:rsidR="00BA64CA" w:rsidRDefault="00BA64CA" w:rsidP="00AA5CAF">
            <w:r>
              <w:rPr>
                <w:rFonts w:hint="eastAsia"/>
              </w:rPr>
              <w:t>Immunological</w:t>
            </w:r>
          </w:p>
        </w:tc>
        <w:tc>
          <w:tcPr>
            <w:tcW w:w="4004" w:type="dxa"/>
            <w:gridSpan w:val="6"/>
          </w:tcPr>
          <w:p w:rsidR="00BA64CA" w:rsidRDefault="00BA64CA" w:rsidP="00AA5CAF">
            <w:r w:rsidRPr="002F590A">
              <w:t>Mycophenolate mofetil (MMF) dose reduction (MDR)</w:t>
            </w:r>
          </w:p>
        </w:tc>
        <w:tc>
          <w:tcPr>
            <w:tcW w:w="1745" w:type="dxa"/>
          </w:tcPr>
          <w:p w:rsidR="00BA64CA" w:rsidRDefault="001F6B70" w:rsidP="00AA5CAF">
            <w:r>
              <w:rPr>
                <w:rFonts w:hint="eastAsia"/>
              </w:rPr>
              <w:t xml:space="preserve">F vs. </w:t>
            </w:r>
            <w:r>
              <w:t>NF</w:t>
            </w:r>
          </w:p>
        </w:tc>
        <w:tc>
          <w:tcPr>
            <w:tcW w:w="1443" w:type="dxa"/>
            <w:vMerge w:val="restart"/>
          </w:tcPr>
          <w:p w:rsidR="00BA64CA" w:rsidRDefault="00BA64CA" w:rsidP="00AA5CAF">
            <w:r>
              <w:rPr>
                <w:rFonts w:hint="eastAsia"/>
              </w:rPr>
              <w:t>Fried Phenotypes</w:t>
            </w:r>
          </w:p>
        </w:tc>
        <w:tc>
          <w:tcPr>
            <w:tcW w:w="1178" w:type="dxa"/>
            <w:vMerge w:val="restart"/>
          </w:tcPr>
          <w:p w:rsidR="00BA64CA" w:rsidRDefault="00BA64CA" w:rsidP="00AA5CAF">
            <w:r>
              <w:rPr>
                <w:rFonts w:hint="eastAsia"/>
              </w:rPr>
              <w:t>525</w:t>
            </w:r>
          </w:p>
        </w:tc>
        <w:tc>
          <w:tcPr>
            <w:tcW w:w="2033" w:type="dxa"/>
            <w:vMerge w:val="restart"/>
          </w:tcPr>
          <w:p w:rsidR="00BA64CA" w:rsidRDefault="002D5BFD" w:rsidP="00AA5CAF">
            <w:r>
              <w:rPr>
                <w:rFonts w:hint="eastAsia"/>
              </w:rPr>
              <w:t>C</w:t>
            </w:r>
            <w:r>
              <w:t>KD stage 5T</w:t>
            </w:r>
          </w:p>
        </w:tc>
        <w:tc>
          <w:tcPr>
            <w:tcW w:w="1253" w:type="dxa"/>
            <w:vMerge w:val="restart"/>
          </w:tcPr>
          <w:p w:rsidR="00BA64CA" w:rsidRDefault="00BA64CA" w:rsidP="00AA5CAF">
            <w:r>
              <w:fldChar w:fldCharType="begin" w:fldLock="1"/>
            </w:r>
            <w:r>
              <w:instrText>ADDIN CSL_CITATION {"citationItems":[{"id":"ITEM-1","itemData":{"DOI":"10.1097/TP.0000000000000444","ISBN":"0041-1337","ISSN":"00411337","PMID":"25393156","abstract":"Background: Mycophenolate mofetil (MMF) side effects often prompt dose reduction or discontinuation, and this MMF dose reduction (MDR) can lead to rejection and possibly graft loss. Unfortunately, little is known about what factors might cause or contribute to MDR. Frailty, a measure of physiologic reserve, is emerging as an important, novel domain of risk in kidney transplantation (KT) recipients. We hypothesized that frailty, an inflammatory phenotype, might be associated with MDR. Methods: We measured frailty (shrinking, weakness, exhaustion, low activity, and slowed walking speed), other patient and donor characteristics, longitudinal MMF doses, and graft loss in 525 KT recipients. Time-to-MDR was quantified using an adjusted Cox proportional hazards model. Results: By 2 years post-transplant, 54% of frail recipients and 45% of non-frail recipients experienced MDR; by 4 years, incidence was 67% and 51%. Frail recipients were 1.29-times (95%CI:1.01-1.66; P=0.04) more likely to experience MDR, as were deceased donor recipients (aHR=1.92, 95%CI:1.44-2.54, P&lt;0.001) and older adults (age≥65 vs. &lt;65; aHR=1.47, 95%CI: 1.10-1.96, P=0.01). MDR was independently associated with a substantially increased risk of death-censored graft loss (aHR=5.24, 95%CI:1.97-13.98, P=0.001). Conclusion: A better understanding of risk factors for MMF intolerance might help in planning alternate strategies to maintain adequate immunosuppression and prolong allograft survival.","author":[{"dropping-particle":"","family":"McAdams-Demarco","given":"Mara A.","non-dropping-particle":"","parse-names":false,"suffix":""},{"dropping-particle":"","family":"Law","given":"Andrew","non-dropping-particle":"","parse-names":false,"suffix":""},{"dropping-particle":"","family":"Tan","given":"Jingwen","non-dropping-particle":"","parse-names":false,"suffix":""},{"dropping-particle":"","family":"Delp","given":"Cassandra","non-dropping-particle":"","parse-names":false,"suffix":""},{"dropping-particle":"","family":"King","given":"Elizabeth A.","non-dropping-particle":"","parse-names":false,"suffix":""},{"dropping-particle":"","family":"Orandi","given":"Babak","non-dropping-particle":"","parse-names":false,"suffix":""},{"dropping-particle":"","family":"Salter","given":"Megan","non-dropping-particle":"","parse-names":false,"suffix":""},{"dropping-particle":"","family":"Alachkar","given":"Nada","non-dropping-particle":"","parse-names":false,"suffix":""},{"dropping-particle":"","family":"Desai","given":"Niraj","non-dropping-particle":"","parse-names":false,"suffix":""},{"dropping-particle":"","family":"Grams","given":"Morgan","non-dropping-particle":"","parse-names":false,"suffix":""},{"dropping-particle":"","family":"Walston","given":"Jeremy","non-dropping-particle":"","parse-names":false,"suffix":""},{"dropping-particle":"","family":"Segev","given":"Dorry L.","non-dropping-particle":"","parse-names":false,"suffix":""}],"container-title":"Transplantation","id":"ITEM-1","issue":"4","issued":{"date-parts":[["2015"]]},"page":"805-810","title":"Frailty, mycophenolate reduction, and graft loss in kidney transplant recipients","type":"article-journal","volume":"99"},"uris":["http://www.mendeley.com/documents/?uuid=5e2837b4-4bc9-3b59-9186-13b45f74a8a5"]}],"mendeley":{"formattedCitation":"&lt;sup&gt;9&lt;/sup&gt;","plainTextFormattedCitation":"9","previouslyFormattedCitation":"&lt;sup&gt;10&lt;/sup&gt;"},"properties":{"noteIndex":0},"schema":"https://github.com/citation-style-language/schema/raw/master/csl-citation.json"}</w:instrText>
            </w:r>
            <w:r>
              <w:fldChar w:fldCharType="separate"/>
            </w:r>
            <w:r w:rsidRPr="00596FF4">
              <w:rPr>
                <w:noProof/>
                <w:vertAlign w:val="superscript"/>
              </w:rPr>
              <w:t>9</w:t>
            </w:r>
            <w:r>
              <w:fldChar w:fldCharType="end"/>
            </w:r>
          </w:p>
        </w:tc>
      </w:tr>
      <w:tr w:rsidR="00BA64CA" w:rsidTr="00AA5CAF">
        <w:tc>
          <w:tcPr>
            <w:tcW w:w="305" w:type="dxa"/>
            <w:vMerge/>
          </w:tcPr>
          <w:p w:rsidR="00BA64CA" w:rsidRDefault="00BA64CA" w:rsidP="00AA5CAF"/>
        </w:tc>
        <w:tc>
          <w:tcPr>
            <w:tcW w:w="1987" w:type="dxa"/>
            <w:gridSpan w:val="2"/>
            <w:vMerge/>
          </w:tcPr>
          <w:p w:rsidR="00BA64CA" w:rsidRDefault="00BA64CA" w:rsidP="00AA5CAF"/>
        </w:tc>
        <w:tc>
          <w:tcPr>
            <w:tcW w:w="244" w:type="dxa"/>
          </w:tcPr>
          <w:p w:rsidR="00BA64CA" w:rsidRPr="002F590A" w:rsidRDefault="00BA64CA" w:rsidP="00AA5CAF"/>
        </w:tc>
        <w:tc>
          <w:tcPr>
            <w:tcW w:w="3760" w:type="dxa"/>
            <w:gridSpan w:val="5"/>
          </w:tcPr>
          <w:p w:rsidR="00BA64CA" w:rsidRPr="002F590A" w:rsidRDefault="00BA64CA" w:rsidP="00AA5CAF">
            <w:r>
              <w:rPr>
                <w:rFonts w:hint="eastAsia"/>
              </w:rPr>
              <w:t>1</w:t>
            </w:r>
            <w:r>
              <w:t xml:space="preserve"> year since KT (%)</w:t>
            </w:r>
          </w:p>
        </w:tc>
        <w:tc>
          <w:tcPr>
            <w:tcW w:w="1745" w:type="dxa"/>
          </w:tcPr>
          <w:p w:rsidR="00BA64CA" w:rsidRDefault="00BA64CA" w:rsidP="00AA5CAF">
            <w:r>
              <w:rPr>
                <w:rFonts w:hint="eastAsia"/>
              </w:rPr>
              <w:t xml:space="preserve">44 </w:t>
            </w:r>
            <w:r>
              <w:t>vs 40</w:t>
            </w:r>
          </w:p>
        </w:tc>
        <w:tc>
          <w:tcPr>
            <w:tcW w:w="1443" w:type="dxa"/>
            <w:vMerge/>
          </w:tcPr>
          <w:p w:rsidR="00BA64CA" w:rsidRDefault="00BA64CA" w:rsidP="00AA5CAF"/>
        </w:tc>
        <w:tc>
          <w:tcPr>
            <w:tcW w:w="1178" w:type="dxa"/>
            <w:vMerge/>
          </w:tcPr>
          <w:p w:rsidR="00BA64CA" w:rsidRDefault="00BA64CA" w:rsidP="00AA5CAF"/>
        </w:tc>
        <w:tc>
          <w:tcPr>
            <w:tcW w:w="2033" w:type="dxa"/>
            <w:vMerge/>
          </w:tcPr>
          <w:p w:rsidR="00BA64CA" w:rsidRDefault="00BA64CA" w:rsidP="00AA5CAF"/>
        </w:tc>
        <w:tc>
          <w:tcPr>
            <w:tcW w:w="1253" w:type="dxa"/>
            <w:vMerge/>
          </w:tcPr>
          <w:p w:rsidR="00BA64CA" w:rsidRDefault="00BA64CA" w:rsidP="00AA5CAF"/>
        </w:tc>
      </w:tr>
      <w:tr w:rsidR="00BA64CA" w:rsidTr="00AA5CAF">
        <w:tc>
          <w:tcPr>
            <w:tcW w:w="305" w:type="dxa"/>
            <w:vMerge/>
          </w:tcPr>
          <w:p w:rsidR="00BA64CA" w:rsidRDefault="00BA64CA" w:rsidP="00AA5CAF"/>
        </w:tc>
        <w:tc>
          <w:tcPr>
            <w:tcW w:w="1987" w:type="dxa"/>
            <w:gridSpan w:val="2"/>
            <w:vMerge/>
          </w:tcPr>
          <w:p w:rsidR="00BA64CA" w:rsidRDefault="00BA64CA" w:rsidP="00AA5CAF"/>
        </w:tc>
        <w:tc>
          <w:tcPr>
            <w:tcW w:w="244" w:type="dxa"/>
          </w:tcPr>
          <w:p w:rsidR="00BA64CA" w:rsidRPr="002F590A" w:rsidRDefault="00BA64CA" w:rsidP="00AA5CAF"/>
        </w:tc>
        <w:tc>
          <w:tcPr>
            <w:tcW w:w="3760" w:type="dxa"/>
            <w:gridSpan w:val="5"/>
          </w:tcPr>
          <w:p w:rsidR="00BA64CA" w:rsidRDefault="00BA64CA" w:rsidP="00AA5CAF">
            <w:r>
              <w:rPr>
                <w:rFonts w:hint="eastAsia"/>
              </w:rPr>
              <w:t>2 year</w:t>
            </w:r>
            <w:r>
              <w:t>s</w:t>
            </w:r>
            <w:r>
              <w:rPr>
                <w:rFonts w:hint="eastAsia"/>
              </w:rPr>
              <w:t xml:space="preserve"> since KT</w:t>
            </w:r>
            <w:r>
              <w:t xml:space="preserve"> (%)</w:t>
            </w:r>
          </w:p>
        </w:tc>
        <w:tc>
          <w:tcPr>
            <w:tcW w:w="1745" w:type="dxa"/>
          </w:tcPr>
          <w:p w:rsidR="00BA64CA" w:rsidRDefault="00BA64CA" w:rsidP="00AA5CAF">
            <w:r>
              <w:t>54 vs. 45</w:t>
            </w:r>
          </w:p>
        </w:tc>
        <w:tc>
          <w:tcPr>
            <w:tcW w:w="1443" w:type="dxa"/>
            <w:vMerge/>
          </w:tcPr>
          <w:p w:rsidR="00BA64CA" w:rsidRDefault="00BA64CA" w:rsidP="00AA5CAF"/>
        </w:tc>
        <w:tc>
          <w:tcPr>
            <w:tcW w:w="1178" w:type="dxa"/>
            <w:vMerge/>
          </w:tcPr>
          <w:p w:rsidR="00BA64CA" w:rsidRDefault="00BA64CA" w:rsidP="00AA5CAF"/>
        </w:tc>
        <w:tc>
          <w:tcPr>
            <w:tcW w:w="2033" w:type="dxa"/>
            <w:vMerge/>
          </w:tcPr>
          <w:p w:rsidR="00BA64CA" w:rsidRDefault="00BA64CA" w:rsidP="00AA5CAF"/>
        </w:tc>
        <w:tc>
          <w:tcPr>
            <w:tcW w:w="1253" w:type="dxa"/>
            <w:vMerge/>
          </w:tcPr>
          <w:p w:rsidR="00BA64CA" w:rsidRDefault="00BA64CA" w:rsidP="00AA5CAF"/>
        </w:tc>
      </w:tr>
      <w:tr w:rsidR="00BA64CA" w:rsidTr="00AA5CAF">
        <w:tc>
          <w:tcPr>
            <w:tcW w:w="305" w:type="dxa"/>
            <w:vMerge/>
          </w:tcPr>
          <w:p w:rsidR="00BA64CA" w:rsidRDefault="00BA64CA" w:rsidP="00AA5CAF"/>
        </w:tc>
        <w:tc>
          <w:tcPr>
            <w:tcW w:w="1987" w:type="dxa"/>
            <w:gridSpan w:val="2"/>
            <w:vMerge/>
          </w:tcPr>
          <w:p w:rsidR="00BA64CA" w:rsidRDefault="00BA64CA" w:rsidP="00AA5CAF"/>
        </w:tc>
        <w:tc>
          <w:tcPr>
            <w:tcW w:w="244" w:type="dxa"/>
          </w:tcPr>
          <w:p w:rsidR="00BA64CA" w:rsidRPr="002F590A" w:rsidRDefault="00BA64CA" w:rsidP="00AA5CAF"/>
        </w:tc>
        <w:tc>
          <w:tcPr>
            <w:tcW w:w="3760" w:type="dxa"/>
            <w:gridSpan w:val="5"/>
          </w:tcPr>
          <w:p w:rsidR="00BA64CA" w:rsidRDefault="00BA64CA" w:rsidP="00AA5CAF">
            <w:r>
              <w:rPr>
                <w:rFonts w:hint="eastAsia"/>
              </w:rPr>
              <w:t>3 year</w:t>
            </w:r>
            <w:r>
              <w:t>s</w:t>
            </w:r>
            <w:r>
              <w:rPr>
                <w:rFonts w:hint="eastAsia"/>
              </w:rPr>
              <w:t xml:space="preserve"> since KT</w:t>
            </w:r>
            <w:r>
              <w:t xml:space="preserve"> (%)</w:t>
            </w:r>
          </w:p>
        </w:tc>
        <w:tc>
          <w:tcPr>
            <w:tcW w:w="1745" w:type="dxa"/>
          </w:tcPr>
          <w:p w:rsidR="00BA64CA" w:rsidRDefault="00BA64CA" w:rsidP="00AA5CAF">
            <w:r>
              <w:rPr>
                <w:rFonts w:hint="eastAsia"/>
              </w:rPr>
              <w:t xml:space="preserve">67 vs. </w:t>
            </w:r>
            <w:r>
              <w:t>51</w:t>
            </w:r>
          </w:p>
        </w:tc>
        <w:tc>
          <w:tcPr>
            <w:tcW w:w="1443" w:type="dxa"/>
            <w:vMerge/>
          </w:tcPr>
          <w:p w:rsidR="00BA64CA" w:rsidRDefault="00BA64CA" w:rsidP="00AA5CAF"/>
        </w:tc>
        <w:tc>
          <w:tcPr>
            <w:tcW w:w="1178" w:type="dxa"/>
            <w:vMerge/>
          </w:tcPr>
          <w:p w:rsidR="00BA64CA" w:rsidRDefault="00BA64CA" w:rsidP="00AA5CAF"/>
        </w:tc>
        <w:tc>
          <w:tcPr>
            <w:tcW w:w="2033" w:type="dxa"/>
            <w:vMerge/>
          </w:tcPr>
          <w:p w:rsidR="00BA64CA" w:rsidRDefault="00BA64CA" w:rsidP="00AA5CAF"/>
        </w:tc>
        <w:tc>
          <w:tcPr>
            <w:tcW w:w="1253" w:type="dxa"/>
            <w:vMerge/>
          </w:tcPr>
          <w:p w:rsidR="00BA64CA" w:rsidRDefault="00BA64CA" w:rsidP="00AA5CAF"/>
        </w:tc>
      </w:tr>
      <w:tr w:rsidR="00BA64CA" w:rsidTr="00AA5CAF">
        <w:trPr>
          <w:trHeight w:val="416"/>
        </w:trPr>
        <w:tc>
          <w:tcPr>
            <w:tcW w:w="305" w:type="dxa"/>
            <w:vMerge/>
          </w:tcPr>
          <w:p w:rsidR="00BA64CA" w:rsidRDefault="00BA64CA" w:rsidP="00AA5CAF"/>
        </w:tc>
        <w:tc>
          <w:tcPr>
            <w:tcW w:w="1987" w:type="dxa"/>
            <w:gridSpan w:val="2"/>
            <w:vMerge/>
          </w:tcPr>
          <w:p w:rsidR="00BA64CA" w:rsidRDefault="00BA64CA" w:rsidP="00AA5CAF"/>
        </w:tc>
        <w:tc>
          <w:tcPr>
            <w:tcW w:w="4004" w:type="dxa"/>
            <w:gridSpan w:val="6"/>
          </w:tcPr>
          <w:p w:rsidR="00BA64CA" w:rsidRDefault="00BA64CA" w:rsidP="00AA5CAF">
            <w:r>
              <w:rPr>
                <w:rFonts w:hint="eastAsia"/>
              </w:rPr>
              <w:t>Viral infection</w:t>
            </w:r>
          </w:p>
        </w:tc>
        <w:tc>
          <w:tcPr>
            <w:tcW w:w="1745" w:type="dxa"/>
          </w:tcPr>
          <w:p w:rsidR="00BA64CA" w:rsidRDefault="001F6B70" w:rsidP="00AA5CAF">
            <w:r>
              <w:rPr>
                <w:rFonts w:hint="eastAsia"/>
              </w:rPr>
              <w:t>F vs. NF</w:t>
            </w:r>
          </w:p>
        </w:tc>
        <w:tc>
          <w:tcPr>
            <w:tcW w:w="1443" w:type="dxa"/>
          </w:tcPr>
          <w:p w:rsidR="00BA64CA" w:rsidRDefault="00BA64CA" w:rsidP="00AA5CAF"/>
        </w:tc>
        <w:tc>
          <w:tcPr>
            <w:tcW w:w="1178" w:type="dxa"/>
          </w:tcPr>
          <w:p w:rsidR="00BA64CA" w:rsidRDefault="00BA64CA" w:rsidP="00AA5CAF"/>
        </w:tc>
        <w:tc>
          <w:tcPr>
            <w:tcW w:w="2033" w:type="dxa"/>
          </w:tcPr>
          <w:p w:rsidR="00BA64CA" w:rsidRDefault="00BA64CA" w:rsidP="00AA5CAF"/>
        </w:tc>
        <w:tc>
          <w:tcPr>
            <w:tcW w:w="1253" w:type="dxa"/>
          </w:tcPr>
          <w:p w:rsidR="00BA64CA" w:rsidRDefault="00BA64CA" w:rsidP="00AA5CAF"/>
        </w:tc>
      </w:tr>
      <w:tr w:rsidR="00BA64CA" w:rsidTr="00AA5CAF">
        <w:trPr>
          <w:trHeight w:val="693"/>
        </w:trPr>
        <w:tc>
          <w:tcPr>
            <w:tcW w:w="305" w:type="dxa"/>
            <w:vMerge/>
          </w:tcPr>
          <w:p w:rsidR="00BA64CA" w:rsidRDefault="00BA64CA" w:rsidP="00AA5CAF"/>
        </w:tc>
        <w:tc>
          <w:tcPr>
            <w:tcW w:w="1987" w:type="dxa"/>
            <w:gridSpan w:val="2"/>
            <w:vMerge/>
          </w:tcPr>
          <w:p w:rsidR="00BA64CA" w:rsidRDefault="00BA64CA" w:rsidP="00AA5CAF"/>
        </w:tc>
        <w:tc>
          <w:tcPr>
            <w:tcW w:w="1640" w:type="dxa"/>
            <w:gridSpan w:val="4"/>
          </w:tcPr>
          <w:p w:rsidR="00BA64CA" w:rsidRDefault="00BA64CA" w:rsidP="00AA5CAF"/>
        </w:tc>
        <w:tc>
          <w:tcPr>
            <w:tcW w:w="2364" w:type="dxa"/>
            <w:gridSpan w:val="2"/>
          </w:tcPr>
          <w:p w:rsidR="00BA64CA" w:rsidRDefault="00BA64CA" w:rsidP="00AA5CAF">
            <w:r>
              <w:rPr>
                <w:rFonts w:hint="eastAsia"/>
              </w:rPr>
              <w:t>HCV</w:t>
            </w:r>
            <w:r>
              <w:t xml:space="preserve"> (n=37)</w:t>
            </w:r>
          </w:p>
        </w:tc>
        <w:tc>
          <w:tcPr>
            <w:tcW w:w="1745" w:type="dxa"/>
          </w:tcPr>
          <w:p w:rsidR="00BA64CA" w:rsidRDefault="00BA64CA" w:rsidP="00AA5CAF">
            <w:r>
              <w:rPr>
                <w:rFonts w:hint="eastAsia"/>
              </w:rPr>
              <w:t>36</w:t>
            </w:r>
            <w:r>
              <w:t xml:space="preserve"> vs. 1</w:t>
            </w:r>
          </w:p>
        </w:tc>
        <w:tc>
          <w:tcPr>
            <w:tcW w:w="1443" w:type="dxa"/>
          </w:tcPr>
          <w:p w:rsidR="00BA64CA" w:rsidRDefault="00BA64CA" w:rsidP="00AA5CAF">
            <w:r>
              <w:rPr>
                <w:rFonts w:hint="eastAsia"/>
              </w:rPr>
              <w:t>Fried Phenotypes</w:t>
            </w:r>
          </w:p>
        </w:tc>
        <w:tc>
          <w:tcPr>
            <w:tcW w:w="1178" w:type="dxa"/>
          </w:tcPr>
          <w:p w:rsidR="00BA64CA" w:rsidRDefault="00BA64CA" w:rsidP="00AA5CAF">
            <w:r>
              <w:rPr>
                <w:rFonts w:hint="eastAsia"/>
              </w:rPr>
              <w:t>205</w:t>
            </w:r>
          </w:p>
        </w:tc>
        <w:tc>
          <w:tcPr>
            <w:tcW w:w="2033" w:type="dxa"/>
          </w:tcPr>
          <w:p w:rsidR="00BA64CA" w:rsidRDefault="002D5BFD" w:rsidP="00AA5CAF">
            <w:r>
              <w:t>CKD stage 5D (hemodialysis)</w:t>
            </w:r>
          </w:p>
        </w:tc>
        <w:tc>
          <w:tcPr>
            <w:tcW w:w="1253" w:type="dxa"/>
          </w:tcPr>
          <w:p w:rsidR="00BA64CA" w:rsidRDefault="00BA64CA" w:rsidP="00AA5CAF">
            <w:pPr>
              <w:rPr>
                <w:lang w:eastAsia="ko-KR"/>
              </w:rPr>
            </w:pPr>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w:instrText>
            </w:r>
            <w:r>
              <w:rPr>
                <w:lang w:eastAsia="ko-KR"/>
              </w:rPr>
              <w:instrText>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lang w:eastAsia="ko-KR"/>
              </w:rPr>
              <w:instrText>suffix":""}],"container-title":"Saudi Journal of Kidney Diseases and Transplantation","id":"ITEM-1","issued":{"date-parts":[["2017"]]},"note":"</w:instrText>
            </w:r>
            <w:r>
              <w:rPr>
                <w:rFonts w:hint="eastAsia"/>
                <w:lang w:eastAsia="ko-KR"/>
              </w:rPr>
              <w:instrText>很多因子都是</w:instrText>
            </w:r>
            <w:r>
              <w:rPr>
                <w:rFonts w:hint="eastAsia"/>
                <w:lang w:eastAsia="ko-KR"/>
              </w:rPr>
              <w:instrText>causes/predictors of frailty</w:instrText>
            </w:r>
            <w:r>
              <w:rPr>
                <w:rFonts w:hint="eastAsia"/>
                <w:lang w:eastAsia="ko-KR"/>
              </w:rPr>
              <w:instrText>，提到的因</w:instrText>
            </w:r>
            <w:r>
              <w:rPr>
                <w:rFonts w:hint="eastAsia"/>
                <w:lang w:eastAsia="ko-KR"/>
              </w:rPr>
              <w:instrText>frailty</w:instrText>
            </w:r>
            <w:r>
              <w:rPr>
                <w:rFonts w:hint="eastAsia"/>
                <w:lang w:eastAsia="ko-KR"/>
              </w:rPr>
              <w:instrText>而生的</w:instrText>
            </w:r>
            <w:r>
              <w:rPr>
                <w:rFonts w:hint="eastAsia"/>
                <w:lang w:eastAsia="ko-KR"/>
              </w:rPr>
              <w:instrText>adverse health outcomes</w:instrText>
            </w:r>
            <w:r>
              <w:rPr>
                <w:rFonts w:hint="eastAsia"/>
                <w:lang w:eastAsia="ko-KR"/>
              </w:rPr>
              <w:instrText>只有</w:instrText>
            </w:r>
            <w:r>
              <w:rPr>
                <w:rFonts w:hint="eastAsia"/>
                <w:lang w:eastAsia="ko-KR"/>
              </w:rPr>
              <w:instrText>hospitalizations</w:instrText>
            </w:r>
            <w:r>
              <w:rPr>
                <w:rFonts w:hint="eastAsia"/>
                <w:lang w:eastAsia="ko-KR"/>
              </w:rPr>
              <w:instrText>跟</w:instrText>
            </w:r>
            <w:r>
              <w:rPr>
                <w:rFonts w:hint="eastAsia"/>
                <w:lang w:eastAsia="ko-KR"/>
              </w:rPr>
              <w:instrText>falls</w:instrText>
            </w:r>
            <w:r>
              <w:rPr>
                <w:rFonts w:hint="eastAsia"/>
                <w:lang w:eastAsia="ko-KR"/>
              </w:rPr>
              <w:instrText>。</w:instrText>
            </w:r>
            <w:r>
              <w:rPr>
                <w:rFonts w:hint="eastAsia"/>
                <w:lang w:eastAsia="ko-KR"/>
              </w:rPr>
              <w:instrText>","title":"A st</w:instrText>
            </w:r>
            <w:r>
              <w:rPr>
                <w:lang w:eastAsia="ko-KR"/>
              </w:rP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6F479A">
              <w:rPr>
                <w:noProof/>
                <w:vertAlign w:val="superscript"/>
                <w:lang w:eastAsia="ko-KR"/>
              </w:rPr>
              <w:t>1</w:t>
            </w:r>
            <w:r>
              <w:fldChar w:fldCharType="end"/>
            </w:r>
          </w:p>
        </w:tc>
      </w:tr>
      <w:tr w:rsidR="00A132EC" w:rsidTr="00AA5CAF">
        <w:trPr>
          <w:trHeight w:val="280"/>
        </w:trPr>
        <w:tc>
          <w:tcPr>
            <w:tcW w:w="305" w:type="dxa"/>
            <w:vMerge w:val="restart"/>
          </w:tcPr>
          <w:p w:rsidR="00AA5CAF" w:rsidRDefault="00AA5CAF" w:rsidP="00AA5CAF">
            <w:pPr>
              <w:rPr>
                <w:lang w:eastAsia="ko-KR"/>
              </w:rPr>
            </w:pPr>
          </w:p>
        </w:tc>
        <w:tc>
          <w:tcPr>
            <w:tcW w:w="1987" w:type="dxa"/>
            <w:gridSpan w:val="2"/>
            <w:vMerge w:val="restart"/>
          </w:tcPr>
          <w:p w:rsidR="00AA5CAF" w:rsidRDefault="000D24F0" w:rsidP="00AA5CAF">
            <w:r>
              <w:rPr>
                <w:rFonts w:hint="eastAsia"/>
              </w:rPr>
              <w:t>Func</w:t>
            </w:r>
            <w:r>
              <w:t>tional Status</w:t>
            </w:r>
          </w:p>
        </w:tc>
        <w:tc>
          <w:tcPr>
            <w:tcW w:w="4004" w:type="dxa"/>
            <w:gridSpan w:val="6"/>
          </w:tcPr>
          <w:p w:rsidR="00AA5CAF" w:rsidRDefault="00AA5CAF" w:rsidP="00AA5CAF">
            <w:pPr>
              <w:rPr>
                <w:lang w:eastAsia="ko-KR"/>
              </w:rPr>
            </w:pPr>
            <w:r>
              <w:rPr>
                <w:lang w:eastAsia="ko-KR"/>
              </w:rPr>
              <w:t>Disability</w:t>
            </w:r>
          </w:p>
        </w:tc>
        <w:tc>
          <w:tcPr>
            <w:tcW w:w="1745" w:type="dxa"/>
          </w:tcPr>
          <w:p w:rsidR="00AA5CAF" w:rsidRDefault="00045B14" w:rsidP="00AA5CAF">
            <w:r>
              <w:rPr>
                <w:rFonts w:hint="eastAsia"/>
              </w:rPr>
              <w:t>F vs</w:t>
            </w:r>
            <w:r>
              <w:t>. NF</w:t>
            </w:r>
          </w:p>
        </w:tc>
        <w:tc>
          <w:tcPr>
            <w:tcW w:w="1443" w:type="dxa"/>
            <w:vMerge w:val="restart"/>
          </w:tcPr>
          <w:p w:rsidR="00AA5CAF" w:rsidRDefault="00AA5CAF" w:rsidP="00AA5CAF">
            <w:pPr>
              <w:rPr>
                <w:lang w:eastAsia="ko-KR"/>
              </w:rPr>
            </w:pPr>
            <w:r>
              <w:rPr>
                <w:rFonts w:hint="eastAsia"/>
                <w:lang w:eastAsia="ko-KR"/>
              </w:rPr>
              <w:t>Fried Phenotypes</w:t>
            </w:r>
          </w:p>
        </w:tc>
        <w:tc>
          <w:tcPr>
            <w:tcW w:w="1178" w:type="dxa"/>
            <w:vMerge w:val="restart"/>
          </w:tcPr>
          <w:p w:rsidR="00AA5CAF" w:rsidRDefault="00AA5CAF" w:rsidP="00AA5CAF">
            <w:pPr>
              <w:rPr>
                <w:lang w:eastAsia="ko-KR"/>
              </w:rPr>
            </w:pPr>
            <w:r>
              <w:rPr>
                <w:rFonts w:hint="eastAsia"/>
                <w:lang w:eastAsia="ko-KR"/>
              </w:rPr>
              <w:t>336</w:t>
            </w:r>
          </w:p>
        </w:tc>
        <w:tc>
          <w:tcPr>
            <w:tcW w:w="2033" w:type="dxa"/>
            <w:vMerge w:val="restart"/>
          </w:tcPr>
          <w:p w:rsidR="00AA5CAF" w:rsidRDefault="002D5BFD" w:rsidP="002D5BFD">
            <w:pPr>
              <w:rPr>
                <w:lang w:eastAsia="ko-KR"/>
              </w:rPr>
            </w:pPr>
            <w:r>
              <w:rPr>
                <w:lang w:eastAsia="ko-KR"/>
              </w:rPr>
              <w:t>CKD stages 1-4</w:t>
            </w:r>
          </w:p>
        </w:tc>
        <w:tc>
          <w:tcPr>
            <w:tcW w:w="1253" w:type="dxa"/>
            <w:vMerge w:val="restart"/>
          </w:tcPr>
          <w:p w:rsidR="00AA5CAF" w:rsidRDefault="00AA5CAF" w:rsidP="00AA5CAF">
            <w:pPr>
              <w:rPr>
                <w:lang w:eastAsia="ko-KR"/>
              </w:rPr>
            </w:pPr>
            <w:r>
              <w:fldChar w:fldCharType="begin" w:fldLock="1"/>
            </w:r>
            <w:r>
              <w:rPr>
                <w:lang w:eastAsia="ko-KR"/>
              </w:rPr>
              <w:instrText>ADDIN CSL_CITATION {"citationItems":[{"id":"ITEM-1","itemData":{"DOI":"10.1053/j.ajkd.2012.05.017","ISBN":"1523-6838 (Electronic)\r0272-6386 (Linking)","PMID":"22770927","abstract":"BACKGROUND: Frailty is a construct developed to characterize a state of reduced functional capacity in</w:instrText>
            </w:r>
            <w:r>
              <w:instrText xml:space="preserve">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A132EC" w:rsidTr="00AA5CAF">
        <w:trPr>
          <w:trHeight w:val="276"/>
        </w:trPr>
        <w:tc>
          <w:tcPr>
            <w:tcW w:w="305" w:type="dxa"/>
            <w:vMerge/>
          </w:tcPr>
          <w:p w:rsidR="00AA5CAF" w:rsidRDefault="00AA5CAF" w:rsidP="00AA5CAF">
            <w:pPr>
              <w:rPr>
                <w:lang w:eastAsia="ko-KR"/>
              </w:rPr>
            </w:pPr>
          </w:p>
        </w:tc>
        <w:tc>
          <w:tcPr>
            <w:tcW w:w="1987" w:type="dxa"/>
            <w:gridSpan w:val="2"/>
            <w:vMerge/>
          </w:tcPr>
          <w:p w:rsidR="00AA5CAF" w:rsidRDefault="00AA5CAF" w:rsidP="00AA5CAF">
            <w:pPr>
              <w:rPr>
                <w:lang w:eastAsia="ko-KR"/>
              </w:rPr>
            </w:pPr>
          </w:p>
        </w:tc>
        <w:tc>
          <w:tcPr>
            <w:tcW w:w="244" w:type="dxa"/>
          </w:tcPr>
          <w:p w:rsidR="00AA5CAF" w:rsidRDefault="00AA5CAF" w:rsidP="00AA5CAF">
            <w:pPr>
              <w:rPr>
                <w:lang w:eastAsia="ko-KR"/>
              </w:rPr>
            </w:pPr>
          </w:p>
        </w:tc>
        <w:tc>
          <w:tcPr>
            <w:tcW w:w="3760" w:type="dxa"/>
            <w:gridSpan w:val="5"/>
          </w:tcPr>
          <w:p w:rsidR="00AA5CAF" w:rsidRDefault="000D24F0" w:rsidP="00AA5CAF">
            <w:pPr>
              <w:rPr>
                <w:lang w:eastAsia="ko-KR"/>
              </w:rPr>
            </w:pPr>
            <w:r>
              <w:rPr>
                <w:lang w:eastAsia="ko-KR"/>
              </w:rPr>
              <w:t>At least one disability in activities of d</w:t>
            </w:r>
            <w:r w:rsidR="00AA5CAF">
              <w:rPr>
                <w:lang w:eastAsia="ko-KR"/>
              </w:rPr>
              <w:t>aily Living (</w:t>
            </w:r>
            <w:r w:rsidR="00AA5CAF">
              <w:rPr>
                <w:rFonts w:hint="eastAsia"/>
                <w:lang w:eastAsia="ko-KR"/>
              </w:rPr>
              <w:t>ADL</w:t>
            </w:r>
            <w:r w:rsidR="00AA5CAF">
              <w:rPr>
                <w:lang w:eastAsia="ko-KR"/>
              </w:rPr>
              <w:t>s)</w:t>
            </w:r>
          </w:p>
        </w:tc>
        <w:tc>
          <w:tcPr>
            <w:tcW w:w="1745" w:type="dxa"/>
          </w:tcPr>
          <w:p w:rsidR="00AA5CAF" w:rsidRDefault="00AA5CAF" w:rsidP="00AA5CAF">
            <w:pPr>
              <w:rPr>
                <w:lang w:eastAsia="ko-KR"/>
              </w:rPr>
            </w:pPr>
            <w:r>
              <w:rPr>
                <w:rFonts w:hint="eastAsia"/>
                <w:lang w:eastAsia="ko-KR"/>
              </w:rPr>
              <w:t>15</w:t>
            </w:r>
            <w:r w:rsidR="00045B14">
              <w:rPr>
                <w:lang w:eastAsia="ko-KR"/>
              </w:rPr>
              <w:t>%</w:t>
            </w:r>
            <w:r>
              <w:rPr>
                <w:rFonts w:hint="eastAsia"/>
                <w:lang w:eastAsia="ko-KR"/>
              </w:rPr>
              <w:t xml:space="preserve"> vs. 5</w:t>
            </w:r>
            <w:r w:rsidR="00045B14">
              <w:rPr>
                <w:lang w:eastAsia="ko-KR"/>
              </w:rPr>
              <w:t>%</w:t>
            </w:r>
          </w:p>
        </w:tc>
        <w:tc>
          <w:tcPr>
            <w:tcW w:w="1443" w:type="dxa"/>
            <w:vMerge/>
          </w:tcPr>
          <w:p w:rsidR="00AA5CAF" w:rsidRDefault="00AA5CAF" w:rsidP="00AA5CAF">
            <w:pPr>
              <w:rPr>
                <w:lang w:eastAsia="ko-KR"/>
              </w:rPr>
            </w:pPr>
          </w:p>
        </w:tc>
        <w:tc>
          <w:tcPr>
            <w:tcW w:w="1178" w:type="dxa"/>
            <w:vMerge/>
          </w:tcPr>
          <w:p w:rsidR="00AA5CAF" w:rsidRDefault="00AA5CAF" w:rsidP="00AA5CAF">
            <w:pPr>
              <w:rPr>
                <w:lang w:eastAsia="ko-KR"/>
              </w:rPr>
            </w:pPr>
          </w:p>
        </w:tc>
        <w:tc>
          <w:tcPr>
            <w:tcW w:w="2033" w:type="dxa"/>
            <w:vMerge/>
          </w:tcPr>
          <w:p w:rsidR="00AA5CAF" w:rsidRDefault="00AA5CAF" w:rsidP="00AA5CAF">
            <w:pPr>
              <w:rPr>
                <w:lang w:eastAsia="ko-KR"/>
              </w:rPr>
            </w:pPr>
          </w:p>
        </w:tc>
        <w:tc>
          <w:tcPr>
            <w:tcW w:w="1253" w:type="dxa"/>
            <w:vMerge/>
          </w:tcPr>
          <w:p w:rsidR="00AA5CAF" w:rsidRDefault="00AA5CAF" w:rsidP="00AA5CAF">
            <w:pPr>
              <w:rPr>
                <w:lang w:eastAsia="ko-KR"/>
              </w:rPr>
            </w:pPr>
          </w:p>
        </w:tc>
      </w:tr>
      <w:tr w:rsidR="00A132EC" w:rsidTr="00AA5CAF">
        <w:trPr>
          <w:trHeight w:val="693"/>
        </w:trPr>
        <w:tc>
          <w:tcPr>
            <w:tcW w:w="305" w:type="dxa"/>
            <w:vMerge/>
          </w:tcPr>
          <w:p w:rsidR="00AA5CAF" w:rsidRDefault="00AA5CAF" w:rsidP="00AA5CAF">
            <w:pPr>
              <w:rPr>
                <w:lang w:eastAsia="ko-KR"/>
              </w:rPr>
            </w:pPr>
          </w:p>
        </w:tc>
        <w:tc>
          <w:tcPr>
            <w:tcW w:w="1987" w:type="dxa"/>
            <w:gridSpan w:val="2"/>
            <w:vMerge/>
          </w:tcPr>
          <w:p w:rsidR="00AA5CAF" w:rsidRDefault="00AA5CAF" w:rsidP="00AA5CAF">
            <w:pPr>
              <w:rPr>
                <w:lang w:eastAsia="ko-KR"/>
              </w:rPr>
            </w:pPr>
          </w:p>
        </w:tc>
        <w:tc>
          <w:tcPr>
            <w:tcW w:w="244" w:type="dxa"/>
          </w:tcPr>
          <w:p w:rsidR="00AA5CAF" w:rsidRDefault="00AA5CAF" w:rsidP="00AA5CAF">
            <w:pPr>
              <w:rPr>
                <w:lang w:eastAsia="ko-KR"/>
              </w:rPr>
            </w:pPr>
          </w:p>
        </w:tc>
        <w:tc>
          <w:tcPr>
            <w:tcW w:w="3760" w:type="dxa"/>
            <w:gridSpan w:val="5"/>
          </w:tcPr>
          <w:p w:rsidR="00AA5CAF" w:rsidRDefault="000D24F0" w:rsidP="000D24F0">
            <w:pPr>
              <w:rPr>
                <w:lang w:eastAsia="ko-KR"/>
              </w:rPr>
            </w:pPr>
            <w:r>
              <w:rPr>
                <w:lang w:eastAsia="ko-KR"/>
              </w:rPr>
              <w:t>At least one disability in instrumental a</w:t>
            </w:r>
            <w:r w:rsidR="00AA5CAF">
              <w:rPr>
                <w:lang w:eastAsia="ko-KR"/>
              </w:rPr>
              <w:t xml:space="preserve">ctivities of </w:t>
            </w:r>
            <w:r>
              <w:rPr>
                <w:lang w:eastAsia="ko-KR"/>
              </w:rPr>
              <w:t>d</w:t>
            </w:r>
            <w:r w:rsidR="00AA5CAF">
              <w:rPr>
                <w:lang w:eastAsia="ko-KR"/>
              </w:rPr>
              <w:t xml:space="preserve">aily </w:t>
            </w:r>
            <w:r>
              <w:rPr>
                <w:lang w:eastAsia="ko-KR"/>
              </w:rPr>
              <w:t>l</w:t>
            </w:r>
            <w:r w:rsidR="00AA5CAF">
              <w:rPr>
                <w:lang w:eastAsia="ko-KR"/>
              </w:rPr>
              <w:t>iving (</w:t>
            </w:r>
            <w:r w:rsidR="00AA5CAF">
              <w:rPr>
                <w:rFonts w:hint="eastAsia"/>
                <w:lang w:eastAsia="ko-KR"/>
              </w:rPr>
              <w:t>IADL</w:t>
            </w:r>
            <w:r w:rsidR="00AA5CAF">
              <w:rPr>
                <w:lang w:eastAsia="ko-KR"/>
              </w:rPr>
              <w:t>s)</w:t>
            </w:r>
          </w:p>
        </w:tc>
        <w:tc>
          <w:tcPr>
            <w:tcW w:w="1745" w:type="dxa"/>
          </w:tcPr>
          <w:p w:rsidR="00AA5CAF" w:rsidRDefault="00AA5CAF" w:rsidP="00AA5CAF">
            <w:pPr>
              <w:rPr>
                <w:lang w:eastAsia="ko-KR"/>
              </w:rPr>
            </w:pPr>
            <w:r>
              <w:rPr>
                <w:lang w:eastAsia="ko-KR"/>
              </w:rPr>
              <w:t>6</w:t>
            </w:r>
            <w:r w:rsidR="00045B14">
              <w:rPr>
                <w:lang w:eastAsia="ko-KR"/>
              </w:rPr>
              <w:t xml:space="preserve">0% </w:t>
            </w:r>
            <w:r>
              <w:rPr>
                <w:lang w:eastAsia="ko-KR"/>
              </w:rPr>
              <w:t>vs. 28</w:t>
            </w:r>
            <w:r w:rsidR="00045B14">
              <w:rPr>
                <w:lang w:eastAsia="ko-KR"/>
              </w:rPr>
              <w:t>%</w:t>
            </w:r>
          </w:p>
        </w:tc>
        <w:tc>
          <w:tcPr>
            <w:tcW w:w="1443" w:type="dxa"/>
            <w:vMerge/>
          </w:tcPr>
          <w:p w:rsidR="00AA5CAF" w:rsidRDefault="00AA5CAF" w:rsidP="00AA5CAF">
            <w:pPr>
              <w:rPr>
                <w:lang w:eastAsia="ko-KR"/>
              </w:rPr>
            </w:pPr>
          </w:p>
        </w:tc>
        <w:tc>
          <w:tcPr>
            <w:tcW w:w="1178" w:type="dxa"/>
            <w:vMerge/>
          </w:tcPr>
          <w:p w:rsidR="00AA5CAF" w:rsidRDefault="00AA5CAF" w:rsidP="00AA5CAF">
            <w:pPr>
              <w:rPr>
                <w:lang w:eastAsia="ko-KR"/>
              </w:rPr>
            </w:pPr>
          </w:p>
        </w:tc>
        <w:tc>
          <w:tcPr>
            <w:tcW w:w="2033" w:type="dxa"/>
            <w:vMerge/>
          </w:tcPr>
          <w:p w:rsidR="00AA5CAF" w:rsidRDefault="00AA5CAF" w:rsidP="00AA5CAF">
            <w:pPr>
              <w:rPr>
                <w:lang w:eastAsia="ko-KR"/>
              </w:rPr>
            </w:pPr>
          </w:p>
        </w:tc>
        <w:tc>
          <w:tcPr>
            <w:tcW w:w="1253" w:type="dxa"/>
            <w:vMerge/>
          </w:tcPr>
          <w:p w:rsidR="00AA5CAF" w:rsidRDefault="00AA5CAF" w:rsidP="00AA5CAF">
            <w:pPr>
              <w:rPr>
                <w:lang w:eastAsia="ko-KR"/>
              </w:rPr>
            </w:pPr>
          </w:p>
        </w:tc>
      </w:tr>
      <w:tr w:rsidR="00A132EC" w:rsidTr="00AA5CAF">
        <w:trPr>
          <w:trHeight w:val="359"/>
        </w:trPr>
        <w:tc>
          <w:tcPr>
            <w:tcW w:w="305" w:type="dxa"/>
            <w:vMerge/>
          </w:tcPr>
          <w:p w:rsidR="00AA5CAF" w:rsidRDefault="00AA5CAF" w:rsidP="00AA5CAF">
            <w:pPr>
              <w:rPr>
                <w:lang w:eastAsia="ko-KR"/>
              </w:rPr>
            </w:pPr>
          </w:p>
        </w:tc>
        <w:tc>
          <w:tcPr>
            <w:tcW w:w="1987" w:type="dxa"/>
            <w:gridSpan w:val="2"/>
            <w:vMerge/>
          </w:tcPr>
          <w:p w:rsidR="00AA5CAF" w:rsidRDefault="00AA5CAF" w:rsidP="00AA5CAF">
            <w:pPr>
              <w:rPr>
                <w:lang w:eastAsia="ko-KR"/>
              </w:rPr>
            </w:pPr>
          </w:p>
        </w:tc>
        <w:tc>
          <w:tcPr>
            <w:tcW w:w="244" w:type="dxa"/>
          </w:tcPr>
          <w:p w:rsidR="00AA5CAF" w:rsidRDefault="00AA5CAF" w:rsidP="00AA5CAF">
            <w:pPr>
              <w:rPr>
                <w:lang w:eastAsia="ko-KR"/>
              </w:rPr>
            </w:pPr>
          </w:p>
        </w:tc>
        <w:tc>
          <w:tcPr>
            <w:tcW w:w="3760" w:type="dxa"/>
            <w:gridSpan w:val="5"/>
          </w:tcPr>
          <w:p w:rsidR="00AA5CAF" w:rsidRDefault="000D24F0" w:rsidP="000D24F0">
            <w:pPr>
              <w:rPr>
                <w:lang w:eastAsia="ko-KR"/>
              </w:rPr>
            </w:pPr>
            <w:r>
              <w:rPr>
                <w:lang w:eastAsia="ko-KR"/>
              </w:rPr>
              <w:t>At least one disability in mo</w:t>
            </w:r>
            <w:r w:rsidR="00AA5CAF">
              <w:rPr>
                <w:rFonts w:hint="eastAsia"/>
                <w:lang w:eastAsia="ko-KR"/>
              </w:rPr>
              <w:t xml:space="preserve">bility </w:t>
            </w:r>
            <w:r>
              <w:rPr>
                <w:lang w:eastAsia="ko-KR"/>
              </w:rPr>
              <w:t>tasks</w:t>
            </w:r>
          </w:p>
        </w:tc>
        <w:tc>
          <w:tcPr>
            <w:tcW w:w="1745" w:type="dxa"/>
          </w:tcPr>
          <w:p w:rsidR="00AA5CAF" w:rsidRDefault="00AA5CAF" w:rsidP="00AA5CAF">
            <w:pPr>
              <w:rPr>
                <w:lang w:eastAsia="ko-KR"/>
              </w:rPr>
            </w:pPr>
            <w:r>
              <w:rPr>
                <w:lang w:eastAsia="ko-KR"/>
              </w:rPr>
              <w:t>40</w:t>
            </w:r>
            <w:r w:rsidR="00833624">
              <w:rPr>
                <w:rFonts w:hint="eastAsia"/>
              </w:rPr>
              <w:t>%</w:t>
            </w:r>
            <w:r>
              <w:rPr>
                <w:lang w:eastAsia="ko-KR"/>
              </w:rPr>
              <w:t xml:space="preserve"> vs. 18</w:t>
            </w:r>
            <w:r w:rsidR="00833624">
              <w:rPr>
                <w:rFonts w:hint="eastAsia"/>
              </w:rPr>
              <w:t>%</w:t>
            </w:r>
          </w:p>
        </w:tc>
        <w:tc>
          <w:tcPr>
            <w:tcW w:w="1443" w:type="dxa"/>
            <w:vMerge/>
          </w:tcPr>
          <w:p w:rsidR="00AA5CAF" w:rsidRDefault="00AA5CAF" w:rsidP="00AA5CAF">
            <w:pPr>
              <w:rPr>
                <w:lang w:eastAsia="ko-KR"/>
              </w:rPr>
            </w:pPr>
          </w:p>
        </w:tc>
        <w:tc>
          <w:tcPr>
            <w:tcW w:w="1178" w:type="dxa"/>
            <w:vMerge/>
          </w:tcPr>
          <w:p w:rsidR="00AA5CAF" w:rsidRDefault="00AA5CAF" w:rsidP="00AA5CAF">
            <w:pPr>
              <w:rPr>
                <w:lang w:eastAsia="ko-KR"/>
              </w:rPr>
            </w:pPr>
          </w:p>
        </w:tc>
        <w:tc>
          <w:tcPr>
            <w:tcW w:w="2033" w:type="dxa"/>
            <w:vMerge/>
          </w:tcPr>
          <w:p w:rsidR="00AA5CAF" w:rsidRDefault="00AA5CAF" w:rsidP="00AA5CAF">
            <w:pPr>
              <w:rPr>
                <w:lang w:eastAsia="ko-KR"/>
              </w:rPr>
            </w:pPr>
          </w:p>
        </w:tc>
        <w:tc>
          <w:tcPr>
            <w:tcW w:w="1253" w:type="dxa"/>
            <w:vMerge/>
          </w:tcPr>
          <w:p w:rsidR="00AA5CAF" w:rsidRDefault="00AA5CAF" w:rsidP="00AA5CAF">
            <w:pPr>
              <w:rPr>
                <w:lang w:eastAsia="ko-KR"/>
              </w:rPr>
            </w:pPr>
          </w:p>
        </w:tc>
      </w:tr>
      <w:tr w:rsidR="00833624" w:rsidTr="00AA5CAF">
        <w:trPr>
          <w:trHeight w:val="347"/>
        </w:trPr>
        <w:tc>
          <w:tcPr>
            <w:tcW w:w="305" w:type="dxa"/>
            <w:vMerge w:val="restart"/>
          </w:tcPr>
          <w:p w:rsidR="00833624" w:rsidRDefault="00833624" w:rsidP="00AA5CAF">
            <w:pPr>
              <w:rPr>
                <w:lang w:eastAsia="ko-KR"/>
              </w:rPr>
            </w:pPr>
          </w:p>
        </w:tc>
        <w:tc>
          <w:tcPr>
            <w:tcW w:w="1987" w:type="dxa"/>
            <w:gridSpan w:val="2"/>
            <w:vMerge w:val="restart"/>
          </w:tcPr>
          <w:p w:rsidR="00833624" w:rsidRDefault="00833624" w:rsidP="00AA5CAF">
            <w:pPr>
              <w:rPr>
                <w:lang w:eastAsia="ko-KR"/>
              </w:rPr>
            </w:pPr>
            <w:r>
              <w:rPr>
                <w:lang w:eastAsia="ko-KR"/>
              </w:rPr>
              <w:t>Endocrinologic/ Metabolic</w:t>
            </w:r>
          </w:p>
        </w:tc>
        <w:tc>
          <w:tcPr>
            <w:tcW w:w="4004" w:type="dxa"/>
            <w:gridSpan w:val="6"/>
          </w:tcPr>
          <w:p w:rsidR="00833624" w:rsidRDefault="00833624" w:rsidP="00AA5CAF">
            <w:pPr>
              <w:rPr>
                <w:lang w:eastAsia="ko-KR"/>
              </w:rPr>
            </w:pPr>
            <w:r>
              <w:rPr>
                <w:lang w:eastAsia="ko-KR"/>
              </w:rPr>
              <w:t>Diabetes</w:t>
            </w:r>
          </w:p>
        </w:tc>
        <w:tc>
          <w:tcPr>
            <w:tcW w:w="1745" w:type="dxa"/>
          </w:tcPr>
          <w:p w:rsidR="00833624" w:rsidRDefault="003F65A1" w:rsidP="00AA5CAF">
            <w:r>
              <w:rPr>
                <w:rFonts w:hint="eastAsia"/>
              </w:rPr>
              <w:t>F vs. NF</w:t>
            </w:r>
          </w:p>
        </w:tc>
        <w:tc>
          <w:tcPr>
            <w:tcW w:w="1443" w:type="dxa"/>
          </w:tcPr>
          <w:p w:rsidR="00833624" w:rsidRDefault="00833624" w:rsidP="00AA5CAF">
            <w:pPr>
              <w:rPr>
                <w:lang w:eastAsia="ko-KR"/>
              </w:rPr>
            </w:pPr>
          </w:p>
        </w:tc>
        <w:tc>
          <w:tcPr>
            <w:tcW w:w="1178" w:type="dxa"/>
          </w:tcPr>
          <w:p w:rsidR="00833624" w:rsidRDefault="00833624" w:rsidP="00AA5CAF">
            <w:pPr>
              <w:rPr>
                <w:lang w:eastAsia="ko-KR"/>
              </w:rPr>
            </w:pPr>
          </w:p>
        </w:tc>
        <w:tc>
          <w:tcPr>
            <w:tcW w:w="2033" w:type="dxa"/>
          </w:tcPr>
          <w:p w:rsidR="00833624" w:rsidRDefault="00833624" w:rsidP="00AA5CAF">
            <w:pPr>
              <w:rPr>
                <w:lang w:eastAsia="ko-KR"/>
              </w:rPr>
            </w:pPr>
          </w:p>
        </w:tc>
        <w:tc>
          <w:tcPr>
            <w:tcW w:w="1253" w:type="dxa"/>
          </w:tcPr>
          <w:p w:rsidR="00833624" w:rsidRDefault="00833624" w:rsidP="00AA5CAF">
            <w:pPr>
              <w:rPr>
                <w:lang w:eastAsia="ko-KR"/>
              </w:rPr>
            </w:pPr>
          </w:p>
        </w:tc>
      </w:tr>
      <w:tr w:rsidR="00833624" w:rsidTr="00AA5CAF">
        <w:trPr>
          <w:trHeight w:val="604"/>
        </w:trPr>
        <w:tc>
          <w:tcPr>
            <w:tcW w:w="305" w:type="dxa"/>
            <w:vMerge/>
          </w:tcPr>
          <w:p w:rsidR="00833624" w:rsidRDefault="00833624" w:rsidP="00AA5CAF">
            <w:pPr>
              <w:rPr>
                <w:lang w:eastAsia="ko-KR"/>
              </w:rPr>
            </w:pPr>
          </w:p>
        </w:tc>
        <w:tc>
          <w:tcPr>
            <w:tcW w:w="1987" w:type="dxa"/>
            <w:gridSpan w:val="2"/>
            <w:vMerge/>
          </w:tcPr>
          <w:p w:rsidR="00833624" w:rsidRDefault="00833624" w:rsidP="00AA5CAF">
            <w:pPr>
              <w:rPr>
                <w:lang w:eastAsia="ko-KR"/>
              </w:rPr>
            </w:pPr>
          </w:p>
        </w:tc>
        <w:tc>
          <w:tcPr>
            <w:tcW w:w="1640" w:type="dxa"/>
            <w:gridSpan w:val="4"/>
          </w:tcPr>
          <w:p w:rsidR="00833624" w:rsidRDefault="00833624" w:rsidP="00AA5CAF">
            <w:pPr>
              <w:rPr>
                <w:lang w:eastAsia="ko-KR"/>
              </w:rPr>
            </w:pPr>
          </w:p>
        </w:tc>
        <w:tc>
          <w:tcPr>
            <w:tcW w:w="2364" w:type="dxa"/>
            <w:gridSpan w:val="2"/>
          </w:tcPr>
          <w:p w:rsidR="00833624" w:rsidRDefault="00833624" w:rsidP="00AA5CAF">
            <w:pPr>
              <w:rPr>
                <w:lang w:eastAsia="ko-KR"/>
              </w:rPr>
            </w:pPr>
            <w:r>
              <w:rPr>
                <w:rFonts w:hint="eastAsia"/>
                <w:lang w:eastAsia="ko-KR"/>
              </w:rPr>
              <w:t>Prevalence</w:t>
            </w:r>
          </w:p>
        </w:tc>
        <w:tc>
          <w:tcPr>
            <w:tcW w:w="1745" w:type="dxa"/>
          </w:tcPr>
          <w:p w:rsidR="00833624" w:rsidRDefault="00833624" w:rsidP="00AA5CAF">
            <w:pPr>
              <w:rPr>
                <w:lang w:eastAsia="ko-KR"/>
              </w:rPr>
            </w:pPr>
            <w:r>
              <w:rPr>
                <w:lang w:eastAsia="ko-KR"/>
              </w:rPr>
              <w:t>64</w:t>
            </w:r>
            <w:r>
              <w:rPr>
                <w:rFonts w:hint="eastAsia"/>
              </w:rPr>
              <w:t>%</w:t>
            </w:r>
            <w:r>
              <w:rPr>
                <w:lang w:eastAsia="ko-KR"/>
              </w:rPr>
              <w:t xml:space="preserve"> vs. 49</w:t>
            </w:r>
            <w:r>
              <w:rPr>
                <w:rFonts w:hint="eastAsia"/>
              </w:rPr>
              <w:t>%</w:t>
            </w:r>
          </w:p>
        </w:tc>
        <w:tc>
          <w:tcPr>
            <w:tcW w:w="1443" w:type="dxa"/>
          </w:tcPr>
          <w:p w:rsidR="00833624" w:rsidRDefault="00833624" w:rsidP="00AA5CAF">
            <w:pPr>
              <w:rPr>
                <w:lang w:eastAsia="ko-KR"/>
              </w:rPr>
            </w:pPr>
            <w:r>
              <w:rPr>
                <w:rFonts w:hint="eastAsia"/>
                <w:lang w:eastAsia="ko-KR"/>
              </w:rPr>
              <w:t xml:space="preserve">Fried </w:t>
            </w:r>
            <w:r>
              <w:rPr>
                <w:lang w:eastAsia="ko-KR"/>
              </w:rPr>
              <w:t>Phenotypes</w:t>
            </w:r>
          </w:p>
        </w:tc>
        <w:tc>
          <w:tcPr>
            <w:tcW w:w="1178" w:type="dxa"/>
          </w:tcPr>
          <w:p w:rsidR="00833624" w:rsidRDefault="00833624" w:rsidP="00AA5CAF">
            <w:pPr>
              <w:rPr>
                <w:lang w:eastAsia="ko-KR"/>
              </w:rPr>
            </w:pPr>
            <w:r>
              <w:rPr>
                <w:rFonts w:hint="eastAsia"/>
                <w:lang w:eastAsia="ko-KR"/>
              </w:rPr>
              <w:t>336</w:t>
            </w:r>
          </w:p>
        </w:tc>
        <w:tc>
          <w:tcPr>
            <w:tcW w:w="2033" w:type="dxa"/>
          </w:tcPr>
          <w:p w:rsidR="00833624" w:rsidRDefault="002D5BFD" w:rsidP="002D5BFD">
            <w:pPr>
              <w:rPr>
                <w:lang w:eastAsia="ko-KR"/>
              </w:rPr>
            </w:pPr>
            <w:r>
              <w:rPr>
                <w:lang w:eastAsia="ko-KR"/>
              </w:rPr>
              <w:t>CKD stages 1-4</w:t>
            </w:r>
          </w:p>
        </w:tc>
        <w:tc>
          <w:tcPr>
            <w:tcW w:w="1253" w:type="dxa"/>
          </w:tcPr>
          <w:p w:rsidR="00833624" w:rsidRDefault="00833624" w:rsidP="00AA5CAF">
            <w:pPr>
              <w:rPr>
                <w:lang w:eastAsia="ko-KR"/>
              </w:rPr>
            </w:pPr>
            <w:r>
              <w:fldChar w:fldCharType="begin" w:fldLock="1"/>
            </w:r>
            <w:r>
              <w:rPr>
                <w:lang w:eastAsia="ko-KR"/>
              </w:rPr>
              <w:instrText>ADDIN CSL_CITATION {"citationItems":[{"id":"ITEM-1","itemData":{"DOI":"10.1053/j.ajkd.</w:instrText>
            </w:r>
            <w:r>
              <w:instrText>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833624" w:rsidTr="00AA5CAF">
        <w:trPr>
          <w:trHeight w:val="693"/>
        </w:trPr>
        <w:tc>
          <w:tcPr>
            <w:tcW w:w="305" w:type="dxa"/>
            <w:vMerge/>
          </w:tcPr>
          <w:p w:rsidR="00833624" w:rsidRDefault="00833624" w:rsidP="00AA5CAF">
            <w:pPr>
              <w:rPr>
                <w:lang w:eastAsia="ko-KR"/>
              </w:rPr>
            </w:pPr>
          </w:p>
        </w:tc>
        <w:tc>
          <w:tcPr>
            <w:tcW w:w="1987" w:type="dxa"/>
            <w:gridSpan w:val="2"/>
            <w:vMerge/>
          </w:tcPr>
          <w:p w:rsidR="00833624" w:rsidRDefault="00833624" w:rsidP="00AA5CAF">
            <w:pPr>
              <w:rPr>
                <w:lang w:eastAsia="ko-KR"/>
              </w:rPr>
            </w:pPr>
          </w:p>
        </w:tc>
        <w:tc>
          <w:tcPr>
            <w:tcW w:w="4004" w:type="dxa"/>
            <w:gridSpan w:val="6"/>
          </w:tcPr>
          <w:p w:rsidR="00833624" w:rsidRDefault="00833624" w:rsidP="00AA5CAF">
            <w:pPr>
              <w:rPr>
                <w:lang w:eastAsia="ko-KR"/>
              </w:rPr>
            </w:pPr>
            <w:r>
              <w:rPr>
                <w:rFonts w:hint="eastAsia"/>
                <w:lang w:eastAsia="ko-KR"/>
              </w:rPr>
              <w:t>O</w:t>
            </w:r>
            <w:r>
              <w:rPr>
                <w:lang w:eastAsia="ko-KR"/>
              </w:rPr>
              <w:t>besity</w:t>
            </w:r>
          </w:p>
        </w:tc>
        <w:tc>
          <w:tcPr>
            <w:tcW w:w="1745" w:type="dxa"/>
          </w:tcPr>
          <w:p w:rsidR="00833624" w:rsidRDefault="001F6B70" w:rsidP="00AA5CAF">
            <w:r>
              <w:rPr>
                <w:rFonts w:hint="eastAsia"/>
              </w:rPr>
              <w:t>F vs. NF</w:t>
            </w:r>
          </w:p>
        </w:tc>
        <w:tc>
          <w:tcPr>
            <w:tcW w:w="1443" w:type="dxa"/>
          </w:tcPr>
          <w:p w:rsidR="00833624" w:rsidRDefault="00833624" w:rsidP="00AA5CAF">
            <w:pPr>
              <w:rPr>
                <w:lang w:eastAsia="ko-KR"/>
              </w:rPr>
            </w:pPr>
          </w:p>
        </w:tc>
        <w:tc>
          <w:tcPr>
            <w:tcW w:w="1178" w:type="dxa"/>
          </w:tcPr>
          <w:p w:rsidR="00833624" w:rsidRDefault="00833624" w:rsidP="00AA5CAF">
            <w:pPr>
              <w:rPr>
                <w:lang w:eastAsia="ko-KR"/>
              </w:rPr>
            </w:pPr>
          </w:p>
        </w:tc>
        <w:tc>
          <w:tcPr>
            <w:tcW w:w="2033" w:type="dxa"/>
          </w:tcPr>
          <w:p w:rsidR="00833624" w:rsidRDefault="00833624" w:rsidP="00AA5CAF">
            <w:pPr>
              <w:rPr>
                <w:lang w:eastAsia="ko-KR"/>
              </w:rPr>
            </w:pPr>
          </w:p>
        </w:tc>
        <w:tc>
          <w:tcPr>
            <w:tcW w:w="1253" w:type="dxa"/>
          </w:tcPr>
          <w:p w:rsidR="00833624" w:rsidRDefault="00833624" w:rsidP="00AA5CAF">
            <w:pPr>
              <w:rPr>
                <w:lang w:eastAsia="ko-KR"/>
              </w:rPr>
            </w:pPr>
          </w:p>
        </w:tc>
      </w:tr>
      <w:tr w:rsidR="00833624" w:rsidTr="00AA5CAF">
        <w:trPr>
          <w:trHeight w:val="71"/>
        </w:trPr>
        <w:tc>
          <w:tcPr>
            <w:tcW w:w="305" w:type="dxa"/>
            <w:vMerge/>
          </w:tcPr>
          <w:p w:rsidR="00833624" w:rsidRDefault="00833624" w:rsidP="00AA5CAF">
            <w:pPr>
              <w:rPr>
                <w:lang w:eastAsia="ko-KR"/>
              </w:rPr>
            </w:pPr>
          </w:p>
        </w:tc>
        <w:tc>
          <w:tcPr>
            <w:tcW w:w="1987" w:type="dxa"/>
            <w:gridSpan w:val="2"/>
            <w:vMerge/>
          </w:tcPr>
          <w:p w:rsidR="00833624" w:rsidRDefault="00833624" w:rsidP="00AA5CAF">
            <w:pPr>
              <w:rPr>
                <w:lang w:eastAsia="ko-KR"/>
              </w:rPr>
            </w:pPr>
          </w:p>
        </w:tc>
        <w:tc>
          <w:tcPr>
            <w:tcW w:w="244" w:type="dxa"/>
          </w:tcPr>
          <w:p w:rsidR="00833624" w:rsidRDefault="00833624" w:rsidP="00AA5CAF">
            <w:pPr>
              <w:rPr>
                <w:lang w:eastAsia="ko-KR"/>
              </w:rPr>
            </w:pPr>
          </w:p>
        </w:tc>
        <w:tc>
          <w:tcPr>
            <w:tcW w:w="3760" w:type="dxa"/>
            <w:gridSpan w:val="5"/>
          </w:tcPr>
          <w:p w:rsidR="00833624" w:rsidRDefault="00833624" w:rsidP="00AA5CAF">
            <w:pPr>
              <w:rPr>
                <w:lang w:eastAsia="ko-KR"/>
              </w:rPr>
            </w:pPr>
            <w:r>
              <w:rPr>
                <w:rFonts w:hint="eastAsia"/>
                <w:lang w:eastAsia="ko-KR"/>
              </w:rPr>
              <w:t>Prevalence</w:t>
            </w:r>
          </w:p>
        </w:tc>
        <w:tc>
          <w:tcPr>
            <w:tcW w:w="1745" w:type="dxa"/>
          </w:tcPr>
          <w:p w:rsidR="00833624" w:rsidRDefault="00833624" w:rsidP="00AA5CAF">
            <w:pPr>
              <w:rPr>
                <w:lang w:eastAsia="ko-KR"/>
              </w:rPr>
            </w:pPr>
            <w:r>
              <w:rPr>
                <w:lang w:eastAsia="ko-KR"/>
              </w:rPr>
              <w:t>64% vs. 50%</w:t>
            </w:r>
          </w:p>
        </w:tc>
        <w:tc>
          <w:tcPr>
            <w:tcW w:w="1443" w:type="dxa"/>
          </w:tcPr>
          <w:p w:rsidR="00833624" w:rsidRDefault="00833624" w:rsidP="00AA5CAF">
            <w:pPr>
              <w:rPr>
                <w:lang w:eastAsia="ko-KR"/>
              </w:rPr>
            </w:pPr>
            <w:r>
              <w:rPr>
                <w:rFonts w:hint="eastAsia"/>
                <w:lang w:eastAsia="ko-KR"/>
              </w:rPr>
              <w:t>F</w:t>
            </w:r>
            <w:r>
              <w:rPr>
                <w:lang w:eastAsia="ko-KR"/>
              </w:rPr>
              <w:t>ried Phenotypes</w:t>
            </w:r>
          </w:p>
        </w:tc>
        <w:tc>
          <w:tcPr>
            <w:tcW w:w="1178" w:type="dxa"/>
          </w:tcPr>
          <w:p w:rsidR="00833624" w:rsidRDefault="00833624" w:rsidP="00AA5CAF">
            <w:pPr>
              <w:rPr>
                <w:lang w:eastAsia="ko-KR"/>
              </w:rPr>
            </w:pPr>
            <w:r>
              <w:rPr>
                <w:rFonts w:hint="eastAsia"/>
                <w:lang w:eastAsia="ko-KR"/>
              </w:rPr>
              <w:t>336</w:t>
            </w:r>
          </w:p>
        </w:tc>
        <w:tc>
          <w:tcPr>
            <w:tcW w:w="2033" w:type="dxa"/>
          </w:tcPr>
          <w:p w:rsidR="00833624" w:rsidRDefault="002D5BFD" w:rsidP="002D5BFD">
            <w:pPr>
              <w:rPr>
                <w:lang w:eastAsia="ko-KR"/>
              </w:rPr>
            </w:pPr>
            <w:r>
              <w:rPr>
                <w:lang w:eastAsia="ko-KR"/>
              </w:rPr>
              <w:t>CKD stages 1-4</w:t>
            </w:r>
          </w:p>
        </w:tc>
        <w:tc>
          <w:tcPr>
            <w:tcW w:w="1253" w:type="dxa"/>
          </w:tcPr>
          <w:p w:rsidR="00833624" w:rsidRDefault="00833624" w:rsidP="00AA5CAF">
            <w:pPr>
              <w:rPr>
                <w:lang w:eastAsia="ko-KR"/>
              </w:rPr>
            </w:pPr>
            <w:r>
              <w:fldChar w:fldCharType="begin" w:fldLock="1"/>
            </w:r>
            <w:r>
              <w:rPr>
                <w:lang w:eastAsia="ko-KR"/>
              </w:rPr>
              <w:instrText>ADDIN CSL_CITATION {"citationItems":[{"id":"ITEM-1","itemData":{"DOI":"10.1053/j.ajkd.2012.05.017","ISBN":"1523-6838 (Electronic)\r0272-6386 (Linking)","PMID":"22770927","abstract":"BACKGROUND: Frailty is a construct developed to characterize a state of reduced function</w:instrText>
            </w:r>
            <w:r>
              <w:instrText>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w:instrText>
            </w:r>
            <w:r>
              <w:rPr>
                <w:lang w:eastAsia="ko-KR"/>
              </w:rPr>
              <w:instrText>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lang w:eastAsia="ko-KR"/>
              </w:rPr>
              <w:instrText>ven":"B","non-dropping-particle":"","parse-names":false,"suffix":""}],"container-title":"Am J Kidney Dis","id":"ITEM-1","issue":"6","issued":{"date-parts":[["2012"]]},"note":"Calculate p-value on your own</w:instrText>
            </w:r>
            <w:r>
              <w:rPr>
                <w:rFonts w:hint="eastAsia"/>
                <w:lang w:eastAsia="ko-KR"/>
              </w:rPr>
              <w:instrText>！</w:instrText>
            </w:r>
            <w:r>
              <w:rPr>
                <w:rFonts w:hint="eastAsia"/>
                <w:lang w:eastAsia="ko-KR"/>
              </w:rPr>
              <w:instrText>\n\nFrail participants in the SKS were more likely</w:instrText>
            </w:r>
            <w:r>
              <w:rPr>
                <w:lang w:eastAsia="ko-KR"/>
              </w:rP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577729">
              <w:rPr>
                <w:noProof/>
                <w:vertAlign w:val="superscript"/>
                <w:lang w:eastAsia="ko-KR"/>
              </w:rPr>
              <w:t>3</w:t>
            </w:r>
            <w:r>
              <w:fldChar w:fldCharType="end"/>
            </w:r>
          </w:p>
        </w:tc>
      </w:tr>
      <w:tr w:rsidR="00833624" w:rsidTr="00AA5CAF">
        <w:trPr>
          <w:trHeight w:val="71"/>
        </w:trPr>
        <w:tc>
          <w:tcPr>
            <w:tcW w:w="305" w:type="dxa"/>
            <w:vMerge/>
          </w:tcPr>
          <w:p w:rsidR="00833624" w:rsidRDefault="00833624" w:rsidP="00833624">
            <w:pPr>
              <w:rPr>
                <w:lang w:eastAsia="ko-KR"/>
              </w:rPr>
            </w:pPr>
          </w:p>
        </w:tc>
        <w:tc>
          <w:tcPr>
            <w:tcW w:w="1987" w:type="dxa"/>
            <w:gridSpan w:val="2"/>
            <w:vMerge/>
          </w:tcPr>
          <w:p w:rsidR="00833624" w:rsidRDefault="00833624" w:rsidP="00833624">
            <w:pPr>
              <w:rPr>
                <w:lang w:eastAsia="ko-KR"/>
              </w:rPr>
            </w:pPr>
          </w:p>
        </w:tc>
        <w:tc>
          <w:tcPr>
            <w:tcW w:w="244" w:type="dxa"/>
          </w:tcPr>
          <w:p w:rsidR="00833624" w:rsidRDefault="00833624" w:rsidP="00833624">
            <w:pPr>
              <w:rPr>
                <w:lang w:eastAsia="ko-KR"/>
              </w:rPr>
            </w:pPr>
          </w:p>
        </w:tc>
        <w:tc>
          <w:tcPr>
            <w:tcW w:w="3760" w:type="dxa"/>
            <w:gridSpan w:val="5"/>
          </w:tcPr>
          <w:p w:rsidR="00833624" w:rsidRDefault="00833624" w:rsidP="00833624">
            <w:pPr>
              <w:rPr>
                <w:lang w:eastAsia="ko-KR"/>
              </w:rPr>
            </w:pPr>
            <w:r>
              <w:rPr>
                <w:rFonts w:hint="eastAsia"/>
                <w:lang w:eastAsia="ko-KR"/>
              </w:rPr>
              <w:t>Pr</w:t>
            </w:r>
            <w:r>
              <w:rPr>
                <w:lang w:eastAsia="ko-KR"/>
              </w:rPr>
              <w:t>evalence</w:t>
            </w:r>
          </w:p>
        </w:tc>
        <w:tc>
          <w:tcPr>
            <w:tcW w:w="1745" w:type="dxa"/>
          </w:tcPr>
          <w:p w:rsidR="00833624" w:rsidRDefault="00833624" w:rsidP="00833624">
            <w:pPr>
              <w:rPr>
                <w:lang w:eastAsia="ko-KR"/>
              </w:rPr>
            </w:pPr>
            <w:r>
              <w:rPr>
                <w:rFonts w:hint="eastAsia"/>
                <w:lang w:eastAsia="ko-KR"/>
              </w:rPr>
              <w:t>51.8</w:t>
            </w:r>
            <w:r>
              <w:rPr>
                <w:rFonts w:hint="eastAsia"/>
              </w:rPr>
              <w:t>%</w:t>
            </w:r>
            <w:r>
              <w:rPr>
                <w:rFonts w:hint="eastAsia"/>
                <w:lang w:eastAsia="ko-KR"/>
              </w:rPr>
              <w:t xml:space="preserve"> vs. </w:t>
            </w:r>
            <w:r>
              <w:rPr>
                <w:lang w:eastAsia="ko-KR"/>
              </w:rPr>
              <w:t>23.9%</w:t>
            </w:r>
          </w:p>
        </w:tc>
        <w:tc>
          <w:tcPr>
            <w:tcW w:w="1443" w:type="dxa"/>
            <w:vMerge w:val="restart"/>
          </w:tcPr>
          <w:p w:rsidR="00833624" w:rsidRDefault="00833624" w:rsidP="00833624">
            <w:pPr>
              <w:rPr>
                <w:lang w:eastAsia="ko-KR"/>
              </w:rPr>
            </w:pPr>
            <w:r>
              <w:rPr>
                <w:rFonts w:hint="eastAsia"/>
                <w:lang w:eastAsia="ko-KR"/>
              </w:rPr>
              <w:t>Fried Phenotypes</w:t>
            </w:r>
          </w:p>
        </w:tc>
        <w:tc>
          <w:tcPr>
            <w:tcW w:w="1178" w:type="dxa"/>
            <w:vMerge w:val="restart"/>
          </w:tcPr>
          <w:p w:rsidR="00833624" w:rsidRDefault="00833624" w:rsidP="00833624">
            <w:pPr>
              <w:rPr>
                <w:lang w:eastAsia="ko-KR"/>
              </w:rPr>
            </w:pPr>
            <w:r>
              <w:rPr>
                <w:rFonts w:hint="eastAsia"/>
                <w:lang w:eastAsia="ko-KR"/>
              </w:rPr>
              <w:t>324</w:t>
            </w:r>
          </w:p>
        </w:tc>
        <w:tc>
          <w:tcPr>
            <w:tcW w:w="2033" w:type="dxa"/>
            <w:vMerge w:val="restart"/>
          </w:tcPr>
          <w:p w:rsidR="00833624" w:rsidRDefault="00833624" w:rsidP="00833624">
            <w:pPr>
              <w:rPr>
                <w:lang w:eastAsia="ko-KR"/>
              </w:rPr>
            </w:pPr>
            <w:r>
              <w:rPr>
                <w:rFonts w:hint="eastAsia"/>
                <w:lang w:eastAsia="ko-KR"/>
              </w:rPr>
              <w:t>ESRD</w:t>
            </w:r>
          </w:p>
        </w:tc>
        <w:tc>
          <w:tcPr>
            <w:tcW w:w="1253" w:type="dxa"/>
            <w:vMerge w:val="restart"/>
          </w:tcPr>
          <w:p w:rsidR="00833624" w:rsidRDefault="00833624" w:rsidP="00833624">
            <w:pPr>
              <w:rPr>
                <w:lang w:eastAsia="ko-KR"/>
              </w:rPr>
            </w:pPr>
            <w:r>
              <w:fldChar w:fldCharType="begin" w:fldLock="1"/>
            </w:r>
            <w:r>
              <w:rPr>
                <w:lang w:eastAsia="ko-KR"/>
              </w:rPr>
              <w:instrText xml:space="preserve">ADDIN CSL_CITATION {"citationItems":[{"id":"ITEM-1","itemData":{"DOI":"10.2215/CJN.01960215","ISBN":"1555-9041","ISSN":"1555905X","PMID":"26573615","abstract":"BACKGROUND AND OBJECTIVES Patients of all ages undergoing hemodialysis (HD) have a high prevalence of cognitive impairment and worse cognitive function than </w:instrText>
            </w:r>
            <w:r>
              <w:instrText>healthy controls, and those with dementia are at high risk of death. Frailty has been associated with poor cognitive function in older adults without kidney disease. We hypothesized that frailty might also be associated with poor cognitive function in adults of all ages undergoing HD. DESIGN, SETTING, PARTICIPANTS, &amp; MEASUREMENTS At HD initiation, 324 adults enrolled (November 2008 to July 2012) in a longitudinal cohort study (Predictors of Arrhythmic and Cardiovascular Risk in ESRD) were classified into three groups (frail, intermediately frail, and nonfrail) based on the Fried frailty phenotype. Global cognitive function (3MS) and speed/attention (Trail Making Tests A and B [TMTA and TMTB, respectively]) were assessed at cohort entry and 1-year follow-up. Associations between frailty and cognitive function (at cohort entry and 1-year follow-up) were evaluated in adjusted (for sex, age, race, body mass index, education, depression and comorbidity at baseline) linear (3MS, TMTA) and Tobit (TMTB) regression models. RESULTS At cohort entry, the mean age was 54.8 years (SD 13.3), 56.5% were men, and 72.8% were black. The prevalence of frailty and intermediate frailty were 34.0% and 37.7%, respectively. The mean 3MS was 89.8 (SD 7.6), TMTA was 55.4 (SD 29), and TMTB was 161 (SD 83). Frailty was independently associated with lower cognitive function at cohort entry for all three measures (3MS: -2.4 points; 95% confidence interval [95% CI], -4.2 to -0.5; P=0.01; TMTA: 12.1 seconds; 95% CI, 4.7 to 19.4; P&lt;0.001; and TMTB: 33.2 seconds; 95% CI, 9.9 to 56.4; P=0.01; all tests for trend, P&lt;0.001) and with worse 3MS at 1-year follow-up (-2.8 points; 95% CI, -5.4 to -0.2; P=0.03). CONCLUSIONS In adult incident HD patients, frailty is associated with worse cognitive function, particularly global cognitive function (3MS).","author":[{"dropping-particle":"","family":"McAdams-Demarco","given":"Mara A.","non-dropping-particle":"","parse-names":false,"suffix":""},{"dropping-particle":"","family":"Tan","given":"Jingwen","non-dropping-particle":"","parse-names":false,"suffix":""},{"dropping-particle":"","family":"Salter","given":"Megan L","non-dropping-particle":"","parse-names":false,"suffix":""},{"dropping-particle":"","family":"Gross","given":"A</w:instrText>
            </w:r>
            <w:r>
              <w:rPr>
                <w:lang w:eastAsia="ko-KR"/>
              </w:rPr>
              <w:instrText>lden","non-dropping-particle":"","parse-names":false,"suffix":""},{"dropping-particle":"","family":"Meoni","given":"Lucy A","non-dropping-particle":"","parse-names":false,"suffix":""},{"dropping-particle":"","family":"Jaar","given":"Bernard G","non-dropping-particle":"","parse-names":false,"suffix":""},{"dropping-particle":"","family":"Kao","given":"Wen Hong Linda","non-dropping-particle":"","parse-names":false,"suffix":""},{"dropping-particle":"","family":"Parekh","given":"Rulan S","non-dropping-particle":"","parse-names":false,"suffix":""},{"dropping-particle":"","family":"Segev","given":"Dorry L","non-dropping-particle":"","parse-names":false,"suffix":""},{"dropping-particle":"","family":"Sozio","given":"Stephen M","non-dropping-particle":"","parse-names":false,"suffix":""}],"container-title":"Clinical Journal of the American Society of Nephrology","id":"ITEM-1","issue":"12","issued":{"date-parts":[["2015","12","7"]]},"note":"p=0.003\nMany comorbidities with frailty","page":"2181-2189","publisher":"American Society of Nephrology","title":"Frailty and cognitive function in incident hemodialysis patients","type":"article-journal","volume":"10"},"uris":["http://www.mendeley.com/documents/?uuid=3b13bcfe-2637-387a-aaa8-d60706013066"]}],"mendeley":{"formattedCitation":"&lt;sup&gt;5&lt;/sup&gt;","plainTextFormattedCitation":"5","previouslyFormattedCitation":"&lt;sup&gt;5&lt;/sup&gt;"},"properties":{"noteIndex":0},"schema":"https://github.com/citation-style-language/schema/raw/master/csl-citation.json"}</w:instrText>
            </w:r>
            <w:r>
              <w:fldChar w:fldCharType="separate"/>
            </w:r>
            <w:r w:rsidRPr="00577729">
              <w:rPr>
                <w:noProof/>
                <w:vertAlign w:val="superscript"/>
                <w:lang w:eastAsia="ko-KR"/>
              </w:rPr>
              <w:t>5</w:t>
            </w:r>
            <w:r>
              <w:fldChar w:fldCharType="end"/>
            </w:r>
          </w:p>
        </w:tc>
      </w:tr>
      <w:tr w:rsidR="00833624" w:rsidTr="00AA5CAF">
        <w:trPr>
          <w:trHeight w:val="119"/>
        </w:trPr>
        <w:tc>
          <w:tcPr>
            <w:tcW w:w="305" w:type="dxa"/>
            <w:vMerge/>
          </w:tcPr>
          <w:p w:rsidR="00833624" w:rsidRDefault="00833624" w:rsidP="00833624">
            <w:pPr>
              <w:rPr>
                <w:lang w:eastAsia="ko-KR"/>
              </w:rPr>
            </w:pPr>
          </w:p>
        </w:tc>
        <w:tc>
          <w:tcPr>
            <w:tcW w:w="1987" w:type="dxa"/>
            <w:gridSpan w:val="2"/>
            <w:vMerge/>
          </w:tcPr>
          <w:p w:rsidR="00833624" w:rsidRDefault="00833624" w:rsidP="00833624"/>
        </w:tc>
        <w:tc>
          <w:tcPr>
            <w:tcW w:w="244" w:type="dxa"/>
          </w:tcPr>
          <w:p w:rsidR="00833624" w:rsidRDefault="00833624" w:rsidP="00833624">
            <w:pPr>
              <w:rPr>
                <w:lang w:eastAsia="ko-KR"/>
              </w:rPr>
            </w:pPr>
          </w:p>
        </w:tc>
        <w:tc>
          <w:tcPr>
            <w:tcW w:w="3760" w:type="dxa"/>
            <w:gridSpan w:val="5"/>
          </w:tcPr>
          <w:p w:rsidR="00833624" w:rsidRDefault="00833624" w:rsidP="00833624">
            <w:pPr>
              <w:rPr>
                <w:lang w:eastAsia="ko-KR"/>
              </w:rPr>
            </w:pPr>
            <w:r>
              <w:rPr>
                <w:rFonts w:hint="eastAsia"/>
                <w:lang w:eastAsia="ko-KR"/>
              </w:rPr>
              <w:t>BMI</w:t>
            </w:r>
            <w:r>
              <w:rPr>
                <w:lang w:eastAsia="ko-KR"/>
              </w:rPr>
              <w:t xml:space="preserve"> based on dry weight</w:t>
            </w:r>
          </w:p>
        </w:tc>
        <w:tc>
          <w:tcPr>
            <w:tcW w:w="1745" w:type="dxa"/>
          </w:tcPr>
          <w:p w:rsidR="00833624" w:rsidRDefault="00833624" w:rsidP="00833624">
            <w:pPr>
              <w:rPr>
                <w:lang w:eastAsia="ko-KR"/>
              </w:rPr>
            </w:pPr>
            <w:r>
              <w:rPr>
                <w:rFonts w:hint="eastAsia"/>
                <w:lang w:eastAsia="ko-KR"/>
              </w:rPr>
              <w:t xml:space="preserve">31.5 </w:t>
            </w:r>
            <w:r>
              <w:rPr>
                <w:lang w:eastAsia="ko-KR"/>
              </w:rPr>
              <w:t>vs. 27.6</w:t>
            </w:r>
          </w:p>
        </w:tc>
        <w:tc>
          <w:tcPr>
            <w:tcW w:w="1443" w:type="dxa"/>
            <w:vMerge/>
          </w:tcPr>
          <w:p w:rsidR="00833624" w:rsidRDefault="00833624" w:rsidP="00833624">
            <w:pPr>
              <w:rPr>
                <w:lang w:eastAsia="ko-KR"/>
              </w:rPr>
            </w:pPr>
          </w:p>
        </w:tc>
        <w:tc>
          <w:tcPr>
            <w:tcW w:w="1178" w:type="dxa"/>
            <w:vMerge/>
          </w:tcPr>
          <w:p w:rsidR="00833624" w:rsidRDefault="00833624" w:rsidP="00833624">
            <w:pPr>
              <w:rPr>
                <w:lang w:eastAsia="ko-KR"/>
              </w:rPr>
            </w:pPr>
          </w:p>
        </w:tc>
        <w:tc>
          <w:tcPr>
            <w:tcW w:w="2033" w:type="dxa"/>
            <w:vMerge/>
          </w:tcPr>
          <w:p w:rsidR="00833624" w:rsidRDefault="00833624" w:rsidP="00833624">
            <w:pPr>
              <w:rPr>
                <w:lang w:eastAsia="ko-KR"/>
              </w:rPr>
            </w:pPr>
          </w:p>
        </w:tc>
        <w:tc>
          <w:tcPr>
            <w:tcW w:w="1253" w:type="dxa"/>
            <w:vMerge/>
          </w:tcPr>
          <w:p w:rsidR="00833624" w:rsidRDefault="00833624" w:rsidP="00833624">
            <w:pPr>
              <w:rPr>
                <w:lang w:eastAsia="ko-KR"/>
              </w:rPr>
            </w:pPr>
          </w:p>
        </w:tc>
      </w:tr>
      <w:tr w:rsidR="00306065" w:rsidTr="00AA5CAF">
        <w:trPr>
          <w:trHeight w:val="119"/>
        </w:trPr>
        <w:tc>
          <w:tcPr>
            <w:tcW w:w="305" w:type="dxa"/>
            <w:vMerge/>
          </w:tcPr>
          <w:p w:rsidR="00306065" w:rsidRDefault="00306065" w:rsidP="00833624">
            <w:pPr>
              <w:rPr>
                <w:lang w:eastAsia="ko-KR"/>
              </w:rPr>
            </w:pPr>
          </w:p>
        </w:tc>
        <w:tc>
          <w:tcPr>
            <w:tcW w:w="1987" w:type="dxa"/>
            <w:gridSpan w:val="2"/>
            <w:vMerge w:val="restart"/>
          </w:tcPr>
          <w:p w:rsidR="00306065" w:rsidRDefault="00306065" w:rsidP="00306065">
            <w:pPr>
              <w:rPr>
                <w:lang w:eastAsia="ko-KR"/>
              </w:rPr>
            </w:pPr>
            <w:r>
              <w:rPr>
                <w:rFonts w:hint="eastAsia"/>
              </w:rPr>
              <w:t>Body Com</w:t>
            </w:r>
            <w:r>
              <w:t>position</w:t>
            </w:r>
          </w:p>
        </w:tc>
        <w:tc>
          <w:tcPr>
            <w:tcW w:w="4004" w:type="dxa"/>
            <w:gridSpan w:val="6"/>
          </w:tcPr>
          <w:p w:rsidR="00306065" w:rsidRDefault="00306065" w:rsidP="00833624">
            <w:pPr>
              <w:rPr>
                <w:lang w:eastAsia="ko-KR"/>
              </w:rPr>
            </w:pPr>
            <w:r w:rsidRPr="00CE60C9">
              <w:rPr>
                <w:lang w:eastAsia="ko-KR"/>
              </w:rPr>
              <w:t>Appendicular skeletal muscle mass index (ASMI)</w:t>
            </w:r>
          </w:p>
        </w:tc>
        <w:tc>
          <w:tcPr>
            <w:tcW w:w="1745" w:type="dxa"/>
          </w:tcPr>
          <w:p w:rsidR="00306065" w:rsidRDefault="00306065" w:rsidP="00833624">
            <w:pPr>
              <w:rPr>
                <w:lang w:eastAsia="ko-KR"/>
              </w:rPr>
            </w:pPr>
            <w:r>
              <w:rPr>
                <w:lang w:eastAsia="ko-KR"/>
              </w:rPr>
              <w:t>6.8 vs. 7.7</w:t>
            </w:r>
          </w:p>
        </w:tc>
        <w:tc>
          <w:tcPr>
            <w:tcW w:w="1443" w:type="dxa"/>
            <w:vMerge w:val="restart"/>
          </w:tcPr>
          <w:p w:rsidR="00306065" w:rsidRDefault="00306065" w:rsidP="00833624">
            <w:pPr>
              <w:rPr>
                <w:lang w:eastAsia="ko-KR"/>
              </w:rPr>
            </w:pPr>
            <w:r>
              <w:rPr>
                <w:rFonts w:hint="eastAsia"/>
                <w:lang w:eastAsia="ko-KR"/>
              </w:rPr>
              <w:t>Edmonton Frail Scale (</w:t>
            </w:r>
            <w:r>
              <w:rPr>
                <w:lang w:eastAsia="ko-KR"/>
              </w:rPr>
              <w:t>EFS</w:t>
            </w:r>
            <w:r>
              <w:rPr>
                <w:rFonts w:hint="eastAsia"/>
                <w:lang w:eastAsia="ko-KR"/>
              </w:rPr>
              <w:t>)</w:t>
            </w:r>
          </w:p>
        </w:tc>
        <w:tc>
          <w:tcPr>
            <w:tcW w:w="1178" w:type="dxa"/>
            <w:vMerge w:val="restart"/>
          </w:tcPr>
          <w:p w:rsidR="00306065" w:rsidRDefault="00306065" w:rsidP="00833624">
            <w:pPr>
              <w:rPr>
                <w:lang w:eastAsia="ko-KR"/>
              </w:rPr>
            </w:pPr>
            <w:r>
              <w:rPr>
                <w:rFonts w:hint="eastAsia"/>
                <w:lang w:eastAsia="ko-KR"/>
              </w:rPr>
              <w:t>41</w:t>
            </w:r>
          </w:p>
        </w:tc>
        <w:tc>
          <w:tcPr>
            <w:tcW w:w="2033" w:type="dxa"/>
            <w:vMerge w:val="restart"/>
          </w:tcPr>
          <w:p w:rsidR="00306065" w:rsidRDefault="00306065" w:rsidP="00833624">
            <w:pPr>
              <w:rPr>
                <w:lang w:eastAsia="ko-KR"/>
              </w:rPr>
            </w:pPr>
            <w:r>
              <w:rPr>
                <w:rFonts w:hint="eastAsia"/>
                <w:lang w:eastAsia="ko-KR"/>
              </w:rPr>
              <w:t xml:space="preserve">CKD stage </w:t>
            </w:r>
            <w:r>
              <w:rPr>
                <w:lang w:eastAsia="ko-KR"/>
              </w:rPr>
              <w:t>1-5</w:t>
            </w:r>
          </w:p>
        </w:tc>
        <w:tc>
          <w:tcPr>
            <w:tcW w:w="1253" w:type="dxa"/>
            <w:vMerge w:val="restart"/>
          </w:tcPr>
          <w:p w:rsidR="00306065" w:rsidRDefault="00306065" w:rsidP="00833624">
            <w:pPr>
              <w:rPr>
                <w:lang w:eastAsia="ko-KR"/>
              </w:rPr>
            </w:pPr>
            <w:r>
              <w:fldChar w:fldCharType="begin" w:fldLock="1"/>
            </w:r>
            <w:r>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lang w:eastAsia="ko-KR"/>
              </w:rPr>
              <w:t>11</w:t>
            </w:r>
            <w:r>
              <w:fldChar w:fldCharType="end"/>
            </w:r>
          </w:p>
        </w:tc>
      </w:tr>
      <w:tr w:rsidR="00306065" w:rsidTr="00AA5CAF">
        <w:trPr>
          <w:trHeight w:val="119"/>
        </w:trPr>
        <w:tc>
          <w:tcPr>
            <w:tcW w:w="305" w:type="dxa"/>
            <w:vMerge/>
          </w:tcPr>
          <w:p w:rsidR="00306065" w:rsidRDefault="00306065" w:rsidP="00833624">
            <w:pPr>
              <w:rPr>
                <w:lang w:eastAsia="ko-KR"/>
              </w:rPr>
            </w:pPr>
          </w:p>
        </w:tc>
        <w:tc>
          <w:tcPr>
            <w:tcW w:w="1987" w:type="dxa"/>
            <w:gridSpan w:val="2"/>
            <w:vMerge/>
          </w:tcPr>
          <w:p w:rsidR="00306065" w:rsidRDefault="00306065" w:rsidP="00833624">
            <w:pPr>
              <w:rPr>
                <w:lang w:eastAsia="ko-KR"/>
              </w:rPr>
            </w:pPr>
          </w:p>
        </w:tc>
        <w:tc>
          <w:tcPr>
            <w:tcW w:w="4004" w:type="dxa"/>
            <w:gridSpan w:val="6"/>
          </w:tcPr>
          <w:p w:rsidR="00306065" w:rsidRPr="00CE60C9" w:rsidRDefault="00306065" w:rsidP="007064B1">
            <w:pPr>
              <w:rPr>
                <w:lang w:eastAsia="ko-KR"/>
              </w:rPr>
            </w:pPr>
            <w:r>
              <w:rPr>
                <w:rFonts w:hint="eastAsia"/>
                <w:lang w:eastAsia="ko-KR"/>
              </w:rPr>
              <w:t>L</w:t>
            </w:r>
            <w:r>
              <w:rPr>
                <w:lang w:eastAsia="ko-KR"/>
              </w:rPr>
              <w:t xml:space="preserve">ow lean body mass (i.e. sarcopenia) (in frail vs. nonfrail) </w:t>
            </w:r>
          </w:p>
        </w:tc>
        <w:tc>
          <w:tcPr>
            <w:tcW w:w="1745" w:type="dxa"/>
          </w:tcPr>
          <w:p w:rsidR="00306065" w:rsidRDefault="00306065" w:rsidP="00833624">
            <w:pPr>
              <w:rPr>
                <w:lang w:eastAsia="ko-KR"/>
              </w:rPr>
            </w:pPr>
            <w:r>
              <w:rPr>
                <w:rFonts w:hint="eastAsia"/>
                <w:lang w:eastAsia="ko-KR"/>
              </w:rPr>
              <w:t>57</w:t>
            </w:r>
            <w:r>
              <w:rPr>
                <w:lang w:eastAsia="ko-KR"/>
              </w:rPr>
              <w:t>.1% vs .14.7%</w:t>
            </w:r>
          </w:p>
        </w:tc>
        <w:tc>
          <w:tcPr>
            <w:tcW w:w="1443" w:type="dxa"/>
            <w:vMerge/>
          </w:tcPr>
          <w:p w:rsidR="00306065" w:rsidRDefault="00306065" w:rsidP="00833624">
            <w:pPr>
              <w:rPr>
                <w:lang w:eastAsia="ko-KR"/>
              </w:rPr>
            </w:pPr>
          </w:p>
        </w:tc>
        <w:tc>
          <w:tcPr>
            <w:tcW w:w="1178" w:type="dxa"/>
            <w:vMerge/>
          </w:tcPr>
          <w:p w:rsidR="00306065" w:rsidRDefault="00306065" w:rsidP="00833624">
            <w:pPr>
              <w:rPr>
                <w:lang w:eastAsia="ko-KR"/>
              </w:rPr>
            </w:pPr>
          </w:p>
        </w:tc>
        <w:tc>
          <w:tcPr>
            <w:tcW w:w="2033" w:type="dxa"/>
            <w:vMerge/>
          </w:tcPr>
          <w:p w:rsidR="00306065" w:rsidRDefault="00306065" w:rsidP="00833624">
            <w:pPr>
              <w:rPr>
                <w:lang w:eastAsia="ko-KR"/>
              </w:rPr>
            </w:pPr>
          </w:p>
        </w:tc>
        <w:tc>
          <w:tcPr>
            <w:tcW w:w="1253" w:type="dxa"/>
            <w:vMerge/>
          </w:tcPr>
          <w:p w:rsidR="00306065" w:rsidRDefault="00306065" w:rsidP="00833624">
            <w:pPr>
              <w:rPr>
                <w:lang w:eastAsia="ko-KR"/>
              </w:rPr>
            </w:pPr>
          </w:p>
        </w:tc>
      </w:tr>
      <w:tr w:rsidR="0017576B" w:rsidTr="00AA5CAF">
        <w:trPr>
          <w:trHeight w:val="693"/>
        </w:trPr>
        <w:tc>
          <w:tcPr>
            <w:tcW w:w="305" w:type="dxa"/>
            <w:vMerge w:val="restart"/>
          </w:tcPr>
          <w:p w:rsidR="0017576B" w:rsidRDefault="0017576B" w:rsidP="00833624">
            <w:pPr>
              <w:rPr>
                <w:lang w:eastAsia="ko-KR"/>
              </w:rPr>
            </w:pPr>
            <w:r>
              <w:rPr>
                <w:rFonts w:hint="eastAsia"/>
                <w:lang w:eastAsia="ko-KR"/>
              </w:rPr>
              <w:lastRenderedPageBreak/>
              <w:t xml:space="preserve"> </w:t>
            </w:r>
          </w:p>
        </w:tc>
        <w:tc>
          <w:tcPr>
            <w:tcW w:w="1987" w:type="dxa"/>
            <w:gridSpan w:val="2"/>
            <w:vMerge w:val="restart"/>
          </w:tcPr>
          <w:p w:rsidR="0017576B" w:rsidRDefault="0017576B" w:rsidP="00833624">
            <w:pPr>
              <w:rPr>
                <w:lang w:eastAsia="ko-KR"/>
              </w:rPr>
            </w:pPr>
            <w:r>
              <w:rPr>
                <w:rFonts w:hint="eastAsia"/>
                <w:lang w:eastAsia="ko-KR"/>
              </w:rPr>
              <w:t>Laboratory Data</w:t>
            </w:r>
          </w:p>
        </w:tc>
        <w:tc>
          <w:tcPr>
            <w:tcW w:w="4004" w:type="dxa"/>
            <w:gridSpan w:val="6"/>
          </w:tcPr>
          <w:p w:rsidR="0017576B" w:rsidRDefault="0017576B" w:rsidP="00833624">
            <w:pPr>
              <w:rPr>
                <w:lang w:eastAsia="ko-KR"/>
              </w:rPr>
            </w:pPr>
            <w:r>
              <w:rPr>
                <w:rFonts w:hint="eastAsia"/>
                <w:lang w:eastAsia="ko-KR"/>
              </w:rPr>
              <w:t>eGFR</w:t>
            </w:r>
            <w:r>
              <w:rPr>
                <w:lang w:eastAsia="ko-KR"/>
              </w:rPr>
              <w:t xml:space="preserve"> (mL/min/1.72</w:t>
            </w:r>
            <w:r w:rsidRPr="00646C52">
              <w:rPr>
                <w:lang w:eastAsia="ko-KR"/>
              </w:rPr>
              <w:t>m</w:t>
            </w:r>
            <w:r>
              <w:rPr>
                <w:lang w:eastAsia="ko-KR"/>
              </w:rPr>
              <w:t>^2)</w:t>
            </w:r>
          </w:p>
        </w:tc>
        <w:tc>
          <w:tcPr>
            <w:tcW w:w="1745" w:type="dxa"/>
          </w:tcPr>
          <w:p w:rsidR="0017576B" w:rsidRDefault="0017576B" w:rsidP="00833624">
            <w:pPr>
              <w:rPr>
                <w:lang w:eastAsia="ko-KR"/>
              </w:rPr>
            </w:pPr>
            <w:r>
              <w:rPr>
                <w:lang w:eastAsia="ko-KR"/>
              </w:rPr>
              <w:t>18 vs. 50</w:t>
            </w:r>
          </w:p>
        </w:tc>
        <w:tc>
          <w:tcPr>
            <w:tcW w:w="1443" w:type="dxa"/>
          </w:tcPr>
          <w:p w:rsidR="0017576B" w:rsidRDefault="0017576B" w:rsidP="00833624">
            <w:pPr>
              <w:rPr>
                <w:lang w:eastAsia="ko-KR"/>
              </w:rPr>
            </w:pPr>
            <w:r>
              <w:rPr>
                <w:rFonts w:hint="eastAsia"/>
                <w:lang w:eastAsia="ko-KR"/>
              </w:rPr>
              <w:t>Edmonton Frail Scale (</w:t>
            </w:r>
            <w:r>
              <w:rPr>
                <w:lang w:eastAsia="ko-KR"/>
              </w:rPr>
              <w:t>EFS</w:t>
            </w:r>
            <w:r>
              <w:rPr>
                <w:rFonts w:hint="eastAsia"/>
                <w:lang w:eastAsia="ko-KR"/>
              </w:rPr>
              <w:t>)</w:t>
            </w:r>
          </w:p>
        </w:tc>
        <w:tc>
          <w:tcPr>
            <w:tcW w:w="1178" w:type="dxa"/>
          </w:tcPr>
          <w:p w:rsidR="0017576B" w:rsidRDefault="0017576B" w:rsidP="00833624">
            <w:pPr>
              <w:rPr>
                <w:lang w:eastAsia="ko-KR"/>
              </w:rPr>
            </w:pPr>
            <w:r>
              <w:rPr>
                <w:rFonts w:hint="eastAsia"/>
                <w:lang w:eastAsia="ko-KR"/>
              </w:rPr>
              <w:t>41</w:t>
            </w:r>
          </w:p>
        </w:tc>
        <w:tc>
          <w:tcPr>
            <w:tcW w:w="2033" w:type="dxa"/>
          </w:tcPr>
          <w:p w:rsidR="0017576B" w:rsidRDefault="0017576B" w:rsidP="00833624">
            <w:pPr>
              <w:rPr>
                <w:lang w:eastAsia="ko-KR"/>
              </w:rPr>
            </w:pPr>
            <w:r>
              <w:rPr>
                <w:rFonts w:hint="eastAsia"/>
                <w:lang w:eastAsia="ko-KR"/>
              </w:rPr>
              <w:t xml:space="preserve">CKD stage </w:t>
            </w:r>
            <w:r>
              <w:rPr>
                <w:lang w:eastAsia="ko-KR"/>
              </w:rPr>
              <w:t>1-5</w:t>
            </w:r>
          </w:p>
        </w:tc>
        <w:tc>
          <w:tcPr>
            <w:tcW w:w="1253" w:type="dxa"/>
          </w:tcPr>
          <w:p w:rsidR="0017576B" w:rsidRDefault="0017576B" w:rsidP="00833624">
            <w:r>
              <w:fldChar w:fldCharType="begin" w:fldLock="1"/>
            </w:r>
            <w:r>
              <w:rPr>
                <w:lang w:eastAsia="ko-KR"/>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17576B" w:rsidTr="00AA5CAF">
        <w:trPr>
          <w:trHeight w:val="693"/>
        </w:trPr>
        <w:tc>
          <w:tcPr>
            <w:tcW w:w="305" w:type="dxa"/>
            <w:vMerge/>
          </w:tcPr>
          <w:p w:rsidR="0017576B" w:rsidRDefault="0017576B" w:rsidP="00833624"/>
        </w:tc>
        <w:tc>
          <w:tcPr>
            <w:tcW w:w="1987" w:type="dxa"/>
            <w:gridSpan w:val="2"/>
            <w:vMerge/>
          </w:tcPr>
          <w:p w:rsidR="0017576B" w:rsidRDefault="0017576B" w:rsidP="00833624"/>
        </w:tc>
        <w:tc>
          <w:tcPr>
            <w:tcW w:w="244" w:type="dxa"/>
            <w:vMerge w:val="restart"/>
          </w:tcPr>
          <w:p w:rsidR="0017576B" w:rsidRDefault="0017576B" w:rsidP="00833624"/>
        </w:tc>
        <w:tc>
          <w:tcPr>
            <w:tcW w:w="3760" w:type="dxa"/>
            <w:gridSpan w:val="5"/>
          </w:tcPr>
          <w:p w:rsidR="0017576B" w:rsidRDefault="0017576B" w:rsidP="00833624">
            <w:r>
              <w:rPr>
                <w:rFonts w:hint="eastAsia"/>
              </w:rPr>
              <w:t>eGFRcys</w:t>
            </w:r>
            <w:r>
              <w:t xml:space="preserve"> &lt;30</w:t>
            </w:r>
          </w:p>
        </w:tc>
        <w:tc>
          <w:tcPr>
            <w:tcW w:w="1745" w:type="dxa"/>
          </w:tcPr>
          <w:p w:rsidR="0017576B" w:rsidRDefault="0017576B" w:rsidP="00833624">
            <w:r>
              <w:t xml:space="preserve">Frailty prevalence </w:t>
            </w:r>
            <w:r>
              <w:rPr>
                <w:rFonts w:hint="eastAsia"/>
              </w:rPr>
              <w:t>2.8</w:t>
            </w:r>
          </w:p>
        </w:tc>
        <w:tc>
          <w:tcPr>
            <w:tcW w:w="1443" w:type="dxa"/>
            <w:vMerge w:val="restart"/>
          </w:tcPr>
          <w:p w:rsidR="0017576B" w:rsidRDefault="0017576B" w:rsidP="00833624">
            <w:r>
              <w:rPr>
                <w:rFonts w:hint="eastAsia"/>
              </w:rPr>
              <w:t>F</w:t>
            </w:r>
            <w:r>
              <w:t>ried Phenotypes</w:t>
            </w:r>
          </w:p>
        </w:tc>
        <w:tc>
          <w:tcPr>
            <w:tcW w:w="1178" w:type="dxa"/>
            <w:vMerge w:val="restart"/>
          </w:tcPr>
          <w:p w:rsidR="0017576B" w:rsidRDefault="0017576B" w:rsidP="00833624">
            <w:r>
              <w:rPr>
                <w:rFonts w:hint="eastAsia"/>
              </w:rPr>
              <w:t>336</w:t>
            </w:r>
          </w:p>
        </w:tc>
        <w:tc>
          <w:tcPr>
            <w:tcW w:w="2033" w:type="dxa"/>
            <w:vMerge w:val="restart"/>
          </w:tcPr>
          <w:p w:rsidR="0017576B" w:rsidRDefault="0017576B" w:rsidP="0017576B">
            <w:r>
              <w:t>CKD stages 1-4</w:t>
            </w:r>
          </w:p>
        </w:tc>
        <w:tc>
          <w:tcPr>
            <w:tcW w:w="1253" w:type="dxa"/>
            <w:vMerge w:val="restart"/>
          </w:tcPr>
          <w:p w:rsidR="0017576B" w:rsidRDefault="0017576B" w:rsidP="00833624">
            <w:r>
              <w:fldChar w:fldCharType="begin" w:fldLock="1"/>
            </w:r>
            <w:r>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Pr>
                <w:rFonts w:hint="eastAsia"/>
              </w:rPr>
              <w:instrText>ven":"B","non-dropping-particle":"","parse-names":false,"suffix":""}],"container-title":"Am J Kidney Dis","id":"ITEM-1","issue":"6","issued":{"date-parts":[["2012"]]},"note":"Calculate p-value on your own</w:instrText>
            </w:r>
            <w:r>
              <w:rPr>
                <w:rFonts w:hint="eastAsia"/>
              </w:rPr>
              <w:instrText>！</w:instrText>
            </w:r>
            <w:r>
              <w:rPr>
                <w:rFonts w:hint="eastAsia"/>
              </w:rPr>
              <w:instrText>\n\nFrail participants in the SKS were more likely</w:instrText>
            </w:r>
            <w:r>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lt;sup&gt;3&lt;/sup&gt;","plainTextFormattedCitation":"3","previouslyFormattedCitation":"&lt;sup&gt;3&lt;/sup&gt;"},"properties":{"noteIndex":0},"schema":"https://github.com/citation-style-language/schema/raw/master/csl-citation.json"}</w:instrText>
            </w:r>
            <w:r>
              <w:fldChar w:fldCharType="separate"/>
            </w:r>
            <w:r w:rsidRPr="00C04DFD">
              <w:rPr>
                <w:noProof/>
                <w:vertAlign w:val="superscript"/>
              </w:rPr>
              <w:t>3</w:t>
            </w:r>
            <w:r>
              <w:fldChar w:fldCharType="end"/>
            </w:r>
            <w:r>
              <w:t>*</w:t>
            </w:r>
          </w:p>
        </w:tc>
      </w:tr>
      <w:tr w:rsidR="0017576B" w:rsidTr="00AA5CAF">
        <w:trPr>
          <w:trHeight w:val="693"/>
        </w:trPr>
        <w:tc>
          <w:tcPr>
            <w:tcW w:w="305" w:type="dxa"/>
            <w:vMerge/>
          </w:tcPr>
          <w:p w:rsidR="0017576B" w:rsidRDefault="0017576B" w:rsidP="00833624"/>
        </w:tc>
        <w:tc>
          <w:tcPr>
            <w:tcW w:w="1987" w:type="dxa"/>
            <w:gridSpan w:val="2"/>
            <w:vMerge/>
          </w:tcPr>
          <w:p w:rsidR="0017576B" w:rsidRDefault="0017576B" w:rsidP="00833624"/>
        </w:tc>
        <w:tc>
          <w:tcPr>
            <w:tcW w:w="244" w:type="dxa"/>
            <w:vMerge/>
          </w:tcPr>
          <w:p w:rsidR="0017576B" w:rsidRDefault="0017576B" w:rsidP="00833624"/>
        </w:tc>
        <w:tc>
          <w:tcPr>
            <w:tcW w:w="3760" w:type="dxa"/>
            <w:gridSpan w:val="5"/>
          </w:tcPr>
          <w:p w:rsidR="0017576B" w:rsidRDefault="0017576B" w:rsidP="00833624">
            <w:r>
              <w:rPr>
                <w:rFonts w:hint="eastAsia"/>
              </w:rPr>
              <w:t>e</w:t>
            </w:r>
            <w:r>
              <w:t>GFRcys 30-44</w:t>
            </w:r>
          </w:p>
        </w:tc>
        <w:tc>
          <w:tcPr>
            <w:tcW w:w="1745" w:type="dxa"/>
          </w:tcPr>
          <w:p w:rsidR="0017576B" w:rsidRDefault="0017576B" w:rsidP="00833624">
            <w:r>
              <w:t xml:space="preserve">Frailty prevalence </w:t>
            </w:r>
            <w:r>
              <w:rPr>
                <w:rFonts w:hint="eastAsia"/>
              </w:rPr>
              <w:t>2.1</w:t>
            </w:r>
          </w:p>
        </w:tc>
        <w:tc>
          <w:tcPr>
            <w:tcW w:w="1443" w:type="dxa"/>
            <w:vMerge/>
          </w:tcPr>
          <w:p w:rsidR="0017576B" w:rsidRDefault="0017576B" w:rsidP="00833624"/>
        </w:tc>
        <w:tc>
          <w:tcPr>
            <w:tcW w:w="1178" w:type="dxa"/>
            <w:vMerge/>
          </w:tcPr>
          <w:p w:rsidR="0017576B" w:rsidRDefault="0017576B" w:rsidP="00833624"/>
        </w:tc>
        <w:tc>
          <w:tcPr>
            <w:tcW w:w="2033" w:type="dxa"/>
            <w:vMerge/>
          </w:tcPr>
          <w:p w:rsidR="0017576B" w:rsidRDefault="0017576B" w:rsidP="00833624"/>
        </w:tc>
        <w:tc>
          <w:tcPr>
            <w:tcW w:w="1253" w:type="dxa"/>
            <w:vMerge/>
          </w:tcPr>
          <w:p w:rsidR="0017576B" w:rsidRDefault="0017576B" w:rsidP="00833624"/>
        </w:tc>
      </w:tr>
      <w:tr w:rsidR="0017576B" w:rsidTr="00AA5CAF">
        <w:trPr>
          <w:trHeight w:val="693"/>
        </w:trPr>
        <w:tc>
          <w:tcPr>
            <w:tcW w:w="305" w:type="dxa"/>
            <w:vMerge/>
          </w:tcPr>
          <w:p w:rsidR="0017576B" w:rsidRDefault="0017576B" w:rsidP="00833624"/>
        </w:tc>
        <w:tc>
          <w:tcPr>
            <w:tcW w:w="1987" w:type="dxa"/>
            <w:gridSpan w:val="2"/>
            <w:vMerge/>
          </w:tcPr>
          <w:p w:rsidR="0017576B" w:rsidRDefault="0017576B" w:rsidP="00833624"/>
        </w:tc>
        <w:tc>
          <w:tcPr>
            <w:tcW w:w="244" w:type="dxa"/>
            <w:vMerge/>
          </w:tcPr>
          <w:p w:rsidR="0017576B" w:rsidRDefault="0017576B" w:rsidP="00833624"/>
        </w:tc>
        <w:tc>
          <w:tcPr>
            <w:tcW w:w="3760" w:type="dxa"/>
            <w:gridSpan w:val="5"/>
          </w:tcPr>
          <w:p w:rsidR="0017576B" w:rsidRDefault="0017576B" w:rsidP="00833624">
            <w:r>
              <w:rPr>
                <w:rFonts w:hint="eastAsia"/>
              </w:rPr>
              <w:t>eGFR</w:t>
            </w:r>
            <w:r>
              <w:t>cys &gt;60</w:t>
            </w:r>
          </w:p>
        </w:tc>
        <w:tc>
          <w:tcPr>
            <w:tcW w:w="1745" w:type="dxa"/>
          </w:tcPr>
          <w:p w:rsidR="0017576B" w:rsidRDefault="0017576B" w:rsidP="00833624">
            <w:r>
              <w:t>Referent</w:t>
            </w:r>
          </w:p>
        </w:tc>
        <w:tc>
          <w:tcPr>
            <w:tcW w:w="1443" w:type="dxa"/>
            <w:vMerge/>
          </w:tcPr>
          <w:p w:rsidR="0017576B" w:rsidRDefault="0017576B" w:rsidP="00833624"/>
        </w:tc>
        <w:tc>
          <w:tcPr>
            <w:tcW w:w="1178" w:type="dxa"/>
            <w:vMerge/>
          </w:tcPr>
          <w:p w:rsidR="0017576B" w:rsidRDefault="0017576B" w:rsidP="00833624"/>
        </w:tc>
        <w:tc>
          <w:tcPr>
            <w:tcW w:w="2033" w:type="dxa"/>
            <w:vMerge/>
          </w:tcPr>
          <w:p w:rsidR="0017576B" w:rsidRDefault="0017576B" w:rsidP="00833624"/>
        </w:tc>
        <w:tc>
          <w:tcPr>
            <w:tcW w:w="1253" w:type="dxa"/>
            <w:vMerge/>
          </w:tcPr>
          <w:p w:rsidR="0017576B" w:rsidRDefault="0017576B" w:rsidP="00833624"/>
        </w:tc>
      </w:tr>
      <w:tr w:rsidR="0017576B" w:rsidTr="00AA5CAF">
        <w:trPr>
          <w:trHeight w:val="693"/>
        </w:trPr>
        <w:tc>
          <w:tcPr>
            <w:tcW w:w="305" w:type="dxa"/>
            <w:vMerge/>
          </w:tcPr>
          <w:p w:rsidR="0017576B" w:rsidRDefault="0017576B" w:rsidP="0017576B"/>
        </w:tc>
        <w:tc>
          <w:tcPr>
            <w:tcW w:w="1987" w:type="dxa"/>
            <w:gridSpan w:val="2"/>
            <w:vMerge/>
          </w:tcPr>
          <w:p w:rsidR="0017576B" w:rsidRDefault="0017576B" w:rsidP="0017576B"/>
        </w:tc>
        <w:tc>
          <w:tcPr>
            <w:tcW w:w="4004" w:type="dxa"/>
            <w:gridSpan w:val="6"/>
          </w:tcPr>
          <w:p w:rsidR="0017576B" w:rsidRPr="00712FBC" w:rsidRDefault="0017576B" w:rsidP="0017576B">
            <w:pPr>
              <w:rPr>
                <w:rFonts w:cstheme="minorHAnsi"/>
              </w:rPr>
            </w:pPr>
            <w:r>
              <w:rPr>
                <w:rFonts w:cstheme="minorHAnsi" w:hint="eastAsia"/>
              </w:rPr>
              <w:t>Albumin</w:t>
            </w:r>
            <w:r>
              <w:rPr>
                <w:rFonts w:cstheme="minorHAnsi"/>
              </w:rPr>
              <w:t xml:space="preserve"> (g/L)</w:t>
            </w:r>
          </w:p>
        </w:tc>
        <w:tc>
          <w:tcPr>
            <w:tcW w:w="1745" w:type="dxa"/>
          </w:tcPr>
          <w:p w:rsidR="0017576B" w:rsidRPr="00712FBC" w:rsidRDefault="0017576B" w:rsidP="0017576B">
            <w:pPr>
              <w:rPr>
                <w:rFonts w:cstheme="minorHAnsi"/>
              </w:rPr>
            </w:pPr>
            <w:r>
              <w:rPr>
                <w:rFonts w:cstheme="minorHAnsi"/>
              </w:rPr>
              <w:t>38 vs. 41</w:t>
            </w:r>
          </w:p>
        </w:tc>
        <w:tc>
          <w:tcPr>
            <w:tcW w:w="1443" w:type="dxa"/>
            <w:vMerge w:val="restart"/>
          </w:tcPr>
          <w:p w:rsidR="0017576B" w:rsidRDefault="0017576B" w:rsidP="0017576B">
            <w:r>
              <w:rPr>
                <w:rFonts w:hint="eastAsia"/>
              </w:rPr>
              <w:t>Edmonton Frail Scale (</w:t>
            </w:r>
            <w:r>
              <w:t>EFS</w:t>
            </w:r>
            <w:r>
              <w:rPr>
                <w:rFonts w:hint="eastAsia"/>
              </w:rPr>
              <w:t>)</w:t>
            </w:r>
          </w:p>
        </w:tc>
        <w:tc>
          <w:tcPr>
            <w:tcW w:w="1178" w:type="dxa"/>
            <w:vMerge w:val="restart"/>
          </w:tcPr>
          <w:p w:rsidR="0017576B" w:rsidRDefault="0017576B" w:rsidP="0017576B">
            <w:r>
              <w:rPr>
                <w:rFonts w:hint="eastAsia"/>
              </w:rPr>
              <w:t>41</w:t>
            </w:r>
          </w:p>
        </w:tc>
        <w:tc>
          <w:tcPr>
            <w:tcW w:w="2033" w:type="dxa"/>
            <w:vMerge w:val="restart"/>
          </w:tcPr>
          <w:p w:rsidR="0017576B" w:rsidRDefault="0017576B" w:rsidP="0017576B">
            <w:r>
              <w:rPr>
                <w:rFonts w:hint="eastAsia"/>
              </w:rPr>
              <w:t xml:space="preserve">CKD stage </w:t>
            </w:r>
            <w:r>
              <w:t>1-5</w:t>
            </w:r>
          </w:p>
        </w:tc>
        <w:tc>
          <w:tcPr>
            <w:tcW w:w="1253" w:type="dxa"/>
            <w:vMerge w:val="restart"/>
          </w:tcPr>
          <w:p w:rsidR="0017576B" w:rsidRPr="00712FBC" w:rsidRDefault="0017576B" w:rsidP="0017576B">
            <w:pPr>
              <w:rPr>
                <w:rFonts w:cstheme="minorHAnsi"/>
              </w:rPr>
            </w:pPr>
            <w:r>
              <w:rPr>
                <w:rFonts w:cstheme="minorHAnsi"/>
              </w:rPr>
              <w:fldChar w:fldCharType="begin" w:fldLock="1"/>
            </w:r>
            <w:r>
              <w:rPr>
                <w:rFonts w:cstheme="minorHAnsi"/>
              </w:rP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rPr>
                <w:rFonts w:cstheme="minorHAnsi"/>
              </w:rPr>
              <w:fldChar w:fldCharType="separate"/>
            </w:r>
            <w:r w:rsidRPr="00596FF4">
              <w:rPr>
                <w:rFonts w:cstheme="minorHAnsi"/>
                <w:noProof/>
                <w:vertAlign w:val="superscript"/>
              </w:rPr>
              <w:t>11</w:t>
            </w:r>
            <w:r>
              <w:rPr>
                <w:rFonts w:cstheme="minorHAnsi"/>
              </w:rPr>
              <w:fldChar w:fldCharType="end"/>
            </w:r>
          </w:p>
        </w:tc>
      </w:tr>
      <w:tr w:rsidR="0017576B" w:rsidTr="00AA5CAF">
        <w:trPr>
          <w:trHeight w:val="389"/>
        </w:trPr>
        <w:tc>
          <w:tcPr>
            <w:tcW w:w="305" w:type="dxa"/>
            <w:vMerge/>
          </w:tcPr>
          <w:p w:rsidR="0017576B" w:rsidRDefault="0017576B" w:rsidP="0017576B"/>
        </w:tc>
        <w:tc>
          <w:tcPr>
            <w:tcW w:w="1987" w:type="dxa"/>
            <w:gridSpan w:val="2"/>
            <w:vMerge/>
          </w:tcPr>
          <w:p w:rsidR="0017576B" w:rsidRDefault="0017576B" w:rsidP="0017576B"/>
        </w:tc>
        <w:tc>
          <w:tcPr>
            <w:tcW w:w="4004" w:type="dxa"/>
            <w:gridSpan w:val="6"/>
          </w:tcPr>
          <w:p w:rsidR="0017576B" w:rsidRDefault="0017576B" w:rsidP="0017576B">
            <w:pPr>
              <w:rPr>
                <w:rFonts w:cstheme="minorHAnsi"/>
              </w:rPr>
            </w:pPr>
            <w:r>
              <w:rPr>
                <w:rFonts w:cstheme="minorHAnsi" w:hint="eastAsia"/>
              </w:rPr>
              <w:t>Cal</w:t>
            </w:r>
            <w:r>
              <w:rPr>
                <w:rFonts w:cstheme="minorHAnsi"/>
              </w:rPr>
              <w:t>cium (mmol/L)</w:t>
            </w:r>
          </w:p>
        </w:tc>
        <w:tc>
          <w:tcPr>
            <w:tcW w:w="1745" w:type="dxa"/>
          </w:tcPr>
          <w:p w:rsidR="0017576B" w:rsidRDefault="0017576B" w:rsidP="0017576B">
            <w:pPr>
              <w:rPr>
                <w:rFonts w:cstheme="minorHAnsi"/>
              </w:rPr>
            </w:pPr>
            <w:r>
              <w:rPr>
                <w:rFonts w:cstheme="minorHAnsi"/>
              </w:rPr>
              <w:t>2.24 vs. 2.36</w:t>
            </w:r>
          </w:p>
        </w:tc>
        <w:tc>
          <w:tcPr>
            <w:tcW w:w="1443" w:type="dxa"/>
            <w:vMerge/>
          </w:tcPr>
          <w:p w:rsidR="0017576B" w:rsidRDefault="0017576B" w:rsidP="0017576B"/>
        </w:tc>
        <w:tc>
          <w:tcPr>
            <w:tcW w:w="1178" w:type="dxa"/>
            <w:vMerge/>
          </w:tcPr>
          <w:p w:rsidR="0017576B" w:rsidRDefault="0017576B" w:rsidP="0017576B"/>
        </w:tc>
        <w:tc>
          <w:tcPr>
            <w:tcW w:w="2033" w:type="dxa"/>
            <w:vMerge/>
          </w:tcPr>
          <w:p w:rsidR="0017576B" w:rsidRDefault="0017576B" w:rsidP="0017576B"/>
        </w:tc>
        <w:tc>
          <w:tcPr>
            <w:tcW w:w="1253" w:type="dxa"/>
            <w:vMerge/>
          </w:tcPr>
          <w:p w:rsidR="0017576B" w:rsidRDefault="0017576B" w:rsidP="0017576B">
            <w:pPr>
              <w:rPr>
                <w:rFonts w:cstheme="minorHAnsi"/>
              </w:rPr>
            </w:pPr>
          </w:p>
        </w:tc>
      </w:tr>
      <w:tr w:rsidR="0017576B" w:rsidTr="00AA5CAF">
        <w:trPr>
          <w:trHeight w:val="389"/>
        </w:trPr>
        <w:tc>
          <w:tcPr>
            <w:tcW w:w="305" w:type="dxa"/>
            <w:vMerge/>
          </w:tcPr>
          <w:p w:rsidR="0017576B" w:rsidRDefault="0017576B" w:rsidP="0017576B"/>
        </w:tc>
        <w:tc>
          <w:tcPr>
            <w:tcW w:w="1987" w:type="dxa"/>
            <w:gridSpan w:val="2"/>
            <w:vMerge/>
          </w:tcPr>
          <w:p w:rsidR="0017576B" w:rsidRDefault="0017576B" w:rsidP="0017576B"/>
        </w:tc>
        <w:tc>
          <w:tcPr>
            <w:tcW w:w="4004" w:type="dxa"/>
            <w:gridSpan w:val="6"/>
          </w:tcPr>
          <w:p w:rsidR="0017576B" w:rsidRDefault="0017576B" w:rsidP="0017576B">
            <w:pPr>
              <w:rPr>
                <w:rFonts w:cstheme="minorHAnsi"/>
              </w:rPr>
            </w:pPr>
            <w:r>
              <w:rPr>
                <w:rFonts w:cstheme="minorHAnsi" w:hint="eastAsia"/>
              </w:rPr>
              <w:t>Creatinine</w:t>
            </w:r>
            <w:r>
              <w:rPr>
                <w:rFonts w:cstheme="minorHAnsi"/>
              </w:rPr>
              <w:t xml:space="preserve"> </w:t>
            </w:r>
            <w:r w:rsidRPr="00646C52">
              <w:rPr>
                <w:rFonts w:cstheme="minorHAnsi"/>
              </w:rPr>
              <w:t>(umol/L)</w:t>
            </w:r>
          </w:p>
        </w:tc>
        <w:tc>
          <w:tcPr>
            <w:tcW w:w="1745" w:type="dxa"/>
          </w:tcPr>
          <w:p w:rsidR="0017576B" w:rsidRDefault="0017576B" w:rsidP="0017576B">
            <w:pPr>
              <w:rPr>
                <w:rFonts w:cstheme="minorHAnsi"/>
              </w:rPr>
            </w:pPr>
            <w:r>
              <w:rPr>
                <w:rFonts w:cstheme="minorHAnsi" w:hint="eastAsia"/>
              </w:rPr>
              <w:t xml:space="preserve">299 vs. </w:t>
            </w:r>
            <w:r>
              <w:rPr>
                <w:rFonts w:cstheme="minorHAnsi"/>
              </w:rPr>
              <w:t>115</w:t>
            </w:r>
          </w:p>
        </w:tc>
        <w:tc>
          <w:tcPr>
            <w:tcW w:w="1443" w:type="dxa"/>
            <w:vMerge/>
          </w:tcPr>
          <w:p w:rsidR="0017576B" w:rsidRDefault="0017576B" w:rsidP="0017576B"/>
        </w:tc>
        <w:tc>
          <w:tcPr>
            <w:tcW w:w="1178" w:type="dxa"/>
            <w:vMerge/>
          </w:tcPr>
          <w:p w:rsidR="0017576B" w:rsidRDefault="0017576B" w:rsidP="0017576B"/>
        </w:tc>
        <w:tc>
          <w:tcPr>
            <w:tcW w:w="2033" w:type="dxa"/>
            <w:vMerge/>
          </w:tcPr>
          <w:p w:rsidR="0017576B" w:rsidRDefault="0017576B" w:rsidP="0017576B"/>
        </w:tc>
        <w:tc>
          <w:tcPr>
            <w:tcW w:w="1253" w:type="dxa"/>
            <w:vMerge/>
          </w:tcPr>
          <w:p w:rsidR="0017576B" w:rsidRDefault="0017576B" w:rsidP="0017576B">
            <w:pPr>
              <w:rPr>
                <w:rFonts w:cstheme="minorHAnsi"/>
              </w:rPr>
            </w:pPr>
          </w:p>
        </w:tc>
      </w:tr>
      <w:tr w:rsidR="0017576B" w:rsidTr="00AA5CAF">
        <w:trPr>
          <w:trHeight w:val="389"/>
        </w:trPr>
        <w:tc>
          <w:tcPr>
            <w:tcW w:w="305" w:type="dxa"/>
          </w:tcPr>
          <w:p w:rsidR="0017576B" w:rsidRDefault="0017576B" w:rsidP="0017576B"/>
        </w:tc>
        <w:tc>
          <w:tcPr>
            <w:tcW w:w="1987" w:type="dxa"/>
            <w:gridSpan w:val="2"/>
          </w:tcPr>
          <w:p w:rsidR="0017576B" w:rsidRDefault="0017576B" w:rsidP="0017576B">
            <w:r>
              <w:rPr>
                <w:rFonts w:hint="eastAsia"/>
              </w:rPr>
              <w:t>M</w:t>
            </w:r>
            <w:r>
              <w:t>iscellaneous</w:t>
            </w:r>
          </w:p>
        </w:tc>
        <w:tc>
          <w:tcPr>
            <w:tcW w:w="4004" w:type="dxa"/>
            <w:gridSpan w:val="6"/>
          </w:tcPr>
          <w:p w:rsidR="0017576B" w:rsidRDefault="0017576B" w:rsidP="0017576B">
            <w:r>
              <w:rPr>
                <w:rFonts w:hint="eastAsia"/>
              </w:rPr>
              <w:t>Dial</w:t>
            </w:r>
            <w:r>
              <w:t xml:space="preserve">ysis </w:t>
            </w:r>
            <w:r>
              <w:rPr>
                <w:rFonts w:hint="eastAsia"/>
              </w:rPr>
              <w:t>clearance rate</w:t>
            </w:r>
          </w:p>
        </w:tc>
        <w:tc>
          <w:tcPr>
            <w:tcW w:w="1745" w:type="dxa"/>
          </w:tcPr>
          <w:p w:rsidR="0017576B" w:rsidRDefault="0017576B" w:rsidP="0017576B">
            <w:r>
              <w:rPr>
                <w:rFonts w:hint="eastAsia"/>
              </w:rPr>
              <w:t>↑</w:t>
            </w:r>
          </w:p>
        </w:tc>
        <w:tc>
          <w:tcPr>
            <w:tcW w:w="1443" w:type="dxa"/>
          </w:tcPr>
          <w:p w:rsidR="0017576B" w:rsidRDefault="0017576B" w:rsidP="0017576B">
            <w:r>
              <w:rPr>
                <w:rFonts w:hint="eastAsia"/>
              </w:rPr>
              <w:t>S</w:t>
            </w:r>
            <w:r>
              <w:t>imple FRAIL scale (SFS)</w:t>
            </w:r>
          </w:p>
        </w:tc>
        <w:tc>
          <w:tcPr>
            <w:tcW w:w="1178" w:type="dxa"/>
          </w:tcPr>
          <w:p w:rsidR="0017576B" w:rsidRDefault="0017576B" w:rsidP="0017576B">
            <w:r>
              <w:rPr>
                <w:rFonts w:hint="eastAsia"/>
              </w:rPr>
              <w:t>46</w:t>
            </w:r>
          </w:p>
        </w:tc>
        <w:tc>
          <w:tcPr>
            <w:tcW w:w="2033" w:type="dxa"/>
          </w:tcPr>
          <w:p w:rsidR="0017576B" w:rsidRDefault="0017576B" w:rsidP="0017576B">
            <w:r>
              <w:rPr>
                <w:rFonts w:hint="eastAsia"/>
              </w:rPr>
              <w:t xml:space="preserve">ESRD, under </w:t>
            </w:r>
            <w:r>
              <w:t>chronic dialysis</w:t>
            </w:r>
          </w:p>
        </w:tc>
        <w:tc>
          <w:tcPr>
            <w:tcW w:w="1253" w:type="dxa"/>
          </w:tcPr>
          <w:p w:rsidR="0017576B" w:rsidRDefault="0017576B" w:rsidP="0017576B">
            <w:pPr>
              <w:rPr>
                <w:lang w:eastAsia="ko-KR"/>
              </w:rPr>
            </w:pPr>
            <w:r>
              <w:fldChar w:fldCharType="begin" w:fldLock="1"/>
            </w:r>
            <w:r>
              <w:instrText>ADDIN CSL_CITATION {"citationItems":[{"id":"ITEM-1","itemData":{"DOI":"10.1186/s12877-017-0673-3","ISSN":"1471-2318","PMID":"29197341","abstract":"BACKGROUND: Frailty is prevalent among patients with end-stage renal disease (ESRD) and is associated with an increased risk of cognitive impairment. However, apart from its influence on cognition, it is currently unknown whether frailty affects subtler cerebral function in patients with ESRD. METHODS: Patients with ESRD were prospectively enrolled, with clinical features and laboratory data recorded. The severity of frailty among these patients with ESRD was ascertained using the previously validated simple FRAIL scale, and was categorized as none-to-mild and moderate-to-severe frailty. All participants underwent quantitative electroencephalography (EEG), with band powers documented following the generation of the delta to alpha ratio (DAR) and delta/theta to alpha/beta ratio (DTABR). EEG results were then compared between groups of different levels of frailty. RESULTS: In this cohort, (mean age: 68.9 +/- 10.4 years, 37% male, 3.4 +/- 3 years of dialysis), 20, 60, 40, 17, and 6% patients exhibited positivity in the fatigue, resistance, ambulation, illness, and loss-of-body-weight domains, respectively, with 45.7% being none to mildly frail and 54.3% being moderately to severely frail. Those with mild frailty had a significantly higher delta power compared to those with more severe frailty, involving all topographic sites. Patients with ESRD and severe frailty had significantly lower global, left frontal, left temporo-occipital, and right temporo-occipital DAR and DTABR, except in the right frontal area, and tended to have central accentuation of alpha, beta, and theta power, and more homogeneous DTABR and DAR distribution compared to the findings in those with mild frailty. CONCLUSIONS: Frailty in patients with ESRD can have subtler neurophysiological influences, presenting as altered EEG findings, which warrant our attention.","author":[{"dropping-particle":"","family":"Chao","given":"Chia-Ter","non-dropping-particle":"","parse-names":false,"suffix":""},{"dropping-particle":"","family":"Lai","given":"Hsin-Jung","non-dropping-particle":"","parse-names":false,"suffix":""},{"dropping-particle":"","family":"Tsai","given":"Hung-Bin","non-dropping-particle":"","parse-names":false,"suffix":""},{"dropping-particle":"","family":"Yang","given":"Shao-Yo","non-dropping-particle":"","parse-names":false,"suffix":""},{"dropping-particle":"","family":"Huang","given":"Jenq-We</w:instrText>
            </w:r>
            <w:r>
              <w:rPr>
                <w:rFonts w:hint="eastAsia"/>
              </w:rPr>
              <w:instrText>n","non-dropping-particle":"","parse-names":false,"suffix":""}],"container-title":"BMC Geriatrics","id":"ITEM-1","issue":"1","issued":{"date-parts":[["2017","12","2"]]},"note":"</w:instrText>
            </w:r>
            <w:r>
              <w:rPr>
                <w:rFonts w:hint="eastAsia"/>
              </w:rPr>
              <w:instrText>這篇沒有提到</w:instrText>
            </w:r>
            <w:r>
              <w:rPr>
                <w:rFonts w:hint="eastAsia"/>
              </w:rPr>
              <w:instrText>Kt/V</w:instrText>
            </w:r>
            <w:r>
              <w:rPr>
                <w:rFonts w:hint="eastAsia"/>
              </w:rPr>
              <w:instrText>如何被</w:instrText>
            </w:r>
            <w:r>
              <w:rPr>
                <w:rFonts w:hint="eastAsia"/>
              </w:rPr>
              <w:instrText>frailty</w:instrText>
            </w:r>
            <w:r>
              <w:rPr>
                <w:rFonts w:hint="eastAsia"/>
              </w:rPr>
              <w:instrText>影響，是受試者</w:instrText>
            </w:r>
            <w:r>
              <w:rPr>
                <w:rFonts w:hint="eastAsia"/>
              </w:rPr>
              <w:instrText>baseline test</w:instrText>
            </w:r>
            <w:r>
              <w:rPr>
                <w:rFonts w:hint="eastAsia"/>
              </w:rPr>
              <w:instrText>的時候測的。</w:instrText>
            </w:r>
            <w:r>
              <w:rPr>
                <w:rFonts w:hint="eastAsia"/>
              </w:rPr>
              <w:instrText>(moderately to severely frail pa</w:instrText>
            </w:r>
            <w:r>
              <w:instrText>tients have higher dialysis clearace rates)\n</w:instrText>
            </w:r>
            <w:r>
              <w:rPr>
                <w:rFonts w:hint="eastAsia"/>
              </w:rPr>
              <w:instrText>家德老師只有討論</w:instrText>
            </w:r>
            <w:r>
              <w:instrText>frailty in ESRD</w:instrText>
            </w:r>
            <w:r>
              <w:rPr>
                <w:rFonts w:hint="eastAsia"/>
              </w:rPr>
              <w:instrText>如何影響</w:instrText>
            </w:r>
            <w:r>
              <w:instrText>EEG</w:instrText>
            </w:r>
            <w:r>
              <w:rPr>
                <w:rFonts w:hint="eastAsia"/>
              </w:rPr>
              <w:instrText>所测得的</w:instrText>
            </w:r>
            <w:r>
              <w:instrText>DAR</w:instrText>
            </w:r>
            <w:r>
              <w:rPr>
                <w:rFonts w:hint="eastAsia"/>
              </w:rPr>
              <w:instrText>以及</w:instrText>
            </w:r>
            <w:r>
              <w:instrText>DTABR","page":"277","publisher":"BioMed Central","title":"Frail phenotype is associated with distinct quantitative electroencephalographic findings among end-stage renal disease patients: an observational study","type":"article-journal","volume":"17"},"uris":["http://www.mendeley.com/documents/?uuid=6c5ef170-8eb1-399c-8933-0e2a7ec0d6a4"]}],"mendeley":{"formattedCitation":"&lt;sup&gt;6&lt;/sup&gt;","plainTextFormattedCitation":"6","previouslyFormattedCitation":"&lt;sup&gt;6&lt;/sup&gt;"},"properties":{"noteIndex":0},"schema":"https://github.com/citation-style-language/schema/raw/master/csl-citation.json"}</w:instrText>
            </w:r>
            <w:r>
              <w:fldChar w:fldCharType="separate"/>
            </w:r>
            <w:r w:rsidRPr="00247690">
              <w:rPr>
                <w:noProof/>
                <w:vertAlign w:val="superscript"/>
                <w:lang w:eastAsia="ko-KR"/>
              </w:rPr>
              <w:t>6</w:t>
            </w:r>
            <w:r>
              <w:fldChar w:fldCharType="end"/>
            </w:r>
          </w:p>
        </w:tc>
      </w:tr>
      <w:tr w:rsidR="0017576B" w:rsidTr="00AA5CAF">
        <w:tc>
          <w:tcPr>
            <w:tcW w:w="2292" w:type="dxa"/>
            <w:gridSpan w:val="3"/>
          </w:tcPr>
          <w:p w:rsidR="0017576B" w:rsidRDefault="0017576B" w:rsidP="0017576B">
            <w:r>
              <w:rPr>
                <w:rFonts w:hint="eastAsia"/>
              </w:rPr>
              <w:t>Psychological</w:t>
            </w:r>
          </w:p>
        </w:tc>
        <w:tc>
          <w:tcPr>
            <w:tcW w:w="4004" w:type="dxa"/>
            <w:gridSpan w:val="6"/>
          </w:tcPr>
          <w:p w:rsidR="0017576B" w:rsidRDefault="0017576B" w:rsidP="0017576B"/>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tcPr>
          <w:p w:rsidR="0017576B" w:rsidRDefault="0017576B" w:rsidP="0017576B"/>
        </w:tc>
        <w:tc>
          <w:tcPr>
            <w:tcW w:w="1987" w:type="dxa"/>
            <w:gridSpan w:val="2"/>
          </w:tcPr>
          <w:p w:rsidR="0017576B" w:rsidRDefault="0017576B" w:rsidP="0017576B">
            <w:r>
              <w:rPr>
                <w:rFonts w:hint="eastAsia"/>
              </w:rPr>
              <w:t>Mood</w:t>
            </w:r>
          </w:p>
        </w:tc>
        <w:tc>
          <w:tcPr>
            <w:tcW w:w="4004" w:type="dxa"/>
            <w:gridSpan w:val="6"/>
          </w:tcPr>
          <w:p w:rsidR="0017576B" w:rsidRDefault="0017576B" w:rsidP="0017576B">
            <w:r>
              <w:t>Mood Change</w:t>
            </w:r>
          </w:p>
        </w:tc>
        <w:tc>
          <w:tcPr>
            <w:tcW w:w="1745" w:type="dxa"/>
          </w:tcPr>
          <w:p w:rsidR="0017576B" w:rsidRDefault="0017576B" w:rsidP="0017576B">
            <w:r>
              <w:rPr>
                <w:rFonts w:hint="eastAsia"/>
              </w:rPr>
              <w:t>Ne</w:t>
            </w:r>
            <w:r>
              <w:t>gative change</w:t>
            </w:r>
          </w:p>
        </w:tc>
        <w:tc>
          <w:tcPr>
            <w:tcW w:w="1443" w:type="dxa"/>
          </w:tcPr>
          <w:p w:rsidR="0017576B" w:rsidRDefault="0017576B" w:rsidP="0017576B">
            <w:r>
              <w:rPr>
                <w:rFonts w:hint="eastAsia"/>
              </w:rPr>
              <w:t>Edmonton Frail Scale</w:t>
            </w:r>
            <w:r>
              <w:t xml:space="preserve"> (EFS)</w:t>
            </w:r>
          </w:p>
        </w:tc>
        <w:tc>
          <w:tcPr>
            <w:tcW w:w="1178" w:type="dxa"/>
          </w:tcPr>
          <w:p w:rsidR="0017576B" w:rsidRDefault="0017576B" w:rsidP="0017576B">
            <w:r>
              <w:rPr>
                <w:rFonts w:hint="eastAsia"/>
              </w:rPr>
              <w:t>N/A</w:t>
            </w:r>
          </w:p>
        </w:tc>
        <w:tc>
          <w:tcPr>
            <w:tcW w:w="2033" w:type="dxa"/>
          </w:tcPr>
          <w:p w:rsidR="0017576B" w:rsidRDefault="00335C48" w:rsidP="0017576B">
            <w:r>
              <w:t>CKD stage 5D (hemodialysis)</w:t>
            </w:r>
          </w:p>
        </w:tc>
        <w:tc>
          <w:tcPr>
            <w:tcW w:w="1253" w:type="dxa"/>
          </w:tcPr>
          <w:p w:rsidR="0017576B" w:rsidRDefault="0017576B" w:rsidP="0017576B">
            <w:r>
              <w:fldChar w:fldCharType="begin" w:fldLock="1"/>
            </w:r>
            <w:r>
              <w:instrText>ADDIN CSL_CITATION {"citationItems":[{"id":"ITEM-1","itemData":{"DOI":"10.1590/1982-0194201400007","ISSN":"01032100","abstract":"OBJECTIVE: To assess the frailty level of elderly people with chronic kidney disease undergoing hemodialysis.METHODS: This is a cross-sectional study involving 60 participants and carried out at a Renal Replacement Therapy Unit. The Edmonton Frail Scale, translated and validated to Portuguese, was used as the instrument of research.RESULTS: Around 35.0% of the elderly showed no frailty, 26.7% were vulnerable, 20.0% showed mild frailty, 13.3% moderate frailty and 5.0% severe frailty.CONCLUSION: The frailty level of elderly people with chronic kidney disease undergoing hemodialysis was high and the number of elderly people who are vulnerable to frailty was also high.","author":[{"dropping-particle":"","family":"Souza Orlandi","given":"Fabiana","non-dropping-particle":"De","parse-names":false,"suffix":""},{"dropping-particle":"","family":"Gesualdo","given":"Gabriela Dutra","non-dropping-particle":"","parse-names":false,"suffix":""}],"container-title":"ACTA Paulista de Enfermagem","id":"ITEM-1","issue":"1","issued":{"date-parts":[["2014","2"]]},"page":"29-34","publisher":"Escola Paulista de Enfermagem, Universidade Federal de São Paulo","title":"Assessment of the frailty level of elderly people with chronic kidney disease undergoing hemodialysis","type":"article-journal","volume":"27"},"uris":["http://www.mendeley.com/documents/?uuid=7dd8d7af-09cd-3c2b-a31b-f8ff16a4eb87"]}],"mendeley":{"formattedCitation":"&lt;sup&gt;13&lt;/sup&gt;","plainTextFormattedCitation":"13","previouslyFormattedCitation":"&lt;sup&gt;14&lt;/sup&gt;"},"properties":{"noteIndex":0},"schema":"https://github.com/citation-style-language/schema/raw/master/csl-citation.json"}</w:instrText>
            </w:r>
            <w:r>
              <w:fldChar w:fldCharType="separate"/>
            </w:r>
            <w:r w:rsidRPr="00596FF4">
              <w:rPr>
                <w:noProof/>
                <w:vertAlign w:val="superscript"/>
              </w:rPr>
              <w:t>13</w:t>
            </w:r>
            <w:r>
              <w:fldChar w:fldCharType="end"/>
            </w:r>
          </w:p>
        </w:tc>
      </w:tr>
      <w:tr w:rsidR="0017576B" w:rsidTr="00AA5CAF">
        <w:tc>
          <w:tcPr>
            <w:tcW w:w="305" w:type="dxa"/>
          </w:tcPr>
          <w:p w:rsidR="0017576B" w:rsidRDefault="0017576B" w:rsidP="0017576B"/>
        </w:tc>
        <w:tc>
          <w:tcPr>
            <w:tcW w:w="1987" w:type="dxa"/>
            <w:gridSpan w:val="2"/>
          </w:tcPr>
          <w:p w:rsidR="0017576B" w:rsidRDefault="0017576B" w:rsidP="0017576B">
            <w:r>
              <w:rPr>
                <w:rFonts w:hint="eastAsia"/>
              </w:rPr>
              <w:t>Mental Healt</w:t>
            </w:r>
            <w:r>
              <w:t>h</w:t>
            </w:r>
          </w:p>
        </w:tc>
        <w:tc>
          <w:tcPr>
            <w:tcW w:w="4004" w:type="dxa"/>
            <w:gridSpan w:val="6"/>
          </w:tcPr>
          <w:p w:rsidR="0017576B" w:rsidRPr="00205299" w:rsidRDefault="0017576B" w:rsidP="0017576B"/>
        </w:tc>
        <w:tc>
          <w:tcPr>
            <w:tcW w:w="1745" w:type="dxa"/>
          </w:tcPr>
          <w:p w:rsidR="0017576B" w:rsidRPr="00541C54" w:rsidRDefault="0017576B" w:rsidP="0017576B">
            <w:pPr>
              <w:rPr>
                <w:u w:val="single"/>
              </w:rPr>
            </w:pPr>
          </w:p>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tcPr>
          <w:p w:rsidR="0017576B" w:rsidRDefault="0017576B" w:rsidP="0017576B"/>
        </w:tc>
        <w:tc>
          <w:tcPr>
            <w:tcW w:w="313" w:type="dxa"/>
          </w:tcPr>
          <w:p w:rsidR="0017576B" w:rsidRDefault="0017576B" w:rsidP="0017576B"/>
        </w:tc>
        <w:tc>
          <w:tcPr>
            <w:tcW w:w="1674" w:type="dxa"/>
          </w:tcPr>
          <w:p w:rsidR="0017576B" w:rsidRDefault="0017576B" w:rsidP="0017576B">
            <w:r>
              <w:rPr>
                <w:rFonts w:hint="eastAsia"/>
              </w:rPr>
              <w:t>Anxiety</w:t>
            </w:r>
          </w:p>
        </w:tc>
        <w:tc>
          <w:tcPr>
            <w:tcW w:w="4004" w:type="dxa"/>
            <w:gridSpan w:val="6"/>
          </w:tcPr>
          <w:p w:rsidR="0017576B" w:rsidRDefault="0017576B" w:rsidP="0017576B">
            <w:r w:rsidRPr="00205299">
              <w:t xml:space="preserve">Hospital Anxiety and Depression Scale </w:t>
            </w:r>
            <w:r w:rsidRPr="00205299">
              <w:lastRenderedPageBreak/>
              <w:t>(HADS)</w:t>
            </w:r>
          </w:p>
        </w:tc>
        <w:tc>
          <w:tcPr>
            <w:tcW w:w="1745" w:type="dxa"/>
          </w:tcPr>
          <w:p w:rsidR="0017576B" w:rsidRDefault="0017576B" w:rsidP="0017576B">
            <w:r w:rsidRPr="00541C54">
              <w:rPr>
                <w:u w:val="single"/>
              </w:rPr>
              <w:lastRenderedPageBreak/>
              <w:t>Women</w:t>
            </w:r>
            <w:r w:rsidRPr="00541C54">
              <w:t>:</w:t>
            </w:r>
            <w:r>
              <w:rPr>
                <w:rFonts w:hint="eastAsia"/>
              </w:rPr>
              <w:t>↑</w:t>
            </w:r>
            <w:r>
              <w:rPr>
                <w:rFonts w:hint="eastAsia"/>
              </w:rPr>
              <w:t xml:space="preserve">in </w:t>
            </w:r>
            <w:r>
              <w:lastRenderedPageBreak/>
              <w:t>global, psychological, social frailty</w:t>
            </w:r>
          </w:p>
          <w:p w:rsidR="0017576B" w:rsidRDefault="0017576B" w:rsidP="0017576B">
            <w:r w:rsidRPr="00541C54">
              <w:rPr>
                <w:rFonts w:hint="eastAsia"/>
                <w:u w:val="single"/>
              </w:rPr>
              <w:t>Men</w:t>
            </w:r>
            <w:r>
              <w:rPr>
                <w:rFonts w:hint="eastAsia"/>
              </w:rPr>
              <w:t>:</w:t>
            </w:r>
            <w:r>
              <w:rPr>
                <w:rFonts w:hint="eastAsia"/>
              </w:rPr>
              <w:t>↑</w:t>
            </w:r>
            <w:r>
              <w:rPr>
                <w:rFonts w:hint="eastAsia"/>
              </w:rPr>
              <w:t xml:space="preserve">in </w:t>
            </w:r>
            <w:r>
              <w:t>Physical frailty</w:t>
            </w:r>
          </w:p>
        </w:tc>
        <w:tc>
          <w:tcPr>
            <w:tcW w:w="1443" w:type="dxa"/>
          </w:tcPr>
          <w:p w:rsidR="0017576B" w:rsidRDefault="0017576B" w:rsidP="0017576B">
            <w:r>
              <w:rPr>
                <w:rFonts w:hint="eastAsia"/>
              </w:rPr>
              <w:lastRenderedPageBreak/>
              <w:t>N/A</w:t>
            </w:r>
          </w:p>
        </w:tc>
        <w:tc>
          <w:tcPr>
            <w:tcW w:w="1178" w:type="dxa"/>
          </w:tcPr>
          <w:p w:rsidR="0017576B" w:rsidRDefault="0017576B" w:rsidP="0017576B">
            <w:r>
              <w:rPr>
                <w:rFonts w:hint="eastAsia"/>
              </w:rPr>
              <w:t>97</w:t>
            </w:r>
          </w:p>
        </w:tc>
        <w:tc>
          <w:tcPr>
            <w:tcW w:w="2033" w:type="dxa"/>
          </w:tcPr>
          <w:p w:rsidR="0017576B" w:rsidRDefault="0017576B" w:rsidP="0017576B">
            <w:r>
              <w:rPr>
                <w:rFonts w:hint="eastAsia"/>
              </w:rPr>
              <w:t>ESRD</w:t>
            </w:r>
            <w:r>
              <w:t xml:space="preserve">, under </w:t>
            </w:r>
            <w:r>
              <w:lastRenderedPageBreak/>
              <w:t>online-</w:t>
            </w:r>
            <w:r w:rsidRPr="003900F9">
              <w:t>haemodiafiltration (OL-HDF)</w:t>
            </w:r>
          </w:p>
        </w:tc>
        <w:tc>
          <w:tcPr>
            <w:tcW w:w="1253" w:type="dxa"/>
          </w:tcPr>
          <w:p w:rsidR="0017576B" w:rsidRDefault="0017576B" w:rsidP="0017576B">
            <w:r>
              <w:lastRenderedPageBreak/>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Pr="00596FF4">
              <w:rPr>
                <w:noProof/>
                <w:vertAlign w:val="superscript"/>
              </w:rPr>
              <w:t>14</w:t>
            </w:r>
            <w:r>
              <w:fldChar w:fldCharType="end"/>
            </w:r>
          </w:p>
        </w:tc>
      </w:tr>
      <w:tr w:rsidR="0017576B" w:rsidTr="00AA5CAF">
        <w:trPr>
          <w:trHeight w:val="302"/>
        </w:trPr>
        <w:tc>
          <w:tcPr>
            <w:tcW w:w="305" w:type="dxa"/>
            <w:vMerge w:val="restart"/>
          </w:tcPr>
          <w:p w:rsidR="0017576B" w:rsidRDefault="0017576B" w:rsidP="0017576B"/>
        </w:tc>
        <w:tc>
          <w:tcPr>
            <w:tcW w:w="313" w:type="dxa"/>
            <w:vMerge w:val="restart"/>
          </w:tcPr>
          <w:p w:rsidR="0017576B" w:rsidRDefault="0017576B" w:rsidP="0017576B"/>
        </w:tc>
        <w:tc>
          <w:tcPr>
            <w:tcW w:w="1674" w:type="dxa"/>
            <w:vMerge w:val="restart"/>
          </w:tcPr>
          <w:p w:rsidR="0017576B" w:rsidRDefault="0017576B" w:rsidP="0017576B">
            <w:r>
              <w:rPr>
                <w:rFonts w:hint="eastAsia"/>
              </w:rPr>
              <w:t>Depression</w:t>
            </w:r>
          </w:p>
        </w:tc>
        <w:tc>
          <w:tcPr>
            <w:tcW w:w="4004" w:type="dxa"/>
            <w:gridSpan w:val="6"/>
          </w:tcPr>
          <w:p w:rsidR="0017576B" w:rsidRDefault="0017576B" w:rsidP="0017576B">
            <w:r w:rsidRPr="00205299">
              <w:t>Hospital Anxiety and Depression Scale (HADS)</w:t>
            </w:r>
          </w:p>
        </w:tc>
        <w:tc>
          <w:tcPr>
            <w:tcW w:w="1745" w:type="dxa"/>
          </w:tcPr>
          <w:p w:rsidR="0017576B" w:rsidRDefault="0017576B" w:rsidP="0017576B">
            <w:r w:rsidRPr="007750B0">
              <w:rPr>
                <w:rFonts w:hint="eastAsia"/>
                <w:u w:val="single"/>
              </w:rPr>
              <w:t>Men</w:t>
            </w:r>
            <w:r>
              <w:rPr>
                <w:rFonts w:hint="eastAsia"/>
              </w:rPr>
              <w:t>↑</w:t>
            </w:r>
            <w:r>
              <w:rPr>
                <w:rFonts w:hint="eastAsia"/>
              </w:rPr>
              <w:t>in</w:t>
            </w:r>
            <w:r>
              <w:t xml:space="preserve"> global, psychological, physical frailty</w:t>
            </w:r>
          </w:p>
        </w:tc>
        <w:tc>
          <w:tcPr>
            <w:tcW w:w="1443" w:type="dxa"/>
          </w:tcPr>
          <w:p w:rsidR="0017576B" w:rsidRPr="007750B0" w:rsidRDefault="0017576B" w:rsidP="0017576B">
            <w:r>
              <w:rPr>
                <w:rFonts w:hint="eastAsia"/>
              </w:rPr>
              <w:t>N/A</w:t>
            </w:r>
          </w:p>
        </w:tc>
        <w:tc>
          <w:tcPr>
            <w:tcW w:w="1178" w:type="dxa"/>
          </w:tcPr>
          <w:p w:rsidR="0017576B" w:rsidRDefault="0017576B" w:rsidP="0017576B">
            <w:r>
              <w:rPr>
                <w:rFonts w:hint="eastAsia"/>
              </w:rPr>
              <w:t>97</w:t>
            </w:r>
          </w:p>
        </w:tc>
        <w:tc>
          <w:tcPr>
            <w:tcW w:w="2033" w:type="dxa"/>
          </w:tcPr>
          <w:p w:rsidR="0017576B" w:rsidRDefault="0017576B" w:rsidP="0017576B">
            <w:r>
              <w:rPr>
                <w:rFonts w:hint="eastAsia"/>
              </w:rPr>
              <w:t>ESRD</w:t>
            </w:r>
            <w:r>
              <w:t>, under online-</w:t>
            </w:r>
            <w:r w:rsidRPr="003900F9">
              <w:t>haemodiafiltration (OL-HDF)</w:t>
            </w:r>
          </w:p>
        </w:tc>
        <w:tc>
          <w:tcPr>
            <w:tcW w:w="1253" w:type="dxa"/>
          </w:tcPr>
          <w:p w:rsidR="0017576B" w:rsidRDefault="0017576B" w:rsidP="0017576B">
            <w:r>
              <w:fldChar w:fldCharType="begin" w:fldLock="1"/>
            </w:r>
            <w:r>
              <w:instrText>ADDIN CSL_CITATION {"citationItems":[{"id":"ITEM-1","itemData":{"DOI":"10.1093/ndt/gfx154.SP651","ISSN":"0931-0509","author":[{"dropping-particle":"","family":"Sales","given":"Célia","non-dropping-particle":"","parse-names":false,"suffix":""},{"dropping-particle":"","family":"Tavares","given":"Rita","non-dropping-particle":"","parse-names":false,"suffix":""},{"dropping-particle":"","family":"Amado","given":"Leonilde","non-dropping-particle":"","parse-names":false,"suffix":""},{"dropping-particle":"","family":"Martins","given":"Pedro","non-dropping-particle":"","parse-names":false,"suffix":""},{"dropping-particle":"","family":"Barros","given":"João","non-dropping-particle":"","parse-names":false,"suffix":""},{"dropping-particle":"","family":"Miranda","given":"Vasco","non-dropping-particle":"","parse-names":false,"suffix":""},{"dropping-particle":"","family":"Santos-Silva","given":"Alice","non-dropping-particle":"","parse-names":false,"suffix":""},{"dropping-particle":"","family":"Mena-Matos","given":"Paula","non-dropping-particle":"","parse-names":false,"suffix":""},{"dropping-particle":"","family":"Costa","given":"Elisio","non-dropping-particle":"","parse-names":false,"suffix":""}],"container-title":"Nephrology Dialysis Transplantation","id":"ITEM-1","issue":"suppl_3","issued":{"date-parts":[["2017","5","1"]]},"page":"iii355-iii355","publisher":"Oxford University Press","title":"SP651ANXIETY AND DEPRESSION IN END STAGE RENAL DISEASE PATIENTS AND ITS ASSOCIATION WITH CLINICAL AND LABORATORIAL DATA","type":"article-journal","volume":"32"},"uris":["http://www.mendeley.com/documents/?uuid=56b883f1-2160-31c6-91ad-0139b64aaf80"]}],"mendeley":{"formattedCitation":"&lt;sup&gt;14&lt;/sup&gt;","plainTextFormattedCitation":"14","previouslyFormattedCitation":"&lt;sup&gt;15&lt;/sup&gt;"},"properties":{"noteIndex":0},"schema":"https://github.com/citation-style-language/schema/raw/master/csl-citation.json"}</w:instrText>
            </w:r>
            <w:r>
              <w:fldChar w:fldCharType="separate"/>
            </w:r>
            <w:r w:rsidRPr="00596FF4">
              <w:rPr>
                <w:noProof/>
                <w:vertAlign w:val="superscript"/>
              </w:rPr>
              <w:t>14</w:t>
            </w:r>
            <w:r>
              <w:fldChar w:fldCharType="end"/>
            </w:r>
          </w:p>
        </w:tc>
      </w:tr>
      <w:tr w:rsidR="0017576B" w:rsidTr="00AA5CAF">
        <w:trPr>
          <w:trHeight w:val="301"/>
        </w:trPr>
        <w:tc>
          <w:tcPr>
            <w:tcW w:w="305" w:type="dxa"/>
            <w:vMerge/>
          </w:tcPr>
          <w:p w:rsidR="0017576B" w:rsidRDefault="0017576B" w:rsidP="0017576B"/>
        </w:tc>
        <w:tc>
          <w:tcPr>
            <w:tcW w:w="313" w:type="dxa"/>
            <w:vMerge/>
          </w:tcPr>
          <w:p w:rsidR="0017576B" w:rsidRDefault="0017576B" w:rsidP="0017576B"/>
        </w:tc>
        <w:tc>
          <w:tcPr>
            <w:tcW w:w="1674" w:type="dxa"/>
            <w:vMerge/>
          </w:tcPr>
          <w:p w:rsidR="0017576B" w:rsidRDefault="0017576B" w:rsidP="0017576B"/>
        </w:tc>
        <w:tc>
          <w:tcPr>
            <w:tcW w:w="4004" w:type="dxa"/>
            <w:gridSpan w:val="6"/>
          </w:tcPr>
          <w:p w:rsidR="0017576B" w:rsidRDefault="0017576B" w:rsidP="0017576B">
            <w:r>
              <w:t>Incidence (%) (</w:t>
            </w:r>
            <w:r>
              <w:rPr>
                <w:rFonts w:hint="eastAsia"/>
              </w:rPr>
              <w:t xml:space="preserve">Self-reported </w:t>
            </w:r>
            <w:r>
              <w:t>Major Depression Inventory)</w:t>
            </w:r>
          </w:p>
        </w:tc>
        <w:tc>
          <w:tcPr>
            <w:tcW w:w="1745" w:type="dxa"/>
          </w:tcPr>
          <w:p w:rsidR="0017576B" w:rsidRDefault="0017576B" w:rsidP="0017576B">
            <w:r>
              <w:t>83 vs. 6</w:t>
            </w:r>
          </w:p>
        </w:tc>
        <w:tc>
          <w:tcPr>
            <w:tcW w:w="1443" w:type="dxa"/>
          </w:tcPr>
          <w:p w:rsidR="0017576B" w:rsidRDefault="0017576B" w:rsidP="0017576B">
            <w:r>
              <w:rPr>
                <w:rFonts w:hint="eastAsia"/>
              </w:rPr>
              <w:t>Edmonton Frail Scale (</w:t>
            </w:r>
            <w:r>
              <w:t>EFS</w:t>
            </w:r>
            <w:r>
              <w:rPr>
                <w:rFonts w:hint="eastAsia"/>
              </w:rPr>
              <w:t>)</w:t>
            </w:r>
          </w:p>
        </w:tc>
        <w:tc>
          <w:tcPr>
            <w:tcW w:w="1178" w:type="dxa"/>
          </w:tcPr>
          <w:p w:rsidR="0017576B" w:rsidRDefault="0017576B" w:rsidP="0017576B">
            <w:r>
              <w:rPr>
                <w:rFonts w:hint="eastAsia"/>
              </w:rPr>
              <w:t>41</w:t>
            </w:r>
          </w:p>
        </w:tc>
        <w:tc>
          <w:tcPr>
            <w:tcW w:w="2033" w:type="dxa"/>
          </w:tcPr>
          <w:p w:rsidR="0017576B" w:rsidRDefault="00E25F01" w:rsidP="0017576B">
            <w:r>
              <w:rPr>
                <w:rFonts w:hint="eastAsia"/>
              </w:rPr>
              <w:t>CKD stage 1-5</w:t>
            </w:r>
          </w:p>
        </w:tc>
        <w:tc>
          <w:tcPr>
            <w:tcW w:w="1253" w:type="dxa"/>
          </w:tcPr>
          <w:p w:rsidR="0017576B" w:rsidRDefault="0017576B" w:rsidP="0017576B">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17576B" w:rsidTr="00AA5CAF">
        <w:tc>
          <w:tcPr>
            <w:tcW w:w="305" w:type="dxa"/>
            <w:vMerge w:val="restart"/>
          </w:tcPr>
          <w:p w:rsidR="0017576B" w:rsidRDefault="0017576B" w:rsidP="0017576B"/>
        </w:tc>
        <w:tc>
          <w:tcPr>
            <w:tcW w:w="1987" w:type="dxa"/>
            <w:gridSpan w:val="2"/>
            <w:vMerge w:val="restart"/>
          </w:tcPr>
          <w:p w:rsidR="0017576B" w:rsidRDefault="0017576B" w:rsidP="0017576B"/>
        </w:tc>
        <w:tc>
          <w:tcPr>
            <w:tcW w:w="4004" w:type="dxa"/>
            <w:gridSpan w:val="6"/>
          </w:tcPr>
          <w:p w:rsidR="0017576B" w:rsidRPr="00621C9F" w:rsidRDefault="0017576B" w:rsidP="0017576B"/>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vMerge/>
          </w:tcPr>
          <w:p w:rsidR="0017576B" w:rsidRDefault="0017576B" w:rsidP="0017576B"/>
        </w:tc>
        <w:tc>
          <w:tcPr>
            <w:tcW w:w="1987" w:type="dxa"/>
            <w:gridSpan w:val="2"/>
            <w:vMerge/>
          </w:tcPr>
          <w:p w:rsidR="0017576B" w:rsidRDefault="0017576B" w:rsidP="0017576B"/>
        </w:tc>
        <w:tc>
          <w:tcPr>
            <w:tcW w:w="4004" w:type="dxa"/>
            <w:gridSpan w:val="6"/>
          </w:tcPr>
          <w:p w:rsidR="0017576B" w:rsidRPr="00621C9F" w:rsidRDefault="0017576B" w:rsidP="0017576B"/>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tcPr>
          <w:p w:rsidR="0017576B" w:rsidRDefault="0017576B" w:rsidP="0017576B"/>
        </w:tc>
        <w:tc>
          <w:tcPr>
            <w:tcW w:w="1987" w:type="dxa"/>
            <w:gridSpan w:val="2"/>
          </w:tcPr>
          <w:p w:rsidR="0017576B" w:rsidRDefault="0017576B" w:rsidP="0017576B">
            <w:r>
              <w:t>Mental Function</w:t>
            </w:r>
          </w:p>
        </w:tc>
        <w:tc>
          <w:tcPr>
            <w:tcW w:w="4004" w:type="dxa"/>
            <w:gridSpan w:val="6"/>
          </w:tcPr>
          <w:p w:rsidR="0017576B" w:rsidRDefault="0017576B" w:rsidP="0017576B">
            <w:r>
              <w:rPr>
                <w:rFonts w:hint="eastAsia"/>
              </w:rPr>
              <w:t>Post-KT delirium</w:t>
            </w:r>
          </w:p>
        </w:tc>
        <w:tc>
          <w:tcPr>
            <w:tcW w:w="1745" w:type="dxa"/>
          </w:tcPr>
          <w:p w:rsidR="0017576B" w:rsidRDefault="0017576B" w:rsidP="0017576B">
            <w:r>
              <w:t>9.0</w:t>
            </w:r>
            <w:r w:rsidR="009A4D7F">
              <w:t>%</w:t>
            </w:r>
            <w:r>
              <w:t xml:space="preserve"> vs. 3.9</w:t>
            </w:r>
            <w:r w:rsidR="009A4D7F">
              <w:t>%</w:t>
            </w:r>
          </w:p>
        </w:tc>
        <w:tc>
          <w:tcPr>
            <w:tcW w:w="1443" w:type="dxa"/>
          </w:tcPr>
          <w:p w:rsidR="0017576B" w:rsidRDefault="0017576B" w:rsidP="0017576B">
            <w:r>
              <w:rPr>
                <w:rFonts w:hint="eastAsia"/>
              </w:rPr>
              <w:t>Fried Phenotypes</w:t>
            </w:r>
          </w:p>
        </w:tc>
        <w:tc>
          <w:tcPr>
            <w:tcW w:w="1178" w:type="dxa"/>
          </w:tcPr>
          <w:p w:rsidR="0017576B" w:rsidRDefault="0017576B" w:rsidP="0017576B">
            <w:r>
              <w:rPr>
                <w:rFonts w:hint="eastAsia"/>
              </w:rPr>
              <w:t>893</w:t>
            </w:r>
          </w:p>
        </w:tc>
        <w:tc>
          <w:tcPr>
            <w:tcW w:w="2033" w:type="dxa"/>
          </w:tcPr>
          <w:p w:rsidR="0017576B" w:rsidRDefault="00E25F01" w:rsidP="0017576B">
            <w:r>
              <w:t>CKD stage 5T</w:t>
            </w:r>
          </w:p>
        </w:tc>
        <w:tc>
          <w:tcPr>
            <w:tcW w:w="1253" w:type="dxa"/>
          </w:tcPr>
          <w:p w:rsidR="0017576B" w:rsidRDefault="0017576B" w:rsidP="0017576B">
            <w:r>
              <w:fldChar w:fldCharType="begin" w:fldLock="1"/>
            </w:r>
            <w:r>
              <w:instrText>ADDIN CSL_CITATION {"citationItems":[{"id":"ITEM-1","itemData":{"DOI":"10.1681/ASN.2018010064","ISSN":"1533-3450","PMID":"29685884","abstract":"Background Frail kidney transplant (KT) recipients may be particularly vulnerable to surgical stressors, resulting in delirium and subsequent adverse outcomes. We sought to identify the incidence, risk factors, and sequelae of post-KT delirium.Methods We studied 125,304 adult KT recipients (1999-2014) to estimate delirium incidence in national registry claims. Additionally, we used a validated chart abstraction algorithm to identify post-KT delirium in 893 adult recipients (2009-2017) from a cohort study of frailty. Delirium sequelae were identified using adjusted logistic regression (length of stay ≥2 weeks and institutional discharge [skilled nursing or rehabilitation facility]) and adjusted Cox regression (death-censored graft loss and mortality).Results Only 0.8% of KT recipients had a delirium claim. In the cohort study, delirium incidence increased with age (18-49 years old: 2.0%; 50-64 years old: 4.6%; 65-75 years old: 9.2%; and ≥75 years old: 13.8%) and frailty (9.0% versus 3.9%); 20.0% of frail recipients aged ≥75 years old experienced delirium. Frailty was independently associated with delirium (odds ratio [OR], 2.05; 95% confidence interval [95% CI], 1.02 to 4.13; P=0.04), but premorbid global cognitive function was not. Recipients with delirium had increased risks of ≥2-week length of stay (OR, 5.42; 95% CI, 2.76 to 10.66; P&lt;0.001), institutional discharge (OR, 22.41; 95% CI, 7.85 to 63.98; P&lt;0.001), graft loss (hazard ratio [HR], 2.73; 95% CI, 1.14 to 6.53; P=0.03), and mortality (HR, 3.12; 95% CI, 1.76 to 5.54; P&lt;0.001).Conclusions Post-KT delirium is a strong risk factor for subsequent adverse outcomes, yet it is a clinical entity that is often missed.","author":[{"dropping-particle":"","family":"Haugen","given":"Christine E","non-dropping-particle":"","parse-names":false,"suffix":""},{"dropping-particle":"","family":"Mountford","given":"Alexandra","non-dropping-particle":"","parse-names":false,"suffix":""},{"dropping-particle":"","family":"Warsame","given":"Fatima","non-dropping-particle":"","parse-names":false,"suffix":""},{"dropping-particle":"","family":"Berkowitz","given":"Rachel","non-dropping-particle":"","parse-names":false,"suffix":""},{"dropping-particle":"","family":"Bae","given":"Sunjae","non-dropping-particle":"","parse-names":false,"suffix":""},{"dropping-particle":"","family":"Thomas","given":"Alvin","non-dropping-particle":"","parse-names":false,"suffix":""},{"dropping-particle":"","family":"Brown","given":"Charles H","non-dropping-particle":"","parse-names":false,"suffix":""},{"dropping-particle":"","family":"Brennan","given":"Daniel C","non-dropping-particle":"","parse-names":false,"suffix":""},{"dropping-particle":"","family":"Neufeld","given":"Karin J","non-dropping-particle":"","parse-names":false,"suffix":""},{"dropping-particle":"","family":"Carlson","given":"Michelle C","non-dropping-particle":"","parse-names":false,"suffix":""},{"dropping-particle":"","family":"Segev","given":"Dorry L","non-dropping-particle":"","parse-names":false,"suffix":""},{"dropping-particle":"","family":"McAdams-DeMarco","given":"Mara","non-dropping-particle":"","parse-names":false,"suffix":""}],"container-title":"Journal of the American Society of Nephrology : JASN","id":"ITEM-1","issue":"6","issued":{"date-parts":[["2018","6","1"]]},"page":"1752-1759","publisher":"American Society of Nephrology","title":"Incidence, Risk Factors, and Sequelae of Post-kidney Transplant Delirium.","type":"article-journal","volume":"29"},"uris":["http://www.mendeley.com/documents/?uuid=749ae920-a167-3b38-a5c9-cac45e4c2d59"]}],"mendeley":{"formattedCitation":"&lt;sup&gt;15&lt;/sup&gt;","plainTextFormattedCitation":"15","previouslyFormattedCitation":"&lt;sup&gt;16&lt;/sup&gt;"},"properties":{"noteIndex":0},"schema":"https://github.com/citation-style-language/schema/raw/master/csl-citation.json"}</w:instrText>
            </w:r>
            <w:r>
              <w:fldChar w:fldCharType="separate"/>
            </w:r>
            <w:r w:rsidRPr="00596FF4">
              <w:rPr>
                <w:noProof/>
                <w:vertAlign w:val="superscript"/>
              </w:rPr>
              <w:t>15</w:t>
            </w:r>
            <w:r>
              <w:fldChar w:fldCharType="end"/>
            </w:r>
          </w:p>
        </w:tc>
      </w:tr>
      <w:tr w:rsidR="0017576B" w:rsidTr="00AA5CAF">
        <w:tc>
          <w:tcPr>
            <w:tcW w:w="2292" w:type="dxa"/>
            <w:gridSpan w:val="3"/>
          </w:tcPr>
          <w:p w:rsidR="0017576B" w:rsidRDefault="0017576B" w:rsidP="0017576B">
            <w:r>
              <w:t>Sociological</w:t>
            </w:r>
          </w:p>
        </w:tc>
        <w:tc>
          <w:tcPr>
            <w:tcW w:w="4004" w:type="dxa"/>
            <w:gridSpan w:val="6"/>
          </w:tcPr>
          <w:p w:rsidR="0017576B" w:rsidRDefault="0017576B" w:rsidP="0017576B"/>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tcPr>
          <w:p w:rsidR="0017576B" w:rsidRDefault="0017576B" w:rsidP="0017576B"/>
        </w:tc>
        <w:tc>
          <w:tcPr>
            <w:tcW w:w="1987" w:type="dxa"/>
            <w:gridSpan w:val="2"/>
          </w:tcPr>
          <w:p w:rsidR="0017576B" w:rsidRDefault="0017576B" w:rsidP="0017576B">
            <w:r>
              <w:rPr>
                <w:rFonts w:hint="eastAsia"/>
              </w:rPr>
              <w:t>Isolation</w:t>
            </w:r>
          </w:p>
        </w:tc>
        <w:tc>
          <w:tcPr>
            <w:tcW w:w="4004" w:type="dxa"/>
            <w:gridSpan w:val="6"/>
          </w:tcPr>
          <w:p w:rsidR="0017576B" w:rsidRDefault="0017576B" w:rsidP="0017576B"/>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305" w:type="dxa"/>
          </w:tcPr>
          <w:p w:rsidR="0017576B" w:rsidRDefault="0017576B" w:rsidP="0017576B"/>
        </w:tc>
        <w:tc>
          <w:tcPr>
            <w:tcW w:w="1987" w:type="dxa"/>
            <w:gridSpan w:val="2"/>
          </w:tcPr>
          <w:p w:rsidR="0017576B" w:rsidRDefault="0017576B" w:rsidP="0017576B">
            <w:r>
              <w:rPr>
                <w:rFonts w:hint="eastAsia"/>
              </w:rPr>
              <w:t>Interaction</w:t>
            </w:r>
          </w:p>
        </w:tc>
        <w:tc>
          <w:tcPr>
            <w:tcW w:w="4004" w:type="dxa"/>
            <w:gridSpan w:val="6"/>
          </w:tcPr>
          <w:p w:rsidR="0017576B" w:rsidRDefault="0017576B" w:rsidP="0017576B">
            <w:r>
              <w:rPr>
                <w:rFonts w:hint="eastAsia"/>
              </w:rPr>
              <w:t>Interaction with family</w:t>
            </w:r>
          </w:p>
        </w:tc>
        <w:tc>
          <w:tcPr>
            <w:tcW w:w="1745" w:type="dxa"/>
          </w:tcPr>
          <w:p w:rsidR="0017576B" w:rsidRDefault="0017576B" w:rsidP="0017576B">
            <w:r>
              <w:rPr>
                <w:rFonts w:hint="eastAsia"/>
              </w:rPr>
              <w:t>Good</w:t>
            </w:r>
          </w:p>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r>
              <w:fldChar w:fldCharType="begin" w:fldLock="1"/>
            </w:r>
            <w:r>
              <w:instrText>ADDIN CSL_CITATION {"citationItems":[{"id":"ITEM-1","itemData":{"author":[{"dropping-particle":"","family":"Moffatt","given":"Heather","non-dropping-particle":"","parse-names":false,"suffix":""},{"dropping-particle":"","family":"Moorhouse","given":"Paige","non-dropping-particle":"","parse-names":false,"suffix":""},{"dropping-particle":"","family":"Mallery","given":"Laurie","non-dropping-particle":"","parse-names":false,"suffix":""},{"dropping-particle":"","family":"Landry","given":"David","non-dropping-particle":"","parse-names":false,"suffix":""},{"dropping-particle":"","family":"Tennankore","given":"Karthik","non-dropping-particle":"","parse-names":false,"suffix":""}],"container-title":"Clinical interventions in aging","id":"ITEM-1","issued":{"date-parts":[["2018"]]},"page":"843","title":"Using the Frailty Assessment for Care Planning Tool (FACT) to screen elderly chronic kidney disease patients for frailty: the nurse experience","type":"article-journal","volume":"13"},"uris":["http://www.mendeley.com/documents/?uuid=331b30bd-d731-4bcb-b6d0-34435478164a"]}],"mendeley":{"formattedCitation":"&lt;sup&gt;16&lt;/sup&gt;","plainTextFormattedCitation":"16","previouslyFormattedCitation":"&lt;sup&gt;17&lt;/sup&gt;"},"properties":{"noteIndex":0},"schema":"https://github.com/citation-style-language/schema/raw/master/csl-citation.json"}</w:instrText>
            </w:r>
            <w:r>
              <w:fldChar w:fldCharType="separate"/>
            </w:r>
            <w:r w:rsidRPr="00596FF4">
              <w:rPr>
                <w:noProof/>
                <w:vertAlign w:val="superscript"/>
              </w:rPr>
              <w:t>16</w:t>
            </w:r>
            <w:r>
              <w:fldChar w:fldCharType="end"/>
            </w:r>
          </w:p>
        </w:tc>
      </w:tr>
      <w:tr w:rsidR="0017576B" w:rsidTr="00AA5CAF">
        <w:tc>
          <w:tcPr>
            <w:tcW w:w="2292" w:type="dxa"/>
            <w:gridSpan w:val="3"/>
            <w:vMerge w:val="restart"/>
          </w:tcPr>
          <w:p w:rsidR="0017576B" w:rsidRDefault="0017576B" w:rsidP="0017576B">
            <w:r>
              <w:rPr>
                <w:rFonts w:hint="eastAsia"/>
              </w:rPr>
              <w:t>Q</w:t>
            </w:r>
            <w:r>
              <w:t>uality of Life</w:t>
            </w:r>
          </w:p>
        </w:tc>
        <w:tc>
          <w:tcPr>
            <w:tcW w:w="4004" w:type="dxa"/>
            <w:gridSpan w:val="6"/>
          </w:tcPr>
          <w:p w:rsidR="0017576B" w:rsidRDefault="0017576B" w:rsidP="0017576B">
            <w:r>
              <w:rPr>
                <w:rFonts w:hint="eastAsia"/>
              </w:rPr>
              <w:t>HRQoL</w:t>
            </w:r>
          </w:p>
        </w:tc>
        <w:tc>
          <w:tcPr>
            <w:tcW w:w="1745" w:type="dxa"/>
          </w:tcPr>
          <w:p w:rsidR="0017576B"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17576B" w:rsidTr="00AA5CAF">
        <w:tc>
          <w:tcPr>
            <w:tcW w:w="2292" w:type="dxa"/>
            <w:gridSpan w:val="3"/>
            <w:vMerge/>
          </w:tcPr>
          <w:p w:rsidR="0017576B" w:rsidRDefault="0017576B" w:rsidP="0017576B"/>
        </w:tc>
        <w:tc>
          <w:tcPr>
            <w:tcW w:w="244" w:type="dxa"/>
          </w:tcPr>
          <w:p w:rsidR="0017576B" w:rsidRDefault="0017576B" w:rsidP="0017576B"/>
        </w:tc>
        <w:tc>
          <w:tcPr>
            <w:tcW w:w="3760" w:type="dxa"/>
            <w:gridSpan w:val="5"/>
          </w:tcPr>
          <w:p w:rsidR="0017576B" w:rsidRDefault="0017576B" w:rsidP="0017576B">
            <w:r>
              <w:rPr>
                <w:rFonts w:hint="eastAsia"/>
              </w:rPr>
              <w:t>SF-36</w:t>
            </w:r>
          </w:p>
        </w:tc>
        <w:tc>
          <w:tcPr>
            <w:tcW w:w="1745" w:type="dxa"/>
          </w:tcPr>
          <w:p w:rsidR="0017576B" w:rsidRPr="00C32753" w:rsidRDefault="0017576B" w:rsidP="0017576B"/>
        </w:tc>
        <w:tc>
          <w:tcPr>
            <w:tcW w:w="1443" w:type="dxa"/>
          </w:tcPr>
          <w:p w:rsidR="0017576B" w:rsidRDefault="0017576B" w:rsidP="0017576B"/>
        </w:tc>
        <w:tc>
          <w:tcPr>
            <w:tcW w:w="1178" w:type="dxa"/>
          </w:tcPr>
          <w:p w:rsidR="0017576B" w:rsidRDefault="0017576B" w:rsidP="0017576B"/>
        </w:tc>
        <w:tc>
          <w:tcPr>
            <w:tcW w:w="2033" w:type="dxa"/>
          </w:tcPr>
          <w:p w:rsidR="0017576B" w:rsidRDefault="0017576B" w:rsidP="0017576B"/>
        </w:tc>
        <w:tc>
          <w:tcPr>
            <w:tcW w:w="1253" w:type="dxa"/>
          </w:tcPr>
          <w:p w:rsidR="0017576B" w:rsidRDefault="0017576B" w:rsidP="0017576B"/>
        </w:tc>
      </w:tr>
      <w:tr w:rsidR="005C79F8" w:rsidTr="00AA5CAF">
        <w:tc>
          <w:tcPr>
            <w:tcW w:w="2292" w:type="dxa"/>
            <w:gridSpan w:val="3"/>
            <w:vMerge/>
          </w:tcPr>
          <w:p w:rsidR="005C79F8" w:rsidRDefault="005C79F8" w:rsidP="005C79F8"/>
        </w:tc>
        <w:tc>
          <w:tcPr>
            <w:tcW w:w="244" w:type="dxa"/>
          </w:tcPr>
          <w:p w:rsidR="005C79F8" w:rsidRDefault="005C79F8" w:rsidP="005C79F8"/>
        </w:tc>
        <w:tc>
          <w:tcPr>
            <w:tcW w:w="468" w:type="dxa"/>
          </w:tcPr>
          <w:p w:rsidR="005C79F8" w:rsidRDefault="005C79F8" w:rsidP="005C79F8"/>
        </w:tc>
        <w:tc>
          <w:tcPr>
            <w:tcW w:w="3292" w:type="dxa"/>
            <w:gridSpan w:val="4"/>
          </w:tcPr>
          <w:p w:rsidR="005C79F8" w:rsidRDefault="005C79F8" w:rsidP="005C79F8">
            <w:r>
              <w:rPr>
                <w:rFonts w:hint="eastAsia"/>
              </w:rPr>
              <w:t xml:space="preserve">Scores in </w:t>
            </w:r>
            <w:r>
              <w:t xml:space="preserve">physical functioning, </w:t>
            </w:r>
            <w:r>
              <w:lastRenderedPageBreak/>
              <w:t>blood pressure, role physical, and physical component summary domains</w:t>
            </w:r>
          </w:p>
        </w:tc>
        <w:tc>
          <w:tcPr>
            <w:tcW w:w="1745" w:type="dxa"/>
          </w:tcPr>
          <w:p w:rsidR="005C79F8" w:rsidRDefault="005C79F8" w:rsidP="005C79F8">
            <w:r>
              <w:rPr>
                <w:rFonts w:hint="eastAsia"/>
              </w:rPr>
              <w:lastRenderedPageBreak/>
              <w:t>↓</w:t>
            </w:r>
          </w:p>
        </w:tc>
        <w:tc>
          <w:tcPr>
            <w:tcW w:w="1443" w:type="dxa"/>
          </w:tcPr>
          <w:p w:rsidR="005C79F8" w:rsidRDefault="005C79F8" w:rsidP="005C79F8">
            <w:r>
              <w:rPr>
                <w:rFonts w:hint="eastAsia"/>
              </w:rPr>
              <w:t xml:space="preserve">Edmonton </w:t>
            </w:r>
            <w:r>
              <w:rPr>
                <w:rFonts w:hint="eastAsia"/>
              </w:rPr>
              <w:lastRenderedPageBreak/>
              <w:t>Frail Scale (</w:t>
            </w:r>
            <w:r>
              <w:t>EFS</w:t>
            </w:r>
            <w:r>
              <w:rPr>
                <w:rFonts w:hint="eastAsia"/>
              </w:rPr>
              <w:t>)</w:t>
            </w:r>
          </w:p>
        </w:tc>
        <w:tc>
          <w:tcPr>
            <w:tcW w:w="1178" w:type="dxa"/>
          </w:tcPr>
          <w:p w:rsidR="005C79F8" w:rsidRDefault="005C79F8" w:rsidP="005C79F8">
            <w:r>
              <w:rPr>
                <w:rFonts w:hint="eastAsia"/>
              </w:rPr>
              <w:lastRenderedPageBreak/>
              <w:t>41</w:t>
            </w:r>
          </w:p>
        </w:tc>
        <w:tc>
          <w:tcPr>
            <w:tcW w:w="2033" w:type="dxa"/>
          </w:tcPr>
          <w:p w:rsidR="005C79F8" w:rsidRDefault="005C79F8" w:rsidP="005C79F8">
            <w:r>
              <w:rPr>
                <w:rFonts w:hint="eastAsia"/>
              </w:rPr>
              <w:t xml:space="preserve">CKD stage </w:t>
            </w:r>
            <w:r>
              <w:t>1-5</w:t>
            </w:r>
          </w:p>
        </w:tc>
        <w:tc>
          <w:tcPr>
            <w:tcW w:w="1253" w:type="dxa"/>
          </w:tcPr>
          <w:p w:rsidR="005C79F8" w:rsidRDefault="005C79F8" w:rsidP="005C79F8">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5C79F8" w:rsidTr="00AA5CAF">
        <w:trPr>
          <w:trHeight w:val="451"/>
        </w:trPr>
        <w:tc>
          <w:tcPr>
            <w:tcW w:w="2292" w:type="dxa"/>
            <w:gridSpan w:val="3"/>
            <w:vMerge/>
          </w:tcPr>
          <w:p w:rsidR="005C79F8" w:rsidRDefault="005C79F8" w:rsidP="005C79F8"/>
        </w:tc>
        <w:tc>
          <w:tcPr>
            <w:tcW w:w="4004" w:type="dxa"/>
            <w:gridSpan w:val="6"/>
          </w:tcPr>
          <w:p w:rsidR="005C79F8" w:rsidRDefault="005C79F8" w:rsidP="005C79F8">
            <w:r>
              <w:rPr>
                <w:rFonts w:hint="eastAsia"/>
              </w:rPr>
              <w:t>Falls</w:t>
            </w:r>
            <w:r>
              <w:t xml:space="preserve"> (times)</w:t>
            </w:r>
          </w:p>
        </w:tc>
        <w:tc>
          <w:tcPr>
            <w:tcW w:w="1745" w:type="dxa"/>
          </w:tcPr>
          <w:p w:rsidR="005C79F8" w:rsidRDefault="005C79F8" w:rsidP="005C79F8">
            <w:r>
              <w:t>115 vs. 12</w:t>
            </w:r>
          </w:p>
        </w:tc>
        <w:tc>
          <w:tcPr>
            <w:tcW w:w="1443" w:type="dxa"/>
          </w:tcPr>
          <w:p w:rsidR="005C79F8" w:rsidRDefault="005C79F8" w:rsidP="005C79F8">
            <w:r>
              <w:rPr>
                <w:rFonts w:hint="eastAsia"/>
              </w:rPr>
              <w:t>Fried Frailty Phenotypes</w:t>
            </w:r>
          </w:p>
        </w:tc>
        <w:tc>
          <w:tcPr>
            <w:tcW w:w="1178" w:type="dxa"/>
          </w:tcPr>
          <w:p w:rsidR="005C79F8" w:rsidRDefault="005C79F8" w:rsidP="005C79F8">
            <w:r>
              <w:rPr>
                <w:rFonts w:hint="eastAsia"/>
              </w:rPr>
              <w:t>205</w:t>
            </w:r>
          </w:p>
        </w:tc>
        <w:tc>
          <w:tcPr>
            <w:tcW w:w="2033" w:type="dxa"/>
          </w:tcPr>
          <w:p w:rsidR="005C79F8" w:rsidRDefault="005C79F8" w:rsidP="005C79F8">
            <w:r>
              <w:t>CKD stage 5D (hemodialysis)</w:t>
            </w:r>
          </w:p>
        </w:tc>
        <w:tc>
          <w:tcPr>
            <w:tcW w:w="1253" w:type="dxa"/>
          </w:tcPr>
          <w:p w:rsidR="005C79F8" w:rsidRDefault="005C79F8" w:rsidP="005C79F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577729">
              <w:rPr>
                <w:noProof/>
                <w:vertAlign w:val="superscript"/>
              </w:rPr>
              <w:t>1</w:t>
            </w:r>
            <w:r>
              <w:fldChar w:fldCharType="end"/>
            </w:r>
          </w:p>
        </w:tc>
      </w:tr>
      <w:tr w:rsidR="005C79F8" w:rsidTr="00AA5CAF">
        <w:tc>
          <w:tcPr>
            <w:tcW w:w="2292" w:type="dxa"/>
            <w:gridSpan w:val="3"/>
            <w:vMerge w:val="restart"/>
          </w:tcPr>
          <w:p w:rsidR="005C79F8" w:rsidRPr="002F2F00" w:rsidRDefault="005C79F8" w:rsidP="005C79F8">
            <w:pPr>
              <w:rPr>
                <w:color w:val="A6A6A6" w:themeColor="background1" w:themeShade="A6"/>
              </w:rPr>
            </w:pPr>
            <w:r w:rsidRPr="002F2F00">
              <w:rPr>
                <w:rFonts w:hint="eastAsia"/>
                <w:color w:val="A6A6A6" w:themeColor="background1" w:themeShade="A6"/>
              </w:rPr>
              <w:t>Independence</w:t>
            </w:r>
          </w:p>
        </w:tc>
        <w:tc>
          <w:tcPr>
            <w:tcW w:w="4004" w:type="dxa"/>
            <w:gridSpan w:val="6"/>
          </w:tcPr>
          <w:p w:rsidR="005C79F8" w:rsidRPr="002F2F00" w:rsidRDefault="005C79F8" w:rsidP="005C79F8">
            <w:pPr>
              <w:rPr>
                <w:color w:val="A6A6A6" w:themeColor="background1" w:themeShade="A6"/>
              </w:rPr>
            </w:pPr>
            <w:r w:rsidRPr="002F2F00">
              <w:rPr>
                <w:rFonts w:hint="eastAsia"/>
                <w:color w:val="A6A6A6" w:themeColor="background1" w:themeShade="A6"/>
              </w:rPr>
              <w:t>Functional Independence Measure</w:t>
            </w:r>
            <w:r w:rsidRPr="002F2F00">
              <w:rPr>
                <w:color w:val="A6A6A6" w:themeColor="background1" w:themeShade="A6"/>
              </w:rPr>
              <w:t xml:space="preserve"> (FIM)</w:t>
            </w:r>
          </w:p>
        </w:tc>
        <w:tc>
          <w:tcPr>
            <w:tcW w:w="1745" w:type="dxa"/>
          </w:tcPr>
          <w:p w:rsidR="005C79F8" w:rsidRPr="002F2F00" w:rsidRDefault="005C79F8" w:rsidP="005C79F8">
            <w:pPr>
              <w:rPr>
                <w:color w:val="A6A6A6" w:themeColor="background1" w:themeShade="A6"/>
              </w:rPr>
            </w:pPr>
          </w:p>
        </w:tc>
        <w:tc>
          <w:tcPr>
            <w:tcW w:w="1443" w:type="dxa"/>
            <w:vMerge w:val="restart"/>
          </w:tcPr>
          <w:p w:rsidR="005C79F8" w:rsidRPr="002F2F00" w:rsidRDefault="005C79F8" w:rsidP="005C79F8">
            <w:pPr>
              <w:rPr>
                <w:color w:val="A6A6A6" w:themeColor="background1" w:themeShade="A6"/>
              </w:rPr>
            </w:pPr>
            <w:r w:rsidRPr="002F2F00">
              <w:rPr>
                <w:rFonts w:hint="eastAsia"/>
                <w:color w:val="A6A6A6" w:themeColor="background1" w:themeShade="A6"/>
              </w:rPr>
              <w:t>Edmonton Frail Scale (</w:t>
            </w:r>
            <w:r w:rsidRPr="002F2F00">
              <w:rPr>
                <w:color w:val="A6A6A6" w:themeColor="background1" w:themeShade="A6"/>
              </w:rPr>
              <w:t>EFS</w:t>
            </w:r>
            <w:r w:rsidRPr="002F2F00">
              <w:rPr>
                <w:rFonts w:hint="eastAsia"/>
                <w:color w:val="A6A6A6" w:themeColor="background1" w:themeShade="A6"/>
              </w:rPr>
              <w:t>)</w:t>
            </w:r>
          </w:p>
        </w:tc>
        <w:tc>
          <w:tcPr>
            <w:tcW w:w="1178" w:type="dxa"/>
            <w:vMerge w:val="restart"/>
          </w:tcPr>
          <w:p w:rsidR="005C79F8" w:rsidRPr="002F2F00" w:rsidRDefault="005C79F8" w:rsidP="005C79F8">
            <w:pPr>
              <w:rPr>
                <w:color w:val="A6A6A6" w:themeColor="background1" w:themeShade="A6"/>
              </w:rPr>
            </w:pPr>
            <w:r w:rsidRPr="002F2F00">
              <w:rPr>
                <w:rFonts w:hint="eastAsia"/>
                <w:color w:val="A6A6A6" w:themeColor="background1" w:themeShade="A6"/>
              </w:rPr>
              <w:t>137</w:t>
            </w:r>
          </w:p>
        </w:tc>
        <w:tc>
          <w:tcPr>
            <w:tcW w:w="2033" w:type="dxa"/>
            <w:vMerge w:val="restart"/>
          </w:tcPr>
          <w:p w:rsidR="005C79F8" w:rsidRPr="000C48DB" w:rsidRDefault="005C79F8" w:rsidP="005C79F8">
            <w:pPr>
              <w:rPr>
                <w:rFonts w:eastAsia="DengXian"/>
                <w:color w:val="A6A6A6" w:themeColor="background1" w:themeShade="A6"/>
                <w:lang w:eastAsia="zh-CN"/>
              </w:rPr>
            </w:pPr>
            <w:r>
              <w:rPr>
                <w:rFonts w:hint="eastAsia"/>
                <w:color w:val="A6A6A6" w:themeColor="background1" w:themeShade="A6"/>
              </w:rPr>
              <w:t>Elderly</w:t>
            </w:r>
            <w:r w:rsidR="000C48DB">
              <w:rPr>
                <w:color w:val="A6A6A6" w:themeColor="background1" w:themeShade="A6"/>
              </w:rPr>
              <w:t xml:space="preserve">, </w:t>
            </w:r>
            <w:r w:rsidR="000C48DB" w:rsidRPr="000C48DB">
              <w:rPr>
                <w:rFonts w:eastAsia="DengXian" w:cstheme="minorHAnsi"/>
                <w:color w:val="A6A6A6" w:themeColor="background1" w:themeShade="A6"/>
                <w:lang w:eastAsia="zh-CN"/>
              </w:rPr>
              <w:t>≥65y/o</w:t>
            </w:r>
          </w:p>
        </w:tc>
        <w:tc>
          <w:tcPr>
            <w:tcW w:w="1253" w:type="dxa"/>
            <w:vMerge w:val="restart"/>
          </w:tcPr>
          <w:p w:rsidR="005C79F8" w:rsidRPr="002F2F00" w:rsidRDefault="005C79F8" w:rsidP="005C79F8">
            <w:pPr>
              <w:rPr>
                <w:color w:val="A6A6A6" w:themeColor="background1" w:themeShade="A6"/>
              </w:rPr>
            </w:pPr>
            <w:r w:rsidRPr="002F2F00">
              <w:rPr>
                <w:color w:val="A6A6A6" w:themeColor="background1" w:themeShade="A6"/>
              </w:rPr>
              <w:fldChar w:fldCharType="begin" w:fldLock="1"/>
            </w:r>
            <w:r>
              <w:rPr>
                <w:color w:val="A6A6A6" w:themeColor="background1" w:themeShade="A6"/>
              </w:rPr>
              <w:instrText>ADDIN CSL_CITATION {"citationItems":[{"id":"ITEM-1","itemData":{"DOI":"10.1590/S0104-11692009000600018","ISBN":"0104-1169 (Print)\\r0104-1169","ISSN":"0104-1169","PMID":"20126949","abstract":"This study aimed to assess the cross-cultural adaptation of the Edmonton Frail Scale (EFS) and its validity in a Brazilian elderly sample. Translation and back-translation were performed, as well as discussion with professionals and elderly for conceptual equivalence, semantic validation and pre-test of the scale. The scale was applied to 137 elderly aged 65 years or older who lived in the community. In the know-groups validation of the frailty diagnosis between gender, age and cognitive deficit, elder elderly, female and with a cognitive deficit scored higher on the frailty diagnosis. A negative convergent correlation was found between the EFS and the Functional Independence Measure (FIM) (-0.53, p&lt; 0.01) and the total score of the Mini-Mental State Examination (MMSE) (-0.60, p&lt; 0.01). The watch test presented high sensitivity and low specificity levels. The Portuguese version of the EFS was considered valid in the study sample.","author":[{"dropping-particle":"","family":"Fabrício-Wehbe","given":"Suzele Cristina Coelho","non-dropping-particle":"","parse-names":false,"suffix":""},{"dropping-particle":"","family":"Schiaveto","given":"Fábio Veiga","non-dropping-particle":"","parse-names":false,"suffix":""},{"dropping-particle":"","family":"Vendrusculo","given":"Thaís Ramos Pereira","non-dropping-particle":"","parse-names":false,"suffix":""},{"dropping-particle":"","family":"Haas","given":"Vanderlei José","non-dropping-particle":"","parse-names":false,"suffix":""},{"dropping-particle":"","family":"Dantas","given":"Rosana Aparecida Spadoti","non-dropping-particle":"","parse-names":false,"suffix":""},{"dropping-particle":"","family":"Rodrigues","given":"Rosalina Aparecida Partezani","non-dropping-particle":"","parse-names":false,"suffix":""}],"container-title":"Revista Latino-Americana de Enfermagem","id":"ITEM-1","issue":"6","issued":{"date-parts":[["2009","12"]]},"page":"1043-1049","publisher":"Escola de Enfermagem de Ribeirão Preto / Universidade de São Paulo","title":"Cross-cultural adaptation and validity of the \"Edmonton Frail Scale - EFS\" in a Brazilian elderly sample","type":"article-journal","volume":"17"},"uris":["http://www.mendeley.com/documents/?uuid=afe727cf-f107-34cf-93e8-94b0588c33ff"]}],"mendeley":{"formattedCitation":"&lt;sup&gt;7&lt;/sup&gt;","plainTextFormattedCitation":"7","previouslyFormattedCitation":"&lt;sup&gt;7&lt;/sup&gt;"},"properties":{"noteIndex":0},"schema":"https://github.com/citation-style-language/schema/raw/master/csl-citation.json"}</w:instrText>
            </w:r>
            <w:r w:rsidRPr="002F2F00">
              <w:rPr>
                <w:color w:val="A6A6A6" w:themeColor="background1" w:themeShade="A6"/>
              </w:rPr>
              <w:fldChar w:fldCharType="separate"/>
            </w:r>
            <w:r w:rsidRPr="00577729">
              <w:rPr>
                <w:noProof/>
                <w:color w:val="A6A6A6" w:themeColor="background1" w:themeShade="A6"/>
                <w:vertAlign w:val="superscript"/>
              </w:rPr>
              <w:t>7</w:t>
            </w:r>
            <w:r w:rsidRPr="002F2F00">
              <w:rPr>
                <w:color w:val="A6A6A6" w:themeColor="background1" w:themeShade="A6"/>
              </w:rPr>
              <w:fldChar w:fldCharType="end"/>
            </w:r>
          </w:p>
        </w:tc>
      </w:tr>
      <w:tr w:rsidR="005C79F8" w:rsidTr="00AA5CAF">
        <w:tc>
          <w:tcPr>
            <w:tcW w:w="2292" w:type="dxa"/>
            <w:gridSpan w:val="3"/>
            <w:vMerge/>
          </w:tcPr>
          <w:p w:rsidR="005C79F8" w:rsidRPr="002F2F00" w:rsidRDefault="005C79F8" w:rsidP="005C79F8">
            <w:pPr>
              <w:rPr>
                <w:color w:val="A6A6A6" w:themeColor="background1" w:themeShade="A6"/>
              </w:rPr>
            </w:pPr>
          </w:p>
        </w:tc>
        <w:tc>
          <w:tcPr>
            <w:tcW w:w="1792" w:type="dxa"/>
            <w:gridSpan w:val="5"/>
            <w:vMerge w:val="restart"/>
          </w:tcPr>
          <w:p w:rsidR="005C79F8" w:rsidRPr="002F2F00" w:rsidRDefault="005C79F8" w:rsidP="005C79F8">
            <w:pPr>
              <w:rPr>
                <w:color w:val="A6A6A6" w:themeColor="background1" w:themeShade="A6"/>
              </w:rPr>
            </w:pPr>
            <w:r w:rsidRPr="002F2F00">
              <w:rPr>
                <w:rFonts w:hint="eastAsia"/>
                <w:color w:val="A6A6A6" w:themeColor="background1" w:themeShade="A6"/>
              </w:rPr>
              <w:t>Spearman</w:t>
            </w:r>
            <w:r w:rsidRPr="002F2F00">
              <w:rPr>
                <w:color w:val="A6A6A6" w:themeColor="background1" w:themeShade="A6"/>
              </w:rPr>
              <w:t>’s correlation coefficient</w:t>
            </w:r>
          </w:p>
        </w:tc>
        <w:tc>
          <w:tcPr>
            <w:tcW w:w="2212" w:type="dxa"/>
          </w:tcPr>
          <w:p w:rsidR="005C79F8" w:rsidRPr="002F2F00" w:rsidRDefault="005C79F8" w:rsidP="005C79F8">
            <w:pPr>
              <w:rPr>
                <w:color w:val="A6A6A6" w:themeColor="background1" w:themeShade="A6"/>
              </w:rPr>
            </w:pPr>
            <w:r w:rsidRPr="002F2F00">
              <w:rPr>
                <w:color w:val="A6A6A6" w:themeColor="background1" w:themeShade="A6"/>
              </w:rPr>
              <w:t>F</w:t>
            </w:r>
            <w:r w:rsidRPr="002F2F00">
              <w:rPr>
                <w:rFonts w:hint="eastAsia"/>
                <w:color w:val="A6A6A6" w:themeColor="background1" w:themeShade="A6"/>
              </w:rPr>
              <w:t xml:space="preserve">railty </w:t>
            </w:r>
            <w:r w:rsidRPr="002F2F00">
              <w:rPr>
                <w:color w:val="A6A6A6" w:themeColor="background1" w:themeShade="A6"/>
              </w:rPr>
              <w:t>diagnosis with global FIM</w:t>
            </w:r>
          </w:p>
        </w:tc>
        <w:tc>
          <w:tcPr>
            <w:tcW w:w="1745" w:type="dxa"/>
          </w:tcPr>
          <w:p w:rsidR="005C79F8" w:rsidRPr="002F2F00" w:rsidRDefault="005C79F8" w:rsidP="005C79F8">
            <w:pPr>
              <w:rPr>
                <w:color w:val="A6A6A6" w:themeColor="background1" w:themeShade="A6"/>
              </w:rPr>
            </w:pPr>
            <w:r w:rsidRPr="002F2F00">
              <w:rPr>
                <w:rFonts w:hint="eastAsia"/>
                <w:color w:val="A6A6A6" w:themeColor="background1" w:themeShade="A6"/>
              </w:rPr>
              <w:t>-0.703</w:t>
            </w:r>
            <w:r w:rsidR="005C1CC8">
              <w:rPr>
                <w:color w:val="A6A6A6" w:themeColor="background1" w:themeShade="A6"/>
              </w:rPr>
              <w:t xml:space="preserve"> (p&lt;0.001)</w:t>
            </w:r>
          </w:p>
        </w:tc>
        <w:tc>
          <w:tcPr>
            <w:tcW w:w="1443" w:type="dxa"/>
            <w:vMerge/>
          </w:tcPr>
          <w:p w:rsidR="005C79F8" w:rsidRPr="002F2F00" w:rsidRDefault="005C79F8" w:rsidP="005C79F8">
            <w:pPr>
              <w:rPr>
                <w:color w:val="A6A6A6" w:themeColor="background1" w:themeShade="A6"/>
              </w:rPr>
            </w:pPr>
          </w:p>
        </w:tc>
        <w:tc>
          <w:tcPr>
            <w:tcW w:w="1178" w:type="dxa"/>
            <w:vMerge/>
          </w:tcPr>
          <w:p w:rsidR="005C79F8" w:rsidRPr="002F2F00" w:rsidRDefault="005C79F8" w:rsidP="005C79F8">
            <w:pPr>
              <w:rPr>
                <w:color w:val="A6A6A6" w:themeColor="background1" w:themeShade="A6"/>
              </w:rPr>
            </w:pPr>
          </w:p>
        </w:tc>
        <w:tc>
          <w:tcPr>
            <w:tcW w:w="2033" w:type="dxa"/>
            <w:vMerge/>
          </w:tcPr>
          <w:p w:rsidR="005C79F8" w:rsidRPr="002F2F00" w:rsidRDefault="005C79F8" w:rsidP="005C79F8">
            <w:pPr>
              <w:rPr>
                <w:color w:val="A6A6A6" w:themeColor="background1" w:themeShade="A6"/>
              </w:rPr>
            </w:pPr>
          </w:p>
        </w:tc>
        <w:tc>
          <w:tcPr>
            <w:tcW w:w="1253" w:type="dxa"/>
            <w:vMerge/>
          </w:tcPr>
          <w:p w:rsidR="005C79F8" w:rsidRPr="002F2F00" w:rsidRDefault="005C79F8" w:rsidP="005C79F8">
            <w:pPr>
              <w:rPr>
                <w:color w:val="A6A6A6" w:themeColor="background1" w:themeShade="A6"/>
              </w:rPr>
            </w:pPr>
          </w:p>
        </w:tc>
      </w:tr>
      <w:tr w:rsidR="005C79F8" w:rsidTr="00AA5CAF">
        <w:tc>
          <w:tcPr>
            <w:tcW w:w="2292" w:type="dxa"/>
            <w:gridSpan w:val="3"/>
            <w:vMerge/>
          </w:tcPr>
          <w:p w:rsidR="005C79F8" w:rsidRPr="002F2F00" w:rsidRDefault="005C79F8" w:rsidP="005C79F8">
            <w:pPr>
              <w:rPr>
                <w:color w:val="A6A6A6" w:themeColor="background1" w:themeShade="A6"/>
              </w:rPr>
            </w:pPr>
          </w:p>
        </w:tc>
        <w:tc>
          <w:tcPr>
            <w:tcW w:w="1792" w:type="dxa"/>
            <w:gridSpan w:val="5"/>
            <w:vMerge/>
          </w:tcPr>
          <w:p w:rsidR="005C79F8" w:rsidRPr="002F2F00" w:rsidRDefault="005C79F8" w:rsidP="005C79F8">
            <w:pPr>
              <w:rPr>
                <w:color w:val="A6A6A6" w:themeColor="background1" w:themeShade="A6"/>
              </w:rPr>
            </w:pPr>
          </w:p>
        </w:tc>
        <w:tc>
          <w:tcPr>
            <w:tcW w:w="2212" w:type="dxa"/>
          </w:tcPr>
          <w:p w:rsidR="005C79F8" w:rsidRPr="002F2F00" w:rsidRDefault="005C79F8" w:rsidP="005C79F8">
            <w:pPr>
              <w:rPr>
                <w:color w:val="A6A6A6" w:themeColor="background1" w:themeShade="A6"/>
              </w:rPr>
            </w:pPr>
            <w:r w:rsidRPr="002F2F00">
              <w:rPr>
                <w:rFonts w:hint="eastAsia"/>
                <w:color w:val="A6A6A6" w:themeColor="background1" w:themeShade="A6"/>
              </w:rPr>
              <w:t>Frailty diagnosis with motor FIM</w:t>
            </w:r>
          </w:p>
        </w:tc>
        <w:tc>
          <w:tcPr>
            <w:tcW w:w="1745" w:type="dxa"/>
          </w:tcPr>
          <w:p w:rsidR="005C79F8" w:rsidRPr="002F2F00" w:rsidRDefault="005C79F8" w:rsidP="005C79F8">
            <w:pPr>
              <w:rPr>
                <w:color w:val="A6A6A6" w:themeColor="background1" w:themeShade="A6"/>
              </w:rPr>
            </w:pPr>
            <w:r w:rsidRPr="002F2F00">
              <w:rPr>
                <w:rFonts w:hint="eastAsia"/>
                <w:color w:val="A6A6A6" w:themeColor="background1" w:themeShade="A6"/>
              </w:rPr>
              <w:t>-0.714</w:t>
            </w:r>
            <w:r w:rsidR="005C1CC8">
              <w:rPr>
                <w:rFonts w:hint="eastAsia"/>
                <w:color w:val="A6A6A6" w:themeColor="background1" w:themeShade="A6"/>
              </w:rPr>
              <w:t xml:space="preserve"> (</w:t>
            </w:r>
            <w:r w:rsidR="005C1CC8">
              <w:rPr>
                <w:color w:val="A6A6A6" w:themeColor="background1" w:themeShade="A6"/>
              </w:rPr>
              <w:t>p&lt;0.001</w:t>
            </w:r>
            <w:r w:rsidR="005C1CC8">
              <w:rPr>
                <w:rFonts w:hint="eastAsia"/>
                <w:color w:val="A6A6A6" w:themeColor="background1" w:themeShade="A6"/>
              </w:rPr>
              <w:t>)</w:t>
            </w:r>
          </w:p>
        </w:tc>
        <w:tc>
          <w:tcPr>
            <w:tcW w:w="1443" w:type="dxa"/>
            <w:vMerge/>
          </w:tcPr>
          <w:p w:rsidR="005C79F8" w:rsidRPr="002F2F00" w:rsidRDefault="005C79F8" w:rsidP="005C79F8">
            <w:pPr>
              <w:rPr>
                <w:color w:val="A6A6A6" w:themeColor="background1" w:themeShade="A6"/>
              </w:rPr>
            </w:pPr>
          </w:p>
        </w:tc>
        <w:tc>
          <w:tcPr>
            <w:tcW w:w="1178" w:type="dxa"/>
            <w:vMerge/>
          </w:tcPr>
          <w:p w:rsidR="005C79F8" w:rsidRPr="002F2F00" w:rsidRDefault="005C79F8" w:rsidP="005C79F8">
            <w:pPr>
              <w:rPr>
                <w:color w:val="A6A6A6" w:themeColor="background1" w:themeShade="A6"/>
              </w:rPr>
            </w:pPr>
          </w:p>
        </w:tc>
        <w:tc>
          <w:tcPr>
            <w:tcW w:w="2033" w:type="dxa"/>
            <w:vMerge/>
          </w:tcPr>
          <w:p w:rsidR="005C79F8" w:rsidRPr="002F2F00" w:rsidRDefault="005C79F8" w:rsidP="005C79F8">
            <w:pPr>
              <w:rPr>
                <w:color w:val="A6A6A6" w:themeColor="background1" w:themeShade="A6"/>
              </w:rPr>
            </w:pPr>
          </w:p>
        </w:tc>
        <w:tc>
          <w:tcPr>
            <w:tcW w:w="1253" w:type="dxa"/>
            <w:vMerge/>
          </w:tcPr>
          <w:p w:rsidR="005C79F8" w:rsidRPr="002F2F00" w:rsidRDefault="005C79F8" w:rsidP="005C79F8">
            <w:pPr>
              <w:rPr>
                <w:color w:val="A6A6A6" w:themeColor="background1" w:themeShade="A6"/>
              </w:rPr>
            </w:pPr>
          </w:p>
        </w:tc>
      </w:tr>
      <w:tr w:rsidR="005C79F8" w:rsidTr="00AA5CAF">
        <w:tc>
          <w:tcPr>
            <w:tcW w:w="2292" w:type="dxa"/>
            <w:gridSpan w:val="3"/>
            <w:vMerge/>
          </w:tcPr>
          <w:p w:rsidR="005C79F8" w:rsidRPr="002F2F00" w:rsidRDefault="005C79F8" w:rsidP="005C79F8">
            <w:pPr>
              <w:rPr>
                <w:color w:val="A6A6A6" w:themeColor="background1" w:themeShade="A6"/>
              </w:rPr>
            </w:pPr>
          </w:p>
        </w:tc>
        <w:tc>
          <w:tcPr>
            <w:tcW w:w="1792" w:type="dxa"/>
            <w:gridSpan w:val="5"/>
            <w:vMerge/>
          </w:tcPr>
          <w:p w:rsidR="005C79F8" w:rsidRPr="002F2F00" w:rsidRDefault="005C79F8" w:rsidP="005C79F8">
            <w:pPr>
              <w:rPr>
                <w:color w:val="A6A6A6" w:themeColor="background1" w:themeShade="A6"/>
              </w:rPr>
            </w:pPr>
          </w:p>
        </w:tc>
        <w:tc>
          <w:tcPr>
            <w:tcW w:w="2212" w:type="dxa"/>
          </w:tcPr>
          <w:p w:rsidR="005C79F8" w:rsidRPr="002F2F00" w:rsidRDefault="005C79F8" w:rsidP="005C79F8">
            <w:pPr>
              <w:rPr>
                <w:color w:val="A6A6A6" w:themeColor="background1" w:themeShade="A6"/>
              </w:rPr>
            </w:pPr>
            <w:r w:rsidRPr="002F2F00">
              <w:rPr>
                <w:rFonts w:hint="eastAsia"/>
                <w:color w:val="A6A6A6" w:themeColor="background1" w:themeShade="A6"/>
              </w:rPr>
              <w:t xml:space="preserve">Frailty diagnosis with </w:t>
            </w:r>
            <w:r w:rsidRPr="002F2F00">
              <w:rPr>
                <w:color w:val="A6A6A6" w:themeColor="background1" w:themeShade="A6"/>
              </w:rPr>
              <w:t>cognitive FIM</w:t>
            </w:r>
          </w:p>
        </w:tc>
        <w:tc>
          <w:tcPr>
            <w:tcW w:w="1745" w:type="dxa"/>
          </w:tcPr>
          <w:p w:rsidR="005C79F8" w:rsidRPr="002F2F00" w:rsidRDefault="005C79F8" w:rsidP="005C79F8">
            <w:pPr>
              <w:rPr>
                <w:color w:val="A6A6A6" w:themeColor="background1" w:themeShade="A6"/>
              </w:rPr>
            </w:pPr>
            <w:r w:rsidRPr="002F2F00">
              <w:rPr>
                <w:rFonts w:hint="eastAsia"/>
                <w:color w:val="A6A6A6" w:themeColor="background1" w:themeShade="A6"/>
              </w:rPr>
              <w:t>-</w:t>
            </w:r>
            <w:r w:rsidRPr="002F2F00">
              <w:rPr>
                <w:color w:val="A6A6A6" w:themeColor="background1" w:themeShade="A6"/>
              </w:rPr>
              <w:t>0.575</w:t>
            </w:r>
            <w:r w:rsidR="005C1CC8">
              <w:rPr>
                <w:color w:val="A6A6A6" w:themeColor="background1" w:themeShade="A6"/>
              </w:rPr>
              <w:t xml:space="preserve"> (p&lt;0.001)</w:t>
            </w:r>
          </w:p>
        </w:tc>
        <w:tc>
          <w:tcPr>
            <w:tcW w:w="1443" w:type="dxa"/>
            <w:vMerge/>
          </w:tcPr>
          <w:p w:rsidR="005C79F8" w:rsidRPr="002F2F00" w:rsidRDefault="005C79F8" w:rsidP="005C79F8">
            <w:pPr>
              <w:rPr>
                <w:color w:val="A6A6A6" w:themeColor="background1" w:themeShade="A6"/>
              </w:rPr>
            </w:pPr>
          </w:p>
        </w:tc>
        <w:tc>
          <w:tcPr>
            <w:tcW w:w="1178" w:type="dxa"/>
            <w:vMerge/>
          </w:tcPr>
          <w:p w:rsidR="005C79F8" w:rsidRPr="002F2F00" w:rsidRDefault="005C79F8" w:rsidP="005C79F8">
            <w:pPr>
              <w:rPr>
                <w:color w:val="A6A6A6" w:themeColor="background1" w:themeShade="A6"/>
              </w:rPr>
            </w:pPr>
          </w:p>
        </w:tc>
        <w:tc>
          <w:tcPr>
            <w:tcW w:w="2033" w:type="dxa"/>
            <w:vMerge/>
          </w:tcPr>
          <w:p w:rsidR="005C79F8" w:rsidRPr="002F2F00" w:rsidRDefault="005C79F8" w:rsidP="005C79F8">
            <w:pPr>
              <w:rPr>
                <w:color w:val="A6A6A6" w:themeColor="background1" w:themeShade="A6"/>
              </w:rPr>
            </w:pPr>
          </w:p>
        </w:tc>
        <w:tc>
          <w:tcPr>
            <w:tcW w:w="1253" w:type="dxa"/>
            <w:vMerge/>
          </w:tcPr>
          <w:p w:rsidR="005C79F8" w:rsidRPr="002F2F00" w:rsidRDefault="005C79F8" w:rsidP="005C79F8">
            <w:pPr>
              <w:rPr>
                <w:color w:val="A6A6A6" w:themeColor="background1" w:themeShade="A6"/>
              </w:rPr>
            </w:pPr>
          </w:p>
        </w:tc>
      </w:tr>
      <w:tr w:rsidR="005C79F8" w:rsidTr="00AA5CAF">
        <w:tc>
          <w:tcPr>
            <w:tcW w:w="2292" w:type="dxa"/>
            <w:gridSpan w:val="3"/>
            <w:vMerge/>
          </w:tcPr>
          <w:p w:rsidR="005C79F8" w:rsidRPr="002F2F00" w:rsidRDefault="005C79F8" w:rsidP="005C79F8">
            <w:pPr>
              <w:rPr>
                <w:color w:val="A6A6A6" w:themeColor="background1" w:themeShade="A6"/>
              </w:rPr>
            </w:pPr>
          </w:p>
        </w:tc>
        <w:tc>
          <w:tcPr>
            <w:tcW w:w="1792" w:type="dxa"/>
            <w:gridSpan w:val="5"/>
            <w:vMerge/>
          </w:tcPr>
          <w:p w:rsidR="005C79F8" w:rsidRPr="002F2F00" w:rsidRDefault="005C79F8" w:rsidP="005C79F8">
            <w:pPr>
              <w:rPr>
                <w:color w:val="A6A6A6" w:themeColor="background1" w:themeShade="A6"/>
              </w:rPr>
            </w:pPr>
          </w:p>
        </w:tc>
        <w:tc>
          <w:tcPr>
            <w:tcW w:w="2212" w:type="dxa"/>
          </w:tcPr>
          <w:p w:rsidR="005C79F8" w:rsidRPr="002F2F00" w:rsidRDefault="005C79F8" w:rsidP="005C79F8">
            <w:pPr>
              <w:rPr>
                <w:color w:val="A6A6A6" w:themeColor="background1" w:themeShade="A6"/>
              </w:rPr>
            </w:pPr>
            <w:r w:rsidRPr="002F2F00">
              <w:rPr>
                <w:rFonts w:hint="eastAsia"/>
                <w:color w:val="A6A6A6" w:themeColor="background1" w:themeShade="A6"/>
              </w:rPr>
              <w:t>EFS</w:t>
            </w:r>
            <w:r w:rsidRPr="002F2F00">
              <w:rPr>
                <w:color w:val="A6A6A6" w:themeColor="background1" w:themeShade="A6"/>
              </w:rPr>
              <w:t xml:space="preserve"> scores with gross FIM</w:t>
            </w:r>
          </w:p>
        </w:tc>
        <w:tc>
          <w:tcPr>
            <w:tcW w:w="1745" w:type="dxa"/>
          </w:tcPr>
          <w:p w:rsidR="005C79F8" w:rsidRPr="002F2F00" w:rsidRDefault="005C79F8" w:rsidP="005C79F8">
            <w:pPr>
              <w:rPr>
                <w:color w:val="A6A6A6" w:themeColor="background1" w:themeShade="A6"/>
              </w:rPr>
            </w:pPr>
            <w:r w:rsidRPr="002F2F00">
              <w:rPr>
                <w:rFonts w:hint="eastAsia"/>
                <w:color w:val="A6A6A6" w:themeColor="background1" w:themeShade="A6"/>
              </w:rPr>
              <w:t>-0.53</w:t>
            </w:r>
            <w:r w:rsidR="005C1CC8">
              <w:rPr>
                <w:color w:val="A6A6A6" w:themeColor="background1" w:themeShade="A6"/>
              </w:rPr>
              <w:t xml:space="preserve"> (p&lt;0.01)</w:t>
            </w:r>
          </w:p>
        </w:tc>
        <w:tc>
          <w:tcPr>
            <w:tcW w:w="1443" w:type="dxa"/>
            <w:vMerge/>
          </w:tcPr>
          <w:p w:rsidR="005C79F8" w:rsidRPr="002F2F00" w:rsidRDefault="005C79F8" w:rsidP="005C79F8">
            <w:pPr>
              <w:rPr>
                <w:color w:val="A6A6A6" w:themeColor="background1" w:themeShade="A6"/>
              </w:rPr>
            </w:pPr>
          </w:p>
        </w:tc>
        <w:tc>
          <w:tcPr>
            <w:tcW w:w="1178" w:type="dxa"/>
            <w:vMerge/>
          </w:tcPr>
          <w:p w:rsidR="005C79F8" w:rsidRPr="002F2F00" w:rsidRDefault="005C79F8" w:rsidP="005C79F8">
            <w:pPr>
              <w:rPr>
                <w:color w:val="A6A6A6" w:themeColor="background1" w:themeShade="A6"/>
              </w:rPr>
            </w:pPr>
          </w:p>
        </w:tc>
        <w:tc>
          <w:tcPr>
            <w:tcW w:w="2033" w:type="dxa"/>
            <w:vMerge/>
          </w:tcPr>
          <w:p w:rsidR="005C79F8" w:rsidRPr="002F2F00" w:rsidRDefault="005C79F8" w:rsidP="005C79F8">
            <w:pPr>
              <w:rPr>
                <w:color w:val="A6A6A6" w:themeColor="background1" w:themeShade="A6"/>
              </w:rPr>
            </w:pPr>
          </w:p>
        </w:tc>
        <w:tc>
          <w:tcPr>
            <w:tcW w:w="1253" w:type="dxa"/>
            <w:vMerge/>
          </w:tcPr>
          <w:p w:rsidR="005C79F8" w:rsidRPr="002F2F00" w:rsidRDefault="005C79F8" w:rsidP="005C79F8">
            <w:pPr>
              <w:rPr>
                <w:color w:val="A6A6A6" w:themeColor="background1" w:themeShade="A6"/>
              </w:rPr>
            </w:pPr>
          </w:p>
        </w:tc>
      </w:tr>
      <w:tr w:rsidR="005C79F8" w:rsidTr="00AA5CAF">
        <w:trPr>
          <w:trHeight w:val="399"/>
        </w:trPr>
        <w:tc>
          <w:tcPr>
            <w:tcW w:w="2292" w:type="dxa"/>
            <w:gridSpan w:val="3"/>
            <w:vMerge w:val="restart"/>
          </w:tcPr>
          <w:p w:rsidR="005C79F8" w:rsidRPr="004A32A1" w:rsidRDefault="005C79F8" w:rsidP="005C79F8">
            <w:r w:rsidRPr="004A32A1">
              <w:rPr>
                <w:rFonts w:hint="eastAsia"/>
              </w:rPr>
              <w:t>Health-care u</w:t>
            </w:r>
            <w:r w:rsidRPr="004A32A1">
              <w:t>tilization</w:t>
            </w:r>
          </w:p>
        </w:tc>
        <w:tc>
          <w:tcPr>
            <w:tcW w:w="4004" w:type="dxa"/>
            <w:gridSpan w:val="6"/>
          </w:tcPr>
          <w:p w:rsidR="005C79F8" w:rsidRPr="004A32A1" w:rsidRDefault="005C79F8" w:rsidP="005C79F8">
            <w:r>
              <w:rPr>
                <w:rFonts w:hint="eastAsia"/>
              </w:rPr>
              <w:t>Hospitalization</w:t>
            </w:r>
          </w:p>
        </w:tc>
        <w:tc>
          <w:tcPr>
            <w:tcW w:w="1745" w:type="dxa"/>
          </w:tcPr>
          <w:p w:rsidR="005C79F8" w:rsidRDefault="005C79F8" w:rsidP="005C79F8"/>
        </w:tc>
        <w:tc>
          <w:tcPr>
            <w:tcW w:w="1443" w:type="dxa"/>
          </w:tcPr>
          <w:p w:rsidR="005C79F8" w:rsidRDefault="005C79F8" w:rsidP="005C79F8"/>
        </w:tc>
        <w:tc>
          <w:tcPr>
            <w:tcW w:w="1178" w:type="dxa"/>
          </w:tcPr>
          <w:p w:rsidR="005C79F8" w:rsidRDefault="005C79F8" w:rsidP="005C79F8"/>
        </w:tc>
        <w:tc>
          <w:tcPr>
            <w:tcW w:w="2033" w:type="dxa"/>
          </w:tcPr>
          <w:p w:rsidR="005C79F8" w:rsidRDefault="005C79F8" w:rsidP="005C79F8"/>
        </w:tc>
        <w:tc>
          <w:tcPr>
            <w:tcW w:w="1253" w:type="dxa"/>
          </w:tcPr>
          <w:p w:rsidR="005C79F8" w:rsidRDefault="005C79F8" w:rsidP="005C79F8"/>
        </w:tc>
      </w:tr>
      <w:tr w:rsidR="005C79F8" w:rsidTr="00AA5CAF">
        <w:trPr>
          <w:trHeight w:val="60"/>
        </w:trPr>
        <w:tc>
          <w:tcPr>
            <w:tcW w:w="2292" w:type="dxa"/>
            <w:gridSpan w:val="3"/>
            <w:vMerge/>
          </w:tcPr>
          <w:p w:rsidR="005C79F8" w:rsidRPr="004A32A1" w:rsidRDefault="005C79F8" w:rsidP="005C79F8"/>
        </w:tc>
        <w:tc>
          <w:tcPr>
            <w:tcW w:w="244" w:type="dxa"/>
          </w:tcPr>
          <w:p w:rsidR="005C79F8" w:rsidRDefault="005C79F8" w:rsidP="005C79F8"/>
        </w:tc>
        <w:tc>
          <w:tcPr>
            <w:tcW w:w="3760" w:type="dxa"/>
            <w:gridSpan w:val="5"/>
          </w:tcPr>
          <w:p w:rsidR="005C79F8" w:rsidRDefault="005C79F8" w:rsidP="005C79F8">
            <w:r>
              <w:rPr>
                <w:rFonts w:hint="eastAsia"/>
              </w:rPr>
              <w:t>C</w:t>
            </w:r>
            <w:r w:rsidRPr="005212BE">
              <w:t>umulative number of inpatient</w:t>
            </w:r>
            <w:r>
              <w:t xml:space="preserve"> health-care visits</w:t>
            </w:r>
          </w:p>
        </w:tc>
        <w:tc>
          <w:tcPr>
            <w:tcW w:w="1745" w:type="dxa"/>
            <w:vMerge w:val="restart"/>
          </w:tcPr>
          <w:p w:rsidR="005C79F8" w:rsidRPr="004A32A1" w:rsidRDefault="005C79F8" w:rsidP="005C79F8">
            <w:r>
              <w:rPr>
                <w:rFonts w:hint="eastAsia"/>
              </w:rPr>
              <w:t>↑</w:t>
            </w:r>
          </w:p>
        </w:tc>
        <w:tc>
          <w:tcPr>
            <w:tcW w:w="1443" w:type="dxa"/>
            <w:vMerge w:val="restart"/>
          </w:tcPr>
          <w:p w:rsidR="005C79F8" w:rsidRDefault="005C79F8" w:rsidP="005C79F8">
            <w:r>
              <w:rPr>
                <w:rFonts w:hint="eastAsia"/>
              </w:rPr>
              <w:t>Edmonton Frail Scale (</w:t>
            </w:r>
            <w:r>
              <w:t>EFS</w:t>
            </w:r>
            <w:r>
              <w:rPr>
                <w:rFonts w:hint="eastAsia"/>
              </w:rPr>
              <w:t>)</w:t>
            </w:r>
          </w:p>
        </w:tc>
        <w:tc>
          <w:tcPr>
            <w:tcW w:w="1178" w:type="dxa"/>
            <w:vMerge w:val="restart"/>
          </w:tcPr>
          <w:p w:rsidR="005C79F8" w:rsidRDefault="005C79F8" w:rsidP="005C79F8">
            <w:r>
              <w:rPr>
                <w:rFonts w:hint="eastAsia"/>
              </w:rPr>
              <w:t>41</w:t>
            </w:r>
          </w:p>
        </w:tc>
        <w:tc>
          <w:tcPr>
            <w:tcW w:w="2033" w:type="dxa"/>
            <w:vMerge w:val="restart"/>
          </w:tcPr>
          <w:p w:rsidR="005C79F8" w:rsidRDefault="005C79F8" w:rsidP="005C79F8">
            <w:r>
              <w:rPr>
                <w:rFonts w:hint="eastAsia"/>
              </w:rPr>
              <w:t xml:space="preserve">CKD stage </w:t>
            </w:r>
            <w:r>
              <w:t>1-5</w:t>
            </w:r>
          </w:p>
        </w:tc>
        <w:tc>
          <w:tcPr>
            <w:tcW w:w="1253" w:type="dxa"/>
            <w:vMerge w:val="restart"/>
          </w:tcPr>
          <w:p w:rsidR="005C79F8" w:rsidRPr="004A32A1" w:rsidRDefault="005C79F8" w:rsidP="005C79F8">
            <w:r>
              <w:fldChar w:fldCharType="begin" w:fldLock="1"/>
            </w:r>
            <w:r>
              <w:instrText>ADDIN CSL_CITATION {"citationItems":[{"id":"ITEM-1","itemData":{"DOI":"10.1016/j.jcjd.2018.06.001","ISBN":"1499-2671","ISSN":"23523840","PMID":"30139571","abstract":"Objectives: Frailty can cause increased vulnerability to adverse health outcomes, such as falls, fractures, depression and reduced health-related quality of life (HRQoL). This cross-sectional study compared the differences in body composition, HRQoL, mental health and cognitive and vitamin D (vitD) status with health-care utilization by frail and nonfrail adults with diabetes mellitus (type 1 and type 2) and with chronic kidney disease (stages 1 through 5). Methods: We studied adults with type 1 and type 2 diabetes and chronic kidney disease stages 1 through 5 who were participating in a longitudinal follow-up study (41 to 83 years of age; n=41). Body composition (dual-energy x-ray absorptiometry); vitD status (serum 25[OH]D3); frailty (Edmonton Frail Scale); depression (Major Depression Inventory); HRQoL (Short Form Health Survey-36); and cognitive status (Mini Mental State exam) were measured using validated tools. Participants who were on dialysis and had body weights &gt;136 kg, and coinciding comorbidities known to influence vitD metabolism were excluded. Results: Frailty occurred in 17% of participants (n=7). Frail participants had lower lean body mass, lower HRQoL scores (individual and composite scores), more depression (p=&lt;0.05) and higher numbers of health visits (total, inpatient and emergency) compared with nonfrail participants (p&lt;0.05). No differences in health-care visit types or vitD status were noted between frail and nonfrail participants (p&gt;0.05). Conclusions: Frailty in an ambulatory population of adults with chronic kidney disease and diabetes is associated with low lean body mass, low HRQoL, greater depression and higher numbers of health-care visits.","author":[{"dropping-particle":"","family":"Adame Perez","given":"Stephany I.","non-dropping-particle":"","parse-names":false,"suffix":""},{"dropping-particle":"","family":"Senior","given":"Peter A.","non-dropping-particle":"","parse-names":false,"suffix":""},{"dropping-particle":"","family":"Field","given":"Catherine J.","non-dropping-particle":"","parse-names":false,"suffix":""},{"dropping-particle":"","family":"Jindal","given":"Kailash","non-dropping-particle":"","parse-names":false,"suffix":""},{"dropping-particle":"","family":"Mager","given":"Diana R.","non-dropping-particle":"","parse-names":false,"suffix":""}],"container-title":"Canadian Journal of Diabetes","id":"ITEM-1","issued":{"date-parts":[["2018","6","20"]]},"note":"Frail participants had lower lean body mass, lower HRQoL scores (individual and composite scores), more depression (p=&amp;lt;0.05) and higher numbers of health visits (total, inpatient and emergency) compared with nonfrail participants (p&amp;lt;0.05). No differences in health-care visit types or vitD status were noted between frail and nonfrail participants (p&amp;gt;0.05).","title":"Frailty, Health-Related Quality of Life, Cognition, Depression, Vitamin D and Health-Care Utilization in an Ambulatory Adult Population with Type 1 or Type 2 Diabetes Mellitus and Chronic Kidney Disease: A Cross-Sectional Analysis","type":"article-journal"},"uris":["http://www.mendeley.com/documents/?uuid=d6684d40-be16-3291-b240-735a2850a9d9"]}],"mendeley":{"formattedCitation":"&lt;sup&gt;11&lt;/sup&gt;","plainTextFormattedCitation":"11","previouslyFormattedCitation":"&lt;sup&gt;12&lt;/sup&gt;"},"properties":{"noteIndex":0},"schema":"https://github.com/citation-style-language/schema/raw/master/csl-citation.json"}</w:instrText>
            </w:r>
            <w:r>
              <w:fldChar w:fldCharType="separate"/>
            </w:r>
            <w:r w:rsidRPr="00596FF4">
              <w:rPr>
                <w:noProof/>
                <w:vertAlign w:val="superscript"/>
              </w:rPr>
              <w:t>11</w:t>
            </w:r>
            <w:r>
              <w:fldChar w:fldCharType="end"/>
            </w:r>
          </w:p>
        </w:tc>
      </w:tr>
      <w:tr w:rsidR="005C79F8" w:rsidTr="00AA5CAF">
        <w:trPr>
          <w:trHeight w:val="60"/>
        </w:trPr>
        <w:tc>
          <w:tcPr>
            <w:tcW w:w="2292" w:type="dxa"/>
            <w:gridSpan w:val="3"/>
            <w:vMerge/>
          </w:tcPr>
          <w:p w:rsidR="005C79F8" w:rsidRPr="004A32A1" w:rsidRDefault="005C79F8" w:rsidP="005C79F8"/>
        </w:tc>
        <w:tc>
          <w:tcPr>
            <w:tcW w:w="244" w:type="dxa"/>
          </w:tcPr>
          <w:p w:rsidR="005C79F8" w:rsidRDefault="005C79F8" w:rsidP="005C79F8"/>
        </w:tc>
        <w:tc>
          <w:tcPr>
            <w:tcW w:w="3760" w:type="dxa"/>
            <w:gridSpan w:val="5"/>
          </w:tcPr>
          <w:p w:rsidR="005C79F8" w:rsidRPr="005212BE" w:rsidRDefault="005C79F8" w:rsidP="005C79F8">
            <w:r>
              <w:rPr>
                <w:rFonts w:hint="eastAsia"/>
              </w:rPr>
              <w:t>C</w:t>
            </w:r>
            <w:r w:rsidRPr="005212BE">
              <w:t>umulative number of emergency health-care visits</w:t>
            </w:r>
          </w:p>
        </w:tc>
        <w:tc>
          <w:tcPr>
            <w:tcW w:w="1745" w:type="dxa"/>
            <w:vMerge/>
          </w:tcPr>
          <w:p w:rsidR="005C79F8" w:rsidRPr="004A32A1" w:rsidRDefault="005C79F8" w:rsidP="005C79F8"/>
        </w:tc>
        <w:tc>
          <w:tcPr>
            <w:tcW w:w="1443" w:type="dxa"/>
            <w:vMerge/>
          </w:tcPr>
          <w:p w:rsidR="005C79F8" w:rsidRDefault="005C79F8" w:rsidP="005C79F8"/>
        </w:tc>
        <w:tc>
          <w:tcPr>
            <w:tcW w:w="1178" w:type="dxa"/>
            <w:vMerge/>
          </w:tcPr>
          <w:p w:rsidR="005C79F8" w:rsidRDefault="005C79F8" w:rsidP="005C79F8"/>
        </w:tc>
        <w:tc>
          <w:tcPr>
            <w:tcW w:w="2033" w:type="dxa"/>
            <w:vMerge/>
          </w:tcPr>
          <w:p w:rsidR="005C79F8" w:rsidRDefault="005C79F8" w:rsidP="005C79F8"/>
        </w:tc>
        <w:tc>
          <w:tcPr>
            <w:tcW w:w="1253" w:type="dxa"/>
            <w:vMerge/>
          </w:tcPr>
          <w:p w:rsidR="005C79F8" w:rsidRDefault="005C79F8" w:rsidP="005C79F8"/>
        </w:tc>
      </w:tr>
      <w:tr w:rsidR="005C79F8" w:rsidTr="00AA5CAF">
        <w:trPr>
          <w:trHeight w:val="60"/>
        </w:trPr>
        <w:tc>
          <w:tcPr>
            <w:tcW w:w="2292" w:type="dxa"/>
            <w:gridSpan w:val="3"/>
            <w:vMerge/>
          </w:tcPr>
          <w:p w:rsidR="005C79F8" w:rsidRPr="004A32A1" w:rsidRDefault="005C79F8" w:rsidP="005C79F8"/>
        </w:tc>
        <w:tc>
          <w:tcPr>
            <w:tcW w:w="244" w:type="dxa"/>
          </w:tcPr>
          <w:p w:rsidR="005C79F8" w:rsidRDefault="005C79F8" w:rsidP="005C79F8"/>
        </w:tc>
        <w:tc>
          <w:tcPr>
            <w:tcW w:w="3760" w:type="dxa"/>
            <w:gridSpan w:val="5"/>
          </w:tcPr>
          <w:p w:rsidR="005C79F8" w:rsidRPr="005212BE" w:rsidRDefault="005C79F8" w:rsidP="005C79F8">
            <w:r>
              <w:rPr>
                <w:rFonts w:hint="eastAsia"/>
              </w:rPr>
              <w:t>C</w:t>
            </w:r>
            <w:r w:rsidRPr="005212BE">
              <w:t>umulative number of</w:t>
            </w:r>
            <w:r>
              <w:t xml:space="preserve"> total health-care visits</w:t>
            </w:r>
          </w:p>
        </w:tc>
        <w:tc>
          <w:tcPr>
            <w:tcW w:w="1745" w:type="dxa"/>
            <w:vMerge/>
          </w:tcPr>
          <w:p w:rsidR="005C79F8" w:rsidRPr="004A32A1" w:rsidRDefault="005C79F8" w:rsidP="005C79F8"/>
        </w:tc>
        <w:tc>
          <w:tcPr>
            <w:tcW w:w="1443" w:type="dxa"/>
            <w:vMerge/>
          </w:tcPr>
          <w:p w:rsidR="005C79F8" w:rsidRDefault="005C79F8" w:rsidP="005C79F8"/>
        </w:tc>
        <w:tc>
          <w:tcPr>
            <w:tcW w:w="1178" w:type="dxa"/>
            <w:vMerge/>
          </w:tcPr>
          <w:p w:rsidR="005C79F8" w:rsidRDefault="005C79F8" w:rsidP="005C79F8"/>
        </w:tc>
        <w:tc>
          <w:tcPr>
            <w:tcW w:w="2033" w:type="dxa"/>
            <w:vMerge/>
          </w:tcPr>
          <w:p w:rsidR="005C79F8" w:rsidRDefault="005C79F8" w:rsidP="005C79F8"/>
        </w:tc>
        <w:tc>
          <w:tcPr>
            <w:tcW w:w="1253" w:type="dxa"/>
            <w:vMerge/>
          </w:tcPr>
          <w:p w:rsidR="005C79F8" w:rsidRDefault="005C79F8" w:rsidP="005C79F8"/>
        </w:tc>
      </w:tr>
      <w:tr w:rsidR="005C79F8" w:rsidTr="00AA5CAF">
        <w:trPr>
          <w:trHeight w:val="60"/>
        </w:trPr>
        <w:tc>
          <w:tcPr>
            <w:tcW w:w="2292" w:type="dxa"/>
            <w:gridSpan w:val="3"/>
            <w:vMerge/>
          </w:tcPr>
          <w:p w:rsidR="005C79F8" w:rsidRPr="004A32A1" w:rsidRDefault="005C79F8" w:rsidP="005C79F8"/>
        </w:tc>
        <w:tc>
          <w:tcPr>
            <w:tcW w:w="244" w:type="dxa"/>
          </w:tcPr>
          <w:p w:rsidR="005C79F8" w:rsidRDefault="005C79F8" w:rsidP="005C79F8"/>
        </w:tc>
        <w:tc>
          <w:tcPr>
            <w:tcW w:w="3760" w:type="dxa"/>
            <w:gridSpan w:val="5"/>
          </w:tcPr>
          <w:p w:rsidR="005C79F8" w:rsidRDefault="005C79F8" w:rsidP="005C79F8">
            <w:r>
              <w:rPr>
                <w:rFonts w:hint="eastAsia"/>
              </w:rPr>
              <w:t>&gt;3</w:t>
            </w:r>
            <w:r>
              <w:t xml:space="preserve"> times (n=141)</w:t>
            </w:r>
          </w:p>
        </w:tc>
        <w:tc>
          <w:tcPr>
            <w:tcW w:w="1745" w:type="dxa"/>
          </w:tcPr>
          <w:p w:rsidR="005C79F8" w:rsidRPr="004A32A1" w:rsidRDefault="005C79F8" w:rsidP="005C79F8">
            <w:r>
              <w:t>127 vs. 14</w:t>
            </w:r>
          </w:p>
        </w:tc>
        <w:tc>
          <w:tcPr>
            <w:tcW w:w="1443" w:type="dxa"/>
            <w:vMerge w:val="restart"/>
          </w:tcPr>
          <w:p w:rsidR="005C79F8" w:rsidRDefault="005C79F8" w:rsidP="005C79F8">
            <w:r>
              <w:rPr>
                <w:rFonts w:hint="eastAsia"/>
              </w:rPr>
              <w:t>Fried Frailty Phenotypes</w:t>
            </w:r>
          </w:p>
        </w:tc>
        <w:tc>
          <w:tcPr>
            <w:tcW w:w="1178" w:type="dxa"/>
            <w:vMerge w:val="restart"/>
          </w:tcPr>
          <w:p w:rsidR="005C79F8" w:rsidRDefault="005C79F8" w:rsidP="005C79F8">
            <w:r>
              <w:rPr>
                <w:rFonts w:hint="eastAsia"/>
              </w:rPr>
              <w:t>205</w:t>
            </w:r>
          </w:p>
        </w:tc>
        <w:tc>
          <w:tcPr>
            <w:tcW w:w="2033" w:type="dxa"/>
            <w:vMerge w:val="restart"/>
          </w:tcPr>
          <w:p w:rsidR="005C79F8" w:rsidRDefault="005C79F8" w:rsidP="005C79F8">
            <w:r>
              <w:t>CKD stage 5D (hemodialysis)</w:t>
            </w:r>
          </w:p>
        </w:tc>
        <w:tc>
          <w:tcPr>
            <w:tcW w:w="1253" w:type="dxa"/>
            <w:vMerge w:val="restart"/>
          </w:tcPr>
          <w:p w:rsidR="005C79F8" w:rsidRDefault="005C79F8" w:rsidP="005C79F8">
            <w:r>
              <w:fldChar w:fldCharType="begin" w:fldLock="1"/>
            </w:r>
            <w: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w:instrText>
            </w:r>
            <w:r>
              <w:rPr>
                <w:rFonts w:hint="eastAsia"/>
              </w:rPr>
              <w:instrText>suffix":""}],"container-title":"Saudi Journal of Kidney Diseases and Transplantation","id":"ITEM-1","issued":{"date-parts":[["2017"]]},"note":"</w:instrText>
            </w:r>
            <w:r>
              <w:rPr>
                <w:rFonts w:hint="eastAsia"/>
              </w:rPr>
              <w:instrText>很多因子都是</w:instrText>
            </w:r>
            <w:r>
              <w:rPr>
                <w:rFonts w:hint="eastAsia"/>
              </w:rPr>
              <w:instrText>causes/predictors of frailty</w:instrText>
            </w:r>
            <w:r>
              <w:rPr>
                <w:rFonts w:hint="eastAsia"/>
              </w:rPr>
              <w:instrText>，提到的因</w:instrText>
            </w:r>
            <w:r>
              <w:rPr>
                <w:rFonts w:hint="eastAsia"/>
              </w:rPr>
              <w:instrText>frailty</w:instrText>
            </w:r>
            <w:r>
              <w:rPr>
                <w:rFonts w:hint="eastAsia"/>
              </w:rPr>
              <w:instrText>而生的</w:instrText>
            </w:r>
            <w:r>
              <w:rPr>
                <w:rFonts w:hint="eastAsia"/>
              </w:rPr>
              <w:instrText>adverse health outcomes</w:instrText>
            </w:r>
            <w:r>
              <w:rPr>
                <w:rFonts w:hint="eastAsia"/>
              </w:rPr>
              <w:instrText>只有</w:instrText>
            </w:r>
            <w:r>
              <w:rPr>
                <w:rFonts w:hint="eastAsia"/>
              </w:rPr>
              <w:instrText>hospitalizations</w:instrText>
            </w:r>
            <w:r>
              <w:rPr>
                <w:rFonts w:hint="eastAsia"/>
              </w:rPr>
              <w:instrText>跟</w:instrText>
            </w:r>
            <w:r>
              <w:rPr>
                <w:rFonts w:hint="eastAsia"/>
              </w:rPr>
              <w:instrText>falls</w:instrText>
            </w:r>
            <w:r>
              <w:rPr>
                <w:rFonts w:hint="eastAsia"/>
              </w:rPr>
              <w:instrText>。</w:instrText>
            </w:r>
            <w:r>
              <w:rPr>
                <w:rFonts w:hint="eastAsia"/>
              </w:rPr>
              <w:instrText>","title":"A st</w:instrText>
            </w:r>
            <w:r>
              <w:instrText>udy of clinical assessment of frailty in patients on maintenance hemodialysis supported by cashless government scheme","type":"article-journal"},"uris":["http://www.mendeley.com/documents/?uuid=6086883a-3374-3524-9957-c2b16db9e692"]}],"mendeley":{"formattedCitation":"&lt;sup&gt;1&lt;/sup&gt;","plainTextFormattedCitation":"1","previouslyFormattedCitation":"&lt;sup&gt;1&lt;/sup&gt;"},"properties":{"noteIndex":0},"schema":"https://github.com/citation-style-language/schema/raw/master/csl-citation.json"}</w:instrText>
            </w:r>
            <w:r>
              <w:fldChar w:fldCharType="separate"/>
            </w:r>
            <w:r w:rsidRPr="002F609A">
              <w:rPr>
                <w:noProof/>
                <w:vertAlign w:val="superscript"/>
              </w:rPr>
              <w:t>1</w:t>
            </w:r>
            <w:r>
              <w:fldChar w:fldCharType="end"/>
            </w:r>
          </w:p>
        </w:tc>
      </w:tr>
      <w:tr w:rsidR="005C79F8" w:rsidTr="00AA5CAF">
        <w:trPr>
          <w:trHeight w:val="60"/>
        </w:trPr>
        <w:tc>
          <w:tcPr>
            <w:tcW w:w="2292" w:type="dxa"/>
            <w:gridSpan w:val="3"/>
            <w:vMerge/>
          </w:tcPr>
          <w:p w:rsidR="005C79F8" w:rsidRPr="004A32A1" w:rsidRDefault="005C79F8" w:rsidP="005C79F8"/>
        </w:tc>
        <w:tc>
          <w:tcPr>
            <w:tcW w:w="244" w:type="dxa"/>
          </w:tcPr>
          <w:p w:rsidR="005C79F8" w:rsidRDefault="005C79F8" w:rsidP="005C79F8"/>
        </w:tc>
        <w:tc>
          <w:tcPr>
            <w:tcW w:w="3760" w:type="dxa"/>
            <w:gridSpan w:val="5"/>
          </w:tcPr>
          <w:p w:rsidR="005C79F8" w:rsidRDefault="005C79F8" w:rsidP="005C79F8">
            <w:r>
              <w:rPr>
                <w:rFonts w:hint="eastAsia"/>
              </w:rPr>
              <w:t>1-2</w:t>
            </w:r>
            <w:r>
              <w:t xml:space="preserve"> times (n=64)</w:t>
            </w:r>
          </w:p>
        </w:tc>
        <w:tc>
          <w:tcPr>
            <w:tcW w:w="1745" w:type="dxa"/>
          </w:tcPr>
          <w:p w:rsidR="005C79F8" w:rsidRPr="004A32A1" w:rsidRDefault="005C79F8" w:rsidP="005C79F8">
            <w:r>
              <w:rPr>
                <w:rFonts w:hint="eastAsia"/>
              </w:rPr>
              <w:t xml:space="preserve">40 vs. </w:t>
            </w:r>
            <w:r>
              <w:t>24</w:t>
            </w:r>
          </w:p>
        </w:tc>
        <w:tc>
          <w:tcPr>
            <w:tcW w:w="1443" w:type="dxa"/>
            <w:vMerge/>
          </w:tcPr>
          <w:p w:rsidR="005C79F8" w:rsidRDefault="005C79F8" w:rsidP="005C79F8"/>
        </w:tc>
        <w:tc>
          <w:tcPr>
            <w:tcW w:w="1178" w:type="dxa"/>
            <w:vMerge/>
          </w:tcPr>
          <w:p w:rsidR="005C79F8" w:rsidRDefault="005C79F8" w:rsidP="005C79F8"/>
        </w:tc>
        <w:tc>
          <w:tcPr>
            <w:tcW w:w="2033" w:type="dxa"/>
            <w:vMerge/>
          </w:tcPr>
          <w:p w:rsidR="005C79F8" w:rsidRDefault="005C79F8" w:rsidP="005C79F8"/>
        </w:tc>
        <w:tc>
          <w:tcPr>
            <w:tcW w:w="1253" w:type="dxa"/>
            <w:vMerge/>
          </w:tcPr>
          <w:p w:rsidR="005C79F8" w:rsidRDefault="005C79F8" w:rsidP="005C79F8"/>
        </w:tc>
      </w:tr>
    </w:tbl>
    <w:p w:rsidR="00F32795" w:rsidRDefault="00F32795">
      <w:pPr>
        <w:widowControl/>
      </w:pPr>
      <w:r>
        <w:br w:type="page"/>
      </w:r>
    </w:p>
    <w:p w:rsidR="001752C5" w:rsidRDefault="00697E00" w:rsidP="00BA243C">
      <w:r>
        <w:rPr>
          <w:rFonts w:hint="eastAsia"/>
        </w:rPr>
        <w:lastRenderedPageBreak/>
        <w:t>Bibliography</w:t>
      </w:r>
    </w:p>
    <w:p w:rsidR="00596FF4" w:rsidRPr="00596FF4" w:rsidRDefault="00697E00" w:rsidP="00596FF4">
      <w:pPr>
        <w:autoSpaceDE w:val="0"/>
        <w:autoSpaceDN w:val="0"/>
        <w:adjustRightInd w:val="0"/>
        <w:ind w:left="640" w:hanging="640"/>
        <w:rPr>
          <w:rFonts w:ascii="Calibri" w:hAnsi="Calibri" w:cs="Calibri"/>
          <w:noProof/>
          <w:kern w:val="0"/>
          <w:szCs w:val="24"/>
        </w:rPr>
      </w:pPr>
      <w:r>
        <w:fldChar w:fldCharType="begin" w:fldLock="1"/>
      </w:r>
      <w:r>
        <w:instrText xml:space="preserve">ADDIN Mendeley Bibliography CSL_BIBLIOGRAPHY </w:instrText>
      </w:r>
      <w:r>
        <w:fldChar w:fldCharType="separate"/>
      </w:r>
      <w:r w:rsidR="00596FF4" w:rsidRPr="00596FF4">
        <w:rPr>
          <w:rFonts w:ascii="Calibri" w:hAnsi="Calibri" w:cs="Calibri"/>
          <w:noProof/>
          <w:kern w:val="0"/>
          <w:szCs w:val="24"/>
        </w:rPr>
        <w:t xml:space="preserve">1. </w:t>
      </w:r>
      <w:r w:rsidR="00596FF4" w:rsidRPr="00596FF4">
        <w:rPr>
          <w:rFonts w:ascii="Calibri" w:hAnsi="Calibri" w:cs="Calibri"/>
          <w:noProof/>
          <w:kern w:val="0"/>
          <w:szCs w:val="24"/>
        </w:rPr>
        <w:tab/>
        <w:t xml:space="preserve">YadlaM, JohnJ, MummadiM. A study of clinical assessment of frailty in patients on maintenance hemodialysis supported by cashless government scheme. </w:t>
      </w:r>
      <w:r w:rsidR="00596FF4" w:rsidRPr="00596FF4">
        <w:rPr>
          <w:rFonts w:ascii="Calibri" w:hAnsi="Calibri" w:cs="Calibri"/>
          <w:i/>
          <w:iCs/>
          <w:noProof/>
          <w:kern w:val="0"/>
          <w:szCs w:val="24"/>
        </w:rPr>
        <w:t>Saudi J Kidney Dis Transplant</w:t>
      </w:r>
      <w:r w:rsidR="00596FF4" w:rsidRPr="00596FF4">
        <w:rPr>
          <w:rFonts w:ascii="Calibri" w:hAnsi="Calibri" w:cs="Calibri"/>
          <w:noProof/>
          <w:kern w:val="0"/>
          <w:szCs w:val="24"/>
        </w:rPr>
        <w:t>. 2017. doi:10.4103/1319-2442.198102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2. </w:t>
      </w:r>
      <w:r w:rsidRPr="00596FF4">
        <w:rPr>
          <w:rFonts w:ascii="Calibri" w:hAnsi="Calibri" w:cs="Calibri"/>
          <w:noProof/>
          <w:kern w:val="0"/>
          <w:szCs w:val="24"/>
        </w:rPr>
        <w:tab/>
        <w:t xml:space="preserve">MuradK, KitzmanDW. Frailty and multiple comorbidities in the elderly patient with heart failure: implications for management. </w:t>
      </w:r>
      <w:r w:rsidRPr="00596FF4">
        <w:rPr>
          <w:rFonts w:ascii="Calibri" w:hAnsi="Calibri" w:cs="Calibri"/>
          <w:i/>
          <w:iCs/>
          <w:noProof/>
          <w:kern w:val="0"/>
          <w:szCs w:val="24"/>
        </w:rPr>
        <w:t>Heart Fail Rev</w:t>
      </w:r>
      <w:r w:rsidRPr="00596FF4">
        <w:rPr>
          <w:rFonts w:ascii="Calibri" w:hAnsi="Calibri" w:cs="Calibri"/>
          <w:noProof/>
          <w:kern w:val="0"/>
          <w:szCs w:val="24"/>
        </w:rPr>
        <w:t>. 2012;17(4-5):581-588. doi:10.1007/s10741-011-9258-y</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3. </w:t>
      </w:r>
      <w:r w:rsidRPr="00596FF4">
        <w:rPr>
          <w:rFonts w:ascii="Calibri" w:hAnsi="Calibri" w:cs="Calibri"/>
          <w:noProof/>
          <w:kern w:val="0"/>
          <w:szCs w:val="24"/>
        </w:rPr>
        <w:tab/>
        <w:t xml:space="preserve">RoshanravanB, KhatriM, Robinson-CohenC, et al. A prospective study of frailty in nephrology-referred patients with CKD. </w:t>
      </w:r>
      <w:r w:rsidRPr="00596FF4">
        <w:rPr>
          <w:rFonts w:ascii="Calibri" w:hAnsi="Calibri" w:cs="Calibri"/>
          <w:i/>
          <w:iCs/>
          <w:noProof/>
          <w:kern w:val="0"/>
          <w:szCs w:val="24"/>
        </w:rPr>
        <w:t>Am J Kidney Dis</w:t>
      </w:r>
      <w:r w:rsidRPr="00596FF4">
        <w:rPr>
          <w:rFonts w:ascii="Calibri" w:hAnsi="Calibri" w:cs="Calibri"/>
          <w:noProof/>
          <w:kern w:val="0"/>
          <w:szCs w:val="24"/>
        </w:rPr>
        <w:t>. 2012;60(6):912-921. doi:10.1053/j.ajkd.2012.05.017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4. </w:t>
      </w:r>
      <w:r w:rsidRPr="00596FF4">
        <w:rPr>
          <w:rFonts w:ascii="Calibri" w:hAnsi="Calibri" w:cs="Calibri"/>
          <w:noProof/>
          <w:kern w:val="0"/>
          <w:szCs w:val="24"/>
        </w:rPr>
        <w:tab/>
        <w:t xml:space="preserve">JohansenKL, ChertowGM, JinC, KutnerNG. Significance of frailty among dialysis patients. </w:t>
      </w:r>
      <w:r w:rsidRPr="00596FF4">
        <w:rPr>
          <w:rFonts w:ascii="Calibri" w:hAnsi="Calibri" w:cs="Calibri"/>
          <w:i/>
          <w:iCs/>
          <w:noProof/>
          <w:kern w:val="0"/>
          <w:szCs w:val="24"/>
        </w:rPr>
        <w:t>J Am Soc Nephrol</w:t>
      </w:r>
      <w:r w:rsidRPr="00596FF4">
        <w:rPr>
          <w:rFonts w:ascii="Calibri" w:hAnsi="Calibri" w:cs="Calibri"/>
          <w:noProof/>
          <w:kern w:val="0"/>
          <w:szCs w:val="24"/>
        </w:rPr>
        <w:t>. 2007;18(11):2960-2967. doi:10.1681/ASN.2007020221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5. </w:t>
      </w:r>
      <w:r w:rsidRPr="00596FF4">
        <w:rPr>
          <w:rFonts w:ascii="Calibri" w:hAnsi="Calibri" w:cs="Calibri"/>
          <w:noProof/>
          <w:kern w:val="0"/>
          <w:szCs w:val="24"/>
        </w:rPr>
        <w:tab/>
        <w:t xml:space="preserve">McAdams-DemarcoMA, TanJ, SalterML, et al. Frailty and cognitive function in incident hemodialysis patients. </w:t>
      </w:r>
      <w:r w:rsidRPr="00596FF4">
        <w:rPr>
          <w:rFonts w:ascii="Calibri" w:hAnsi="Calibri" w:cs="Calibri"/>
          <w:i/>
          <w:iCs/>
          <w:noProof/>
          <w:kern w:val="0"/>
          <w:szCs w:val="24"/>
        </w:rPr>
        <w:t>Clin J Am Soc Nephrol</w:t>
      </w:r>
      <w:r w:rsidRPr="00596FF4">
        <w:rPr>
          <w:rFonts w:ascii="Calibri" w:hAnsi="Calibri" w:cs="Calibri"/>
          <w:noProof/>
          <w:kern w:val="0"/>
          <w:szCs w:val="24"/>
        </w:rPr>
        <w:t>. 2015;10(12):2181-2189. doi:10.2215/CJN.01960215</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6. </w:t>
      </w:r>
      <w:r w:rsidRPr="00596FF4">
        <w:rPr>
          <w:rFonts w:ascii="Calibri" w:hAnsi="Calibri" w:cs="Calibri"/>
          <w:noProof/>
          <w:kern w:val="0"/>
          <w:szCs w:val="24"/>
        </w:rPr>
        <w:tab/>
        <w:t xml:space="preserve">ChaoC-T, LaiH-J, TsaiH-B, YangS-Y, HuangJ-W. Frail phenotype is associated with distinct quantitative electroencephalographic findings among end-stage renal disease patients: an observational study. </w:t>
      </w:r>
      <w:r w:rsidRPr="00596FF4">
        <w:rPr>
          <w:rFonts w:ascii="Calibri" w:hAnsi="Calibri" w:cs="Calibri"/>
          <w:i/>
          <w:iCs/>
          <w:noProof/>
          <w:kern w:val="0"/>
          <w:szCs w:val="24"/>
        </w:rPr>
        <w:t>BMC Geriatr</w:t>
      </w:r>
      <w:r w:rsidRPr="00596FF4">
        <w:rPr>
          <w:rFonts w:ascii="Calibri" w:hAnsi="Calibri" w:cs="Calibri"/>
          <w:noProof/>
          <w:kern w:val="0"/>
          <w:szCs w:val="24"/>
        </w:rPr>
        <w:t>. 2017;17(1):277. doi:10.1186/s12877-017-0673-3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7. </w:t>
      </w:r>
      <w:r w:rsidRPr="00596FF4">
        <w:rPr>
          <w:rFonts w:ascii="Calibri" w:hAnsi="Calibri" w:cs="Calibri"/>
          <w:noProof/>
          <w:kern w:val="0"/>
          <w:szCs w:val="24"/>
        </w:rPr>
        <w:tab/>
        <w:t xml:space="preserve">Fabrício-WehbeSCC, SchiavetoFV, VendrusculoTRP, HaasVJ, DantasRAS, RodriguesRAP. Cross-cultural adaptation and validity of the “Edmonton Frail Scale - EFS” in a Brazilian elderly sample. </w:t>
      </w:r>
      <w:r w:rsidRPr="00596FF4">
        <w:rPr>
          <w:rFonts w:ascii="Calibri" w:hAnsi="Calibri" w:cs="Calibri"/>
          <w:i/>
          <w:iCs/>
          <w:noProof/>
          <w:kern w:val="0"/>
          <w:szCs w:val="24"/>
        </w:rPr>
        <w:t>Rev Lat Am Enfermagem</w:t>
      </w:r>
      <w:r w:rsidRPr="00596FF4">
        <w:rPr>
          <w:rFonts w:ascii="Calibri" w:hAnsi="Calibri" w:cs="Calibri"/>
          <w:noProof/>
          <w:kern w:val="0"/>
          <w:szCs w:val="24"/>
        </w:rPr>
        <w:t>. 2009;17(6):1043-1049. doi:10.1590/S0104-11692009000600018</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8. </w:t>
      </w:r>
      <w:r w:rsidRPr="00596FF4">
        <w:rPr>
          <w:rFonts w:ascii="Calibri" w:hAnsi="Calibri" w:cs="Calibri"/>
          <w:noProof/>
          <w:kern w:val="0"/>
          <w:szCs w:val="24"/>
        </w:rPr>
        <w:tab/>
        <w:t xml:space="preserve">JohansenKL, DalrympleLS, DelgadoC, et al. Factors Associated with Frailty and Its Trajectory among Patients on Hemodialysis. </w:t>
      </w:r>
      <w:r w:rsidRPr="00596FF4">
        <w:rPr>
          <w:rFonts w:ascii="Calibri" w:hAnsi="Calibri" w:cs="Calibri"/>
          <w:i/>
          <w:iCs/>
          <w:noProof/>
          <w:kern w:val="0"/>
          <w:szCs w:val="24"/>
        </w:rPr>
        <w:t>Clin J Am Soc Nephrol</w:t>
      </w:r>
      <w:r w:rsidRPr="00596FF4">
        <w:rPr>
          <w:rFonts w:ascii="Calibri" w:hAnsi="Calibri" w:cs="Calibri"/>
          <w:noProof/>
          <w:kern w:val="0"/>
          <w:szCs w:val="24"/>
        </w:rPr>
        <w:t>. 2017;12(7):1100-1108. doi:10.2215/CJN.12131116</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9. </w:t>
      </w:r>
      <w:r w:rsidRPr="00596FF4">
        <w:rPr>
          <w:rFonts w:ascii="Calibri" w:hAnsi="Calibri" w:cs="Calibri"/>
          <w:noProof/>
          <w:kern w:val="0"/>
          <w:szCs w:val="24"/>
        </w:rPr>
        <w:tab/>
        <w:t xml:space="preserve">McAdams-DemarcoMA, LawA, TanJ, et al. Frailty, mycophenolate reduction, and graft loss in kidney transplant recipients. </w:t>
      </w:r>
      <w:r w:rsidRPr="00596FF4">
        <w:rPr>
          <w:rFonts w:ascii="Calibri" w:hAnsi="Calibri" w:cs="Calibri"/>
          <w:i/>
          <w:iCs/>
          <w:noProof/>
          <w:kern w:val="0"/>
          <w:szCs w:val="24"/>
        </w:rPr>
        <w:t>Transplantation</w:t>
      </w:r>
      <w:r w:rsidRPr="00596FF4">
        <w:rPr>
          <w:rFonts w:ascii="Calibri" w:hAnsi="Calibri" w:cs="Calibri"/>
          <w:noProof/>
          <w:kern w:val="0"/>
          <w:szCs w:val="24"/>
        </w:rPr>
        <w:t>. 2015;99(4):805-810. doi:10.1097/TP.0000000000000444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10. </w:t>
      </w:r>
      <w:r w:rsidRPr="00596FF4">
        <w:rPr>
          <w:rFonts w:ascii="Calibri" w:hAnsi="Calibri" w:cs="Calibri"/>
          <w:noProof/>
          <w:kern w:val="0"/>
          <w:szCs w:val="24"/>
        </w:rPr>
        <w:tab/>
        <w:t xml:space="preserve">MargiottaE, CaldiroliL, VettorettiS, et al. SuO004GUT MICROBIOTA COMPOSITION AND FRAILTY IN ELDERLY PATIENTS WITH CHRONIC KIDNEY DISEASE. </w:t>
      </w:r>
      <w:r w:rsidRPr="00596FF4">
        <w:rPr>
          <w:rFonts w:ascii="Calibri" w:hAnsi="Calibri" w:cs="Calibri"/>
          <w:i/>
          <w:iCs/>
          <w:noProof/>
          <w:kern w:val="0"/>
          <w:szCs w:val="24"/>
        </w:rPr>
        <w:t>Nephrol Dial Transplant</w:t>
      </w:r>
      <w:r w:rsidRPr="00596FF4">
        <w:rPr>
          <w:rFonts w:ascii="Calibri" w:hAnsi="Calibri" w:cs="Calibri"/>
          <w:noProof/>
          <w:kern w:val="0"/>
          <w:szCs w:val="24"/>
        </w:rPr>
        <w:t>. 2018;33(suppl_1):i618-i618. doi:10.1093/ndt/gfy104.SuO004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11. </w:t>
      </w:r>
      <w:r w:rsidRPr="00596FF4">
        <w:rPr>
          <w:rFonts w:ascii="Calibri" w:hAnsi="Calibri" w:cs="Calibri"/>
          <w:noProof/>
          <w:kern w:val="0"/>
          <w:szCs w:val="24"/>
        </w:rPr>
        <w:tab/>
        <w:t>Adame PerezSI, SeniorPA, FieldCJ, JindalK, MagerDR. Frailty, Health-Related Quality of Life, Cognition, Depression, Vitamin D and Health-</w:t>
      </w:r>
      <w:r w:rsidRPr="00596FF4">
        <w:rPr>
          <w:rFonts w:ascii="Calibri" w:hAnsi="Calibri" w:cs="Calibri"/>
          <w:noProof/>
          <w:kern w:val="0"/>
          <w:szCs w:val="24"/>
        </w:rPr>
        <w:lastRenderedPageBreak/>
        <w:t xml:space="preserve">Care Utilization in an Ambulatory Adult Population with Type 1 or Type 2 Diabetes Mellitus and Chronic Kidney Disease: A Cross-Sectional Analysis. </w:t>
      </w:r>
      <w:r w:rsidRPr="00596FF4">
        <w:rPr>
          <w:rFonts w:ascii="Calibri" w:hAnsi="Calibri" w:cs="Calibri"/>
          <w:i/>
          <w:iCs/>
          <w:noProof/>
          <w:kern w:val="0"/>
          <w:szCs w:val="24"/>
        </w:rPr>
        <w:t>Can J Diabetes</w:t>
      </w:r>
      <w:r w:rsidRPr="00596FF4">
        <w:rPr>
          <w:rFonts w:ascii="Calibri" w:hAnsi="Calibri" w:cs="Calibri"/>
          <w:noProof/>
          <w:kern w:val="0"/>
          <w:szCs w:val="24"/>
        </w:rPr>
        <w:t>. June2018. doi:10.1016/j.jcjd.2018.06.001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12. </w:t>
      </w:r>
      <w:r w:rsidRPr="00596FF4">
        <w:rPr>
          <w:rFonts w:ascii="Calibri" w:hAnsi="Calibri" w:cs="Calibri"/>
          <w:noProof/>
          <w:kern w:val="0"/>
          <w:szCs w:val="24"/>
        </w:rPr>
        <w:tab/>
        <w:t xml:space="preserve">ChiangJM, KaysenGA, SegalM, ChertowGM, DelgadoC, JohansenKL. Low testosterone is associated with frailty, muscle wasting and physical dysfunction among men receiving hemodialysis: a longitudinal analysis. </w:t>
      </w:r>
      <w:r w:rsidRPr="00596FF4">
        <w:rPr>
          <w:rFonts w:ascii="Calibri" w:hAnsi="Calibri" w:cs="Calibri"/>
          <w:i/>
          <w:iCs/>
          <w:noProof/>
          <w:kern w:val="0"/>
          <w:szCs w:val="24"/>
        </w:rPr>
        <w:t>Nephrol Dial Transplant</w:t>
      </w:r>
      <w:r w:rsidRPr="00596FF4">
        <w:rPr>
          <w:rFonts w:ascii="Calibri" w:hAnsi="Calibri" w:cs="Calibri"/>
          <w:noProof/>
          <w:kern w:val="0"/>
          <w:szCs w:val="24"/>
        </w:rPr>
        <w:t>. 2018. doi:10.1093/ndt/gfy252</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13. </w:t>
      </w:r>
      <w:r w:rsidRPr="00596FF4">
        <w:rPr>
          <w:rFonts w:ascii="Calibri" w:hAnsi="Calibri" w:cs="Calibri"/>
          <w:noProof/>
          <w:kern w:val="0"/>
          <w:szCs w:val="24"/>
        </w:rPr>
        <w:tab/>
        <w:t xml:space="preserve">DeSouza OrlandiF, GesualdoGD. Assessment of the frailty level of elderly people with chronic kidney disease undergoing hemodialysis. </w:t>
      </w:r>
      <w:r w:rsidRPr="00596FF4">
        <w:rPr>
          <w:rFonts w:ascii="Calibri" w:hAnsi="Calibri" w:cs="Calibri"/>
          <w:i/>
          <w:iCs/>
          <w:noProof/>
          <w:kern w:val="0"/>
          <w:szCs w:val="24"/>
        </w:rPr>
        <w:t>ACTA Paul Enferm</w:t>
      </w:r>
      <w:r w:rsidRPr="00596FF4">
        <w:rPr>
          <w:rFonts w:ascii="Calibri" w:hAnsi="Calibri" w:cs="Calibri"/>
          <w:noProof/>
          <w:kern w:val="0"/>
          <w:szCs w:val="24"/>
        </w:rPr>
        <w:t>. 2014;27(1):29-34. doi:10.1590/1982-0194201400007</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14. </w:t>
      </w:r>
      <w:r w:rsidRPr="00596FF4">
        <w:rPr>
          <w:rFonts w:ascii="Calibri" w:hAnsi="Calibri" w:cs="Calibri"/>
          <w:noProof/>
          <w:kern w:val="0"/>
          <w:szCs w:val="24"/>
        </w:rPr>
        <w:tab/>
        <w:t xml:space="preserve">SalesC, TavaresR, AmadoL, et al. SP651ANXIETY AND DEPRESSION IN END STAGE RENAL DISEASE PATIENTS AND ITS ASSOCIATION WITH CLINICAL AND LABORATORIAL DATA. </w:t>
      </w:r>
      <w:r w:rsidRPr="00596FF4">
        <w:rPr>
          <w:rFonts w:ascii="Calibri" w:hAnsi="Calibri" w:cs="Calibri"/>
          <w:i/>
          <w:iCs/>
          <w:noProof/>
          <w:kern w:val="0"/>
          <w:szCs w:val="24"/>
        </w:rPr>
        <w:t>Nephrol Dial Transplant</w:t>
      </w:r>
      <w:r w:rsidRPr="00596FF4">
        <w:rPr>
          <w:rFonts w:ascii="Calibri" w:hAnsi="Calibri" w:cs="Calibri"/>
          <w:noProof/>
          <w:kern w:val="0"/>
          <w:szCs w:val="24"/>
        </w:rPr>
        <w:t>. 2017;32(suppl_3):iii355-iii355. doi:10.1093/ndt/gfx154.SP651</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15. </w:t>
      </w:r>
      <w:r w:rsidRPr="00596FF4">
        <w:rPr>
          <w:rFonts w:ascii="Calibri" w:hAnsi="Calibri" w:cs="Calibri"/>
          <w:noProof/>
          <w:kern w:val="0"/>
          <w:szCs w:val="24"/>
        </w:rPr>
        <w:tab/>
        <w:t xml:space="preserve">HaugenCE, MountfordA, WarsameF, et al. Incidence, Risk Factors, and Sequelae of Post-kidney Transplant Delirium. </w:t>
      </w:r>
      <w:r w:rsidRPr="00596FF4">
        <w:rPr>
          <w:rFonts w:ascii="Calibri" w:hAnsi="Calibri" w:cs="Calibri"/>
          <w:i/>
          <w:iCs/>
          <w:noProof/>
          <w:kern w:val="0"/>
          <w:szCs w:val="24"/>
        </w:rPr>
        <w:t>J Am Soc Nephrol</w:t>
      </w:r>
      <w:r w:rsidRPr="00596FF4">
        <w:rPr>
          <w:rFonts w:ascii="Calibri" w:hAnsi="Calibri" w:cs="Calibri"/>
          <w:noProof/>
          <w:kern w:val="0"/>
          <w:szCs w:val="24"/>
        </w:rPr>
        <w:t>. 2018;29(6):1752-1759. doi:10.1681/ASN.2018010064</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16. </w:t>
      </w:r>
      <w:r w:rsidRPr="00596FF4">
        <w:rPr>
          <w:rFonts w:ascii="Calibri" w:hAnsi="Calibri" w:cs="Calibri"/>
          <w:noProof/>
          <w:kern w:val="0"/>
          <w:szCs w:val="24"/>
        </w:rPr>
        <w:tab/>
        <w:t xml:space="preserve">MoffattH, MoorhouseP, MalleryL, LandryD, TennankoreK. Using the Frailty Assessment for Care Planning Tool (FACT) to screen elderly chronic kidney disease patients for frailty: the nurse experience. </w:t>
      </w:r>
      <w:r w:rsidRPr="00596FF4">
        <w:rPr>
          <w:rFonts w:ascii="Calibri" w:hAnsi="Calibri" w:cs="Calibri"/>
          <w:i/>
          <w:iCs/>
          <w:noProof/>
          <w:kern w:val="0"/>
          <w:szCs w:val="24"/>
        </w:rPr>
        <w:t>Clin Interv Aging</w:t>
      </w:r>
      <w:r w:rsidRPr="00596FF4">
        <w:rPr>
          <w:rFonts w:ascii="Calibri" w:hAnsi="Calibri" w:cs="Calibri"/>
          <w:noProof/>
          <w:kern w:val="0"/>
          <w:szCs w:val="24"/>
        </w:rPr>
        <w:t>. 2018;13:843.</w:t>
      </w:r>
    </w:p>
    <w:p w:rsidR="00596FF4" w:rsidRPr="00596FF4" w:rsidRDefault="00596FF4" w:rsidP="00596FF4">
      <w:pPr>
        <w:autoSpaceDE w:val="0"/>
        <w:autoSpaceDN w:val="0"/>
        <w:adjustRightInd w:val="0"/>
        <w:ind w:left="640" w:hanging="640"/>
        <w:rPr>
          <w:rFonts w:ascii="Calibri" w:hAnsi="Calibri" w:cs="Calibri"/>
          <w:noProof/>
          <w:kern w:val="0"/>
          <w:szCs w:val="24"/>
        </w:rPr>
      </w:pPr>
      <w:r w:rsidRPr="00596FF4">
        <w:rPr>
          <w:rFonts w:ascii="Calibri" w:hAnsi="Calibri" w:cs="Calibri"/>
          <w:noProof/>
          <w:kern w:val="0"/>
          <w:szCs w:val="24"/>
        </w:rPr>
        <w:t xml:space="preserve">17. </w:t>
      </w:r>
      <w:r w:rsidRPr="00596FF4">
        <w:rPr>
          <w:rFonts w:ascii="Calibri" w:hAnsi="Calibri" w:cs="Calibri"/>
          <w:noProof/>
          <w:kern w:val="0"/>
          <w:szCs w:val="24"/>
        </w:rPr>
        <w:tab/>
        <w:t xml:space="preserve">LeeSJ, SonH, ShinSK. Influence of frailty on health-related quality of life in pre-dialysis patients with chronic kidney disease in Korea: a cross-sectional study. </w:t>
      </w:r>
      <w:r w:rsidRPr="00596FF4">
        <w:rPr>
          <w:rFonts w:ascii="Calibri" w:hAnsi="Calibri" w:cs="Calibri"/>
          <w:i/>
          <w:iCs/>
          <w:noProof/>
          <w:kern w:val="0"/>
          <w:szCs w:val="24"/>
        </w:rPr>
        <w:t>Heal Qual Life Outcomes</w:t>
      </w:r>
      <w:r w:rsidRPr="00596FF4">
        <w:rPr>
          <w:rFonts w:ascii="Calibri" w:hAnsi="Calibri" w:cs="Calibri"/>
          <w:noProof/>
          <w:kern w:val="0"/>
          <w:szCs w:val="24"/>
        </w:rPr>
        <w:t>. 2015;13:70. doi:10.1186/s12955-015-0270-0</w:t>
      </w:r>
    </w:p>
    <w:p w:rsidR="00596FF4" w:rsidRPr="00596FF4" w:rsidRDefault="00596FF4" w:rsidP="00596FF4">
      <w:pPr>
        <w:autoSpaceDE w:val="0"/>
        <w:autoSpaceDN w:val="0"/>
        <w:adjustRightInd w:val="0"/>
        <w:ind w:left="640" w:hanging="640"/>
        <w:rPr>
          <w:rFonts w:ascii="Calibri" w:hAnsi="Calibri" w:cs="Calibri"/>
          <w:noProof/>
        </w:rPr>
      </w:pPr>
      <w:r w:rsidRPr="00596FF4">
        <w:rPr>
          <w:rFonts w:ascii="Calibri" w:hAnsi="Calibri" w:cs="Calibri"/>
          <w:noProof/>
          <w:kern w:val="0"/>
          <w:szCs w:val="24"/>
        </w:rPr>
        <w:t xml:space="preserve">18. </w:t>
      </w:r>
      <w:r w:rsidRPr="00596FF4">
        <w:rPr>
          <w:rFonts w:ascii="Calibri" w:hAnsi="Calibri" w:cs="Calibri"/>
          <w:noProof/>
          <w:kern w:val="0"/>
          <w:szCs w:val="24"/>
        </w:rPr>
        <w:tab/>
        <w:t xml:space="preserve">McAdams-DeMarcoMA, OlorundareIO, YingH, et al. Frailty and Postkidney Transplant Health-Related Quality of Life. </w:t>
      </w:r>
      <w:r w:rsidRPr="00596FF4">
        <w:rPr>
          <w:rFonts w:ascii="Calibri" w:hAnsi="Calibri" w:cs="Calibri"/>
          <w:i/>
          <w:iCs/>
          <w:noProof/>
          <w:kern w:val="0"/>
          <w:szCs w:val="24"/>
        </w:rPr>
        <w:t>Transplantation</w:t>
      </w:r>
      <w:r w:rsidRPr="00596FF4">
        <w:rPr>
          <w:rFonts w:ascii="Calibri" w:hAnsi="Calibri" w:cs="Calibri"/>
          <w:noProof/>
          <w:kern w:val="0"/>
          <w:szCs w:val="24"/>
        </w:rPr>
        <w:t>. 2018;102(2):291-299. doi:10.1097/TP.0000000000001943</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723" w:rsidRDefault="005E5723" w:rsidP="00D103FF">
      <w:r>
        <w:separator/>
      </w:r>
    </w:p>
  </w:endnote>
  <w:endnote w:type="continuationSeparator" w:id="0">
    <w:p w:rsidR="005E5723" w:rsidRDefault="005E5723"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723" w:rsidRDefault="005E5723" w:rsidP="00D103FF">
      <w:r>
        <w:separator/>
      </w:r>
    </w:p>
  </w:footnote>
  <w:footnote w:type="continuationSeparator" w:id="0">
    <w:p w:rsidR="005E5723" w:rsidRDefault="005E5723"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45B14"/>
    <w:rsid w:val="00054770"/>
    <w:rsid w:val="00060A16"/>
    <w:rsid w:val="00064343"/>
    <w:rsid w:val="00071C89"/>
    <w:rsid w:val="00074502"/>
    <w:rsid w:val="000A015E"/>
    <w:rsid w:val="000B64BB"/>
    <w:rsid w:val="000C48DB"/>
    <w:rsid w:val="000C5634"/>
    <w:rsid w:val="000C62D0"/>
    <w:rsid w:val="000D15F0"/>
    <w:rsid w:val="000D24F0"/>
    <w:rsid w:val="000D2636"/>
    <w:rsid w:val="000E0703"/>
    <w:rsid w:val="000E4F22"/>
    <w:rsid w:val="00113CEC"/>
    <w:rsid w:val="00116A0C"/>
    <w:rsid w:val="0013614F"/>
    <w:rsid w:val="00137C48"/>
    <w:rsid w:val="001422DC"/>
    <w:rsid w:val="00145D32"/>
    <w:rsid w:val="00150AA8"/>
    <w:rsid w:val="00153C71"/>
    <w:rsid w:val="0015424A"/>
    <w:rsid w:val="001752C5"/>
    <w:rsid w:val="0017576B"/>
    <w:rsid w:val="001A237B"/>
    <w:rsid w:val="001A7CF8"/>
    <w:rsid w:val="001B0401"/>
    <w:rsid w:val="001C1CBC"/>
    <w:rsid w:val="001E1811"/>
    <w:rsid w:val="001F6B70"/>
    <w:rsid w:val="00205299"/>
    <w:rsid w:val="00221176"/>
    <w:rsid w:val="002442E0"/>
    <w:rsid w:val="00247648"/>
    <w:rsid w:val="00247690"/>
    <w:rsid w:val="0026721E"/>
    <w:rsid w:val="00280F42"/>
    <w:rsid w:val="002A3C15"/>
    <w:rsid w:val="002D5BFD"/>
    <w:rsid w:val="002F2F00"/>
    <w:rsid w:val="002F319D"/>
    <w:rsid w:val="002F590A"/>
    <w:rsid w:val="002F609A"/>
    <w:rsid w:val="00306065"/>
    <w:rsid w:val="0031514C"/>
    <w:rsid w:val="00316F6C"/>
    <w:rsid w:val="00335C48"/>
    <w:rsid w:val="003555B9"/>
    <w:rsid w:val="00361DD1"/>
    <w:rsid w:val="00363A03"/>
    <w:rsid w:val="0038244B"/>
    <w:rsid w:val="003900F9"/>
    <w:rsid w:val="003B33F4"/>
    <w:rsid w:val="003B4E5C"/>
    <w:rsid w:val="003C25F0"/>
    <w:rsid w:val="003D5DFD"/>
    <w:rsid w:val="003E1C6E"/>
    <w:rsid w:val="003E72E4"/>
    <w:rsid w:val="003F578B"/>
    <w:rsid w:val="003F65A1"/>
    <w:rsid w:val="0042328C"/>
    <w:rsid w:val="00435525"/>
    <w:rsid w:val="00445A8B"/>
    <w:rsid w:val="00463F83"/>
    <w:rsid w:val="004A32A1"/>
    <w:rsid w:val="005143CB"/>
    <w:rsid w:val="005212BE"/>
    <w:rsid w:val="00541C54"/>
    <w:rsid w:val="00542EF1"/>
    <w:rsid w:val="005554EA"/>
    <w:rsid w:val="00577729"/>
    <w:rsid w:val="00596FF4"/>
    <w:rsid w:val="005A4E26"/>
    <w:rsid w:val="005C1CC8"/>
    <w:rsid w:val="005C3D44"/>
    <w:rsid w:val="005C4872"/>
    <w:rsid w:val="005C79F8"/>
    <w:rsid w:val="005E5723"/>
    <w:rsid w:val="005F21C7"/>
    <w:rsid w:val="00611178"/>
    <w:rsid w:val="0061462A"/>
    <w:rsid w:val="00621C9F"/>
    <w:rsid w:val="0063656D"/>
    <w:rsid w:val="00646C52"/>
    <w:rsid w:val="006702E0"/>
    <w:rsid w:val="00697E00"/>
    <w:rsid w:val="006C094D"/>
    <w:rsid w:val="006D188E"/>
    <w:rsid w:val="006E22D5"/>
    <w:rsid w:val="006F1C83"/>
    <w:rsid w:val="006F479A"/>
    <w:rsid w:val="007064B1"/>
    <w:rsid w:val="00707A88"/>
    <w:rsid w:val="00710D2E"/>
    <w:rsid w:val="00712FBC"/>
    <w:rsid w:val="00771C6B"/>
    <w:rsid w:val="007743FB"/>
    <w:rsid w:val="007750B0"/>
    <w:rsid w:val="00785E1A"/>
    <w:rsid w:val="007A55D8"/>
    <w:rsid w:val="007E221B"/>
    <w:rsid w:val="007F3BF7"/>
    <w:rsid w:val="00805A48"/>
    <w:rsid w:val="00821915"/>
    <w:rsid w:val="00825612"/>
    <w:rsid w:val="00827399"/>
    <w:rsid w:val="00831589"/>
    <w:rsid w:val="00833624"/>
    <w:rsid w:val="008405CD"/>
    <w:rsid w:val="0084236C"/>
    <w:rsid w:val="008B2816"/>
    <w:rsid w:val="008B6A3E"/>
    <w:rsid w:val="008E281F"/>
    <w:rsid w:val="008E6B2D"/>
    <w:rsid w:val="008F03BA"/>
    <w:rsid w:val="0091200E"/>
    <w:rsid w:val="00912CE2"/>
    <w:rsid w:val="00947F2D"/>
    <w:rsid w:val="00955837"/>
    <w:rsid w:val="00955FED"/>
    <w:rsid w:val="00956BE6"/>
    <w:rsid w:val="009776FD"/>
    <w:rsid w:val="0099519F"/>
    <w:rsid w:val="009A4D7F"/>
    <w:rsid w:val="009B38DE"/>
    <w:rsid w:val="009F6C6E"/>
    <w:rsid w:val="00A01221"/>
    <w:rsid w:val="00A132EC"/>
    <w:rsid w:val="00A3289C"/>
    <w:rsid w:val="00A374BB"/>
    <w:rsid w:val="00A4328E"/>
    <w:rsid w:val="00A519D1"/>
    <w:rsid w:val="00A51B45"/>
    <w:rsid w:val="00A52136"/>
    <w:rsid w:val="00A73D49"/>
    <w:rsid w:val="00A753B4"/>
    <w:rsid w:val="00A75741"/>
    <w:rsid w:val="00A75A36"/>
    <w:rsid w:val="00A85838"/>
    <w:rsid w:val="00A902F7"/>
    <w:rsid w:val="00A910C1"/>
    <w:rsid w:val="00AA5CAF"/>
    <w:rsid w:val="00AB114E"/>
    <w:rsid w:val="00AC2C14"/>
    <w:rsid w:val="00AC35EA"/>
    <w:rsid w:val="00AD7A7F"/>
    <w:rsid w:val="00AE2EA5"/>
    <w:rsid w:val="00B36D00"/>
    <w:rsid w:val="00B36F28"/>
    <w:rsid w:val="00B44D98"/>
    <w:rsid w:val="00B616C1"/>
    <w:rsid w:val="00B6446D"/>
    <w:rsid w:val="00B747A1"/>
    <w:rsid w:val="00B773DF"/>
    <w:rsid w:val="00B778D8"/>
    <w:rsid w:val="00B93D35"/>
    <w:rsid w:val="00BA243C"/>
    <w:rsid w:val="00BA64CA"/>
    <w:rsid w:val="00BB0513"/>
    <w:rsid w:val="00BC186A"/>
    <w:rsid w:val="00BD12DC"/>
    <w:rsid w:val="00BD433B"/>
    <w:rsid w:val="00C04DFD"/>
    <w:rsid w:val="00C11A15"/>
    <w:rsid w:val="00C16A64"/>
    <w:rsid w:val="00C30522"/>
    <w:rsid w:val="00C32753"/>
    <w:rsid w:val="00C33A01"/>
    <w:rsid w:val="00C4071D"/>
    <w:rsid w:val="00C6305D"/>
    <w:rsid w:val="00C76590"/>
    <w:rsid w:val="00C84EDE"/>
    <w:rsid w:val="00CA7998"/>
    <w:rsid w:val="00CD53B2"/>
    <w:rsid w:val="00CE60C9"/>
    <w:rsid w:val="00CE77E7"/>
    <w:rsid w:val="00CF38DD"/>
    <w:rsid w:val="00D103FF"/>
    <w:rsid w:val="00D209DE"/>
    <w:rsid w:val="00D50400"/>
    <w:rsid w:val="00D70AC2"/>
    <w:rsid w:val="00DB0126"/>
    <w:rsid w:val="00DD160B"/>
    <w:rsid w:val="00DE2A53"/>
    <w:rsid w:val="00DF7657"/>
    <w:rsid w:val="00E25F01"/>
    <w:rsid w:val="00E26E0B"/>
    <w:rsid w:val="00E40429"/>
    <w:rsid w:val="00E80DF0"/>
    <w:rsid w:val="00EB3099"/>
    <w:rsid w:val="00EE167D"/>
    <w:rsid w:val="00EE7B04"/>
    <w:rsid w:val="00F008A5"/>
    <w:rsid w:val="00F04062"/>
    <w:rsid w:val="00F046B9"/>
    <w:rsid w:val="00F15657"/>
    <w:rsid w:val="00F32795"/>
    <w:rsid w:val="00F43EA1"/>
    <w:rsid w:val="00F60947"/>
    <w:rsid w:val="00F7258D"/>
    <w:rsid w:val="00F76EA4"/>
    <w:rsid w:val="00FA60C4"/>
    <w:rsid w:val="00FD4516"/>
    <w:rsid w:val="00FE29A7"/>
    <w:rsid w:val="00FE4047"/>
    <w:rsid w:val="00FF1526"/>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32C23CB-7E4F-4F76-899B-5A0C3EBE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16669</Words>
  <Characters>95015</Characters>
  <Application>Microsoft Office Word</Application>
  <DocSecurity>0</DocSecurity>
  <Lines>791</Lines>
  <Paragraphs>222</Paragraphs>
  <ScaleCrop>false</ScaleCrop>
  <Company/>
  <LinksUpToDate>false</LinksUpToDate>
  <CharactersWithSpaces>111462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60</cp:revision>
  <dcterms:created xsi:type="dcterms:W3CDTF">2019-02-11T05:26:00Z</dcterms:created>
  <dcterms:modified xsi:type="dcterms:W3CDTF">2019-02-13T19:44:00Z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