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6"/>
        </w:rPr>
        <w:t>I sued the State of Mississippi.</w:t>
      </w:r>
      <w:r>
        <w:rPr>
          <w:rFonts w:ascii="Georgia" w:hAnsi="Georgia"/>
          <w:sz w:val="26"/>
        </w:rPr>
        <w:t xml:space="preserve"> The </w:t>
      </w:r>
      <w:r>
        <w:rPr>
          <w:rFonts w:ascii="Georgia" w:hAnsi="Georgia"/>
          <w:b/>
          <w:sz w:val="26"/>
        </w:rPr>
        <w:t>Eleventh Amendment</w:t>
      </w:r>
      <w:r>
        <w:rPr>
          <w:rFonts w:ascii="Georgia" w:hAnsi="Georgia"/>
          <w:sz w:val="26"/>
        </w:rPr>
        <w:t xml:space="preserve"> bars suits against a state in federal court. That defendant was gone before the clerk stamped it.</w:t>
      </w:r>
    </w:p>
    <w:p>
      <w:pPr>
        <w:pStyle w:val="ListBullet"/>
        <w:ind w:firstLine="0"/>
      </w:pPr>
      <w:r>
        <w:rPr>
          <w:rFonts w:ascii="Georgia" w:hAnsi="Georgia"/>
          <w:b/>
          <w:sz w:val="26"/>
        </w:rPr>
        <w:t>I sued the City of Olive Branch as an entity</w:t>
      </w:r>
      <w:r>
        <w:rPr>
          <w:rFonts w:ascii="Georgia" w:hAnsi="Georgia"/>
          <w:sz w:val="26"/>
        </w:rPr>
        <w:t xml:space="preserve"> without pleading a policy or custom. Under </w:t>
      </w:r>
      <w:r>
        <w:rPr>
          <w:rFonts w:ascii="Georgia" w:hAnsi="Georgia"/>
          <w:i/>
          <w:sz w:val="26"/>
        </w:rPr>
        <w:t>Monell v. Department of Social Services</w:t>
      </w:r>
      <w:r>
        <w:rPr>
          <w:rFonts w:ascii="Georgia" w:hAnsi="Georgia"/>
          <w:sz w:val="26"/>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6"/>
        </w:rPr>
        <w:t>I described the defendants as "federal corporations."</w:t>
      </w:r>
      <w:r>
        <w:rPr>
          <w:rFonts w:ascii="Georgia" w:hAnsi="Georgia"/>
          <w:sz w:val="26"/>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6"/>
        </w:rPr>
        <w:t>2017, Lafayette County</w:t>
      </w:r>
      <w:r>
        <w:rPr>
          <w:rFonts w:ascii="Georgia" w:hAnsi="Georgia"/>
          <w:sz w:val="26"/>
        </w:rPr>
        <w:t xml:space="preserve"> — I received the charging affidavit only by demanding it at the jail.</w:t>
      </w:r>
    </w:p>
    <w:p>
      <w:pPr>
        <w:pStyle w:val="ListBullet"/>
        <w:ind w:firstLine="0"/>
      </w:pPr>
      <w:r>
        <w:rPr>
          <w:rFonts w:ascii="Georgia" w:hAnsi="Georgia"/>
          <w:b/>
          <w:sz w:val="26"/>
        </w:rPr>
        <w:t>December 2020, Olive Branch</w:t>
      </w:r>
      <w:r>
        <w:rPr>
          <w:rFonts w:ascii="Georgia" w:hAnsi="Georgia"/>
          <w:sz w:val="26"/>
        </w:rPr>
        <w:t xml:space="preserve"> — I told a judge on the record that I had asked three times and been ignored. He directed the prosecutor to respond.</w:t>
      </w:r>
    </w:p>
    <w:p>
      <w:pPr>
        <w:pStyle w:val="ListBullet"/>
        <w:ind w:firstLine="0"/>
      </w:pPr>
      <w:r>
        <w:rPr>
          <w:rFonts w:ascii="Georgia" w:hAnsi="Georgia"/>
          <w:b/>
          <w:sz w:val="26"/>
        </w:rPr>
        <w:t>2023, Galveston</w:t>
      </w:r>
      <w:r>
        <w:rPr>
          <w:rFonts w:ascii="Georgia" w:hAnsi="Georgia"/>
          <w:sz w:val="26"/>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6"/>
        </w:rPr>
        <w:t>Berdin v. State (Miss. 1994) — the probationer won.</w:t>
      </w:r>
      <w:r>
        <w:rPr>
          <w:rFonts w:ascii="Georgia" w:hAnsi="Georgia"/>
          <w:sz w:val="26"/>
        </w:rPr>
        <w:t xml:space="preserve"> No preliminary hearing, </w:t>
      </w:r>
      <w:r>
        <w:rPr>
          <w:rFonts w:ascii="Georgia" w:hAnsi="Georgia"/>
          <w:b/>
          <w:sz w:val="26"/>
        </w:rPr>
        <w:t>no notice of any violation, and no affidavit</w:t>
      </w:r>
      <w:r>
        <w:rPr>
          <w:rFonts w:ascii="Georgia" w:hAnsi="Georgia"/>
          <w:sz w:val="26"/>
        </w:rPr>
        <w:t xml:space="preserve"> ever filed. The Supreme Court found that "the trial judge violated the procedural due process requirements of </w:t>
      </w:r>
      <w:r>
        <w:rPr>
          <w:rFonts w:ascii="Georgia" w:hAnsi="Georgia"/>
          <w:i/>
          <w:sz w:val="26"/>
        </w:rPr>
        <w:t>Morrissey</w:t>
      </w:r>
      <w:r>
        <w:rPr>
          <w:rFonts w:ascii="Georgia" w:hAnsi="Georgia"/>
          <w:sz w:val="26"/>
        </w:rPr>
        <w:t xml:space="preserve">, </w:t>
      </w:r>
      <w:r>
        <w:rPr>
          <w:rFonts w:ascii="Georgia" w:hAnsi="Georgia"/>
          <w:i/>
          <w:sz w:val="26"/>
        </w:rPr>
        <w:t>Gagnon</w:t>
      </w:r>
      <w:r>
        <w:rPr>
          <w:rFonts w:ascii="Georgia" w:hAnsi="Georgia"/>
          <w:sz w:val="26"/>
        </w:rPr>
        <w:t>, and Mississippi Code Annotated § 47-7-37," and reversed.</w:t>
      </w:r>
    </w:p>
    <w:p>
      <w:pPr>
        <w:pStyle w:val="ListBullet"/>
        <w:ind w:firstLine="0"/>
      </w:pPr>
      <w:r>
        <w:rPr>
          <w:rFonts w:ascii="Georgia" w:hAnsi="Georgia"/>
          <w:b/>
          <w:sz w:val="26"/>
        </w:rPr>
        <w:t>Riely v. State (Miss. 1990) — the probationer lost.</w:t>
      </w:r>
      <w:r>
        <w:rPr>
          <w:rFonts w:ascii="Georgia" w:hAnsi="Georgia"/>
          <w:sz w:val="26"/>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6"/>
        </w:rPr>
        <w:t>Rusche v. State (Miss. Ct. App. 2002) — the probationer lost, and this is the one that hurts.</w:t>
      </w:r>
      <w:r>
        <w:rPr>
          <w:rFonts w:ascii="Georgia" w:hAnsi="Georgia"/>
          <w:sz w:val="26"/>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6"/>
        </w:rPr>
        <w:t>Morrissey</w:t>
      </w:r>
      <w:r>
        <w:rPr>
          <w:rFonts w:ascii="Georgia" w:hAnsi="Georgia"/>
          <w:sz w:val="26"/>
        </w:rPr>
        <w:t xml:space="preserve"> required." It then held the failure </w:t>
      </w:r>
      <w:r>
        <w:rPr>
          <w:rFonts w:ascii="Georgia" w:hAnsi="Georgia"/>
          <w:b/>
          <w:sz w:val="26"/>
        </w:rPr>
        <w:t>harmless</w:t>
      </w:r>
      <w:r>
        <w:rPr>
          <w:rFonts w:ascii="Georgia" w:hAnsi="Georgia"/>
          <w:sz w:val="26"/>
        </w:rPr>
        <w:t xml:space="preserve"> absent "some showing of prejudice ... </w:t>
      </w:r>
      <w:r>
        <w:rPr>
          <w:rFonts w:ascii="Georgia" w:hAnsi="Georgia"/>
          <w:b/>
          <w:sz w:val="26"/>
        </w:rPr>
        <w:t>that prejudice necessarily extending beyond the issue of the State's right to continue his confinement in the interim.</w:t>
      </w:r>
      <w:r>
        <w:rPr>
          <w:rFonts w:ascii="Georgia" w:hAnsi="Georgia"/>
          <w:sz w:val="26"/>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6"/>
        </w:rPr>
        <w:t>Motive is cheap; comparators are expensive.</w:t>
      </w:r>
      <w:r>
        <w:rPr>
          <w:rFonts w:ascii="Georgia" w:hAnsi="Georgia"/>
          <w:sz w:val="26"/>
        </w:rPr>
        <w:t xml:space="preserve"> </w:t>
      </w:r>
      <w:r>
        <w:rPr>
          <w:rFonts w:ascii="Georgia" w:hAnsi="Georgia"/>
          <w:i/>
          <w:sz w:val="26"/>
        </w:rPr>
        <w:t>Nieves</w:t>
      </w:r>
      <w:r>
        <w:rPr>
          <w:rFonts w:ascii="Georgia" w:hAnsi="Georgia"/>
          <w:sz w:val="26"/>
        </w:rPr>
        <w:t xml:space="preserve"> means the documented retaliation is often legally inert without proof about everyone who was not arrested.</w:t>
      </w:r>
    </w:p>
    <w:p>
      <w:pPr>
        <w:pStyle w:val="ListNumber"/>
        <w:ind w:firstLine="0"/>
      </w:pPr>
      <w:r>
        <w:rPr>
          <w:rFonts w:ascii="Georgia" w:hAnsi="Georgia"/>
          <w:b/>
          <w:sz w:val="26"/>
        </w:rPr>
        <w:t>Winning the constitutional question is not winning.</w:t>
      </w:r>
      <w:r>
        <w:rPr>
          <w:rFonts w:ascii="Georgia" w:hAnsi="Georgia"/>
          <w:sz w:val="26"/>
        </w:rPr>
        <w:t xml:space="preserve"> Qualified immunity routinely separates the two, and an unbriefed claim is a lost claim.</w:t>
      </w:r>
    </w:p>
    <w:p>
      <w:pPr>
        <w:pStyle w:val="ListNumber"/>
        <w:ind w:firstLine="0"/>
      </w:pPr>
      <w:r>
        <w:rPr>
          <w:rFonts w:ascii="Georgia" w:hAnsi="Georgia"/>
          <w:b/>
          <w:sz w:val="26"/>
        </w:rPr>
        <w:t>Immunities are structural, not conspiratorial.</w:t>
      </w:r>
      <w:r>
        <w:rPr>
          <w:rFonts w:ascii="Georgia" w:hAnsi="Georgia"/>
          <w:sz w:val="26"/>
        </w:rPr>
        <w:t xml:space="preserve"> Judicial immunity, Eleventh Amendment immunity, and </w:t>
      </w:r>
      <w:r>
        <w:rPr>
          <w:rFonts w:ascii="Georgia" w:hAnsi="Georgia"/>
          <w:i/>
          <w:sz w:val="26"/>
        </w:rPr>
        <w:t>Monell</w:t>
      </w:r>
      <w:r>
        <w:rPr>
          <w:rFonts w:ascii="Georgia" w:hAnsi="Georgia"/>
          <w:sz w:val="26"/>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6"/>
        </w:rPr>
        <w:t>The unglamorous claims are the strong ones.</w:t>
      </w:r>
      <w:r>
        <w:rPr>
          <w:rFonts w:ascii="Georgia" w:hAnsi="Georgia"/>
          <w:sz w:val="26"/>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6"/>
        </w:rPr>
        <w:t>A right can be real and still be unenforceable.</w:t>
      </w:r>
      <w:r>
        <w:rPr>
          <w:rFonts w:ascii="Georgia" w:hAnsi="Georgia"/>
          <w:sz w:val="26"/>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6"/>
        </w:rPr>
        <w:t>Pro se litigants lose on procedure, not merits, and the system is largely indifferent to that.</w:t>
      </w:r>
      <w:r>
        <w:rPr>
          <w:rFonts w:ascii="Georgia" w:hAnsi="Georgia"/>
          <w:sz w:val="26"/>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CV2016-422(W)</w:t>
            </w:r>
          </w:p>
        </w:tc>
        <w:tc>
          <w:tcPr>
            <w:tcW w:type="dxa" w:w="2160"/>
          </w:tcPr>
          <w:p>
            <w:pPr>
              <w:ind w:firstLine="0"/>
            </w:pPr>
            <w:r>
              <w:rPr>
                <w:rFonts w:ascii="Georgia" w:hAnsi="Georgia"/>
                <w:sz w:val="23"/>
              </w:rPr>
              <w:t>Chancery</w:t>
            </w:r>
          </w:p>
        </w:tc>
        <w:tc>
          <w:tcPr>
            <w:tcW w:type="dxa" w:w="2160"/>
          </w:tcPr>
          <w:p>
            <w:pPr>
              <w:ind w:firstLine="0"/>
            </w:pPr>
            <w:r>
              <w:rPr>
                <w:rFonts w:ascii="Georgia" w:hAnsi="Georgia"/>
                <w:sz w:val="23"/>
              </w:rPr>
              <w:t xml:space="preserve">Paternity, custody and support. Joint complaint filed Aug 3, 2016; </w:t>
            </w:r>
            <w:r>
              <w:rPr>
                <w:rFonts w:ascii="Georgia" w:hAnsi="Georgia"/>
                <w:b/>
                <w:sz w:val="23"/>
              </w:rPr>
              <w:t>resolved by agreed order, never tried</w:t>
            </w:r>
          </w:p>
        </w:tc>
      </w:tr>
      <w:tr>
        <w:tc>
          <w:tcPr>
            <w:tcW w:type="dxa" w:w="2160"/>
          </w:tcPr>
          <w:p>
            <w:pPr>
              <w:ind w:firstLine="0"/>
            </w:pPr>
            <w:r>
              <w:rPr>
                <w:rFonts w:ascii="Georgia" w:hAnsi="Georgia"/>
                <w:sz w:val="23"/>
              </w:rPr>
              <w:t>CV2017-217A</w:t>
            </w:r>
          </w:p>
        </w:tc>
        <w:tc>
          <w:tcPr>
            <w:tcW w:type="dxa" w:w="2160"/>
          </w:tcPr>
          <w:p>
            <w:pPr>
              <w:ind w:firstLine="0"/>
            </w:pPr>
            <w:r>
              <w:rPr>
                <w:rFonts w:ascii="Georgia" w:hAnsi="Georgia"/>
                <w:sz w:val="23"/>
              </w:rPr>
              <w:t>Chancery</w:t>
            </w:r>
          </w:p>
        </w:tc>
        <w:tc>
          <w:tcPr>
            <w:tcW w:type="dxa" w:w="2160"/>
          </w:tcPr>
          <w:p>
            <w:pPr>
              <w:ind w:firstLine="0"/>
            </w:pPr>
            <w:r>
              <w:rPr>
                <w:rFonts w:ascii="Georgia" w:hAnsi="Georgia"/>
                <w:i/>
                <w:sz w:val="23"/>
              </w:rPr>
              <w:t>Robyn M. Tannehill and J. Rhea Tannehill Jr. v. Matthew Reardon</w:t>
            </w:r>
            <w:r>
              <w:rPr>
                <w:rFonts w:ascii="Georgia" w:hAnsi="Georgia"/>
                <w:sz w:val="23"/>
              </w:rPr>
              <w:t xml:space="preserve"> — TRO and permanent restraining order, filed and served May 22, 2017</w:t>
            </w:r>
          </w:p>
        </w:tc>
      </w:tr>
      <w:tr>
        <w:tc>
          <w:tcPr>
            <w:tcW w:type="dxa" w:w="2160"/>
          </w:tcPr>
          <w:p>
            <w:pPr>
              <w:ind w:firstLine="0"/>
            </w:pPr>
            <w:r>
              <w:rPr>
                <w:rFonts w:ascii="Georgia" w:hAnsi="Georgia"/>
                <w:sz w:val="23"/>
              </w:rPr>
              <w:t>LK17-295</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(the Lynch matter). Guilty plea 2017; amended time-served order Feb 21, 2018</w:t>
            </w:r>
          </w:p>
        </w:tc>
      </w:tr>
      <w:tr>
        <w:tc>
          <w:tcPr>
            <w:tcW w:type="dxa" w:w="2160"/>
          </w:tcPr>
          <w:p>
            <w:pPr>
              <w:ind w:firstLine="0"/>
            </w:pPr>
            <w:r>
              <w:rPr>
                <w:rFonts w:ascii="Georgia" w:hAnsi="Georgia"/>
                <w:sz w:val="23"/>
              </w:rPr>
              <w:t>L17-233</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Habeas corpus / bail reduction</w:t>
            </w:r>
            <w:r>
              <w:rPr>
                <w:rFonts w:ascii="Georgia" w:hAnsi="Georgia"/>
                <w:sz w:val="23"/>
              </w:rPr>
              <w:t xml:space="preserve">, filed June 8, 2017 by Kristian A. McCray, The Trout Law Firm. IFP granted June 7, 2017; dismissed stale Nov 30, 2018. </w:t>
            </w:r>
            <w:r>
              <w:rPr>
                <w:rFonts w:ascii="Georgia" w:hAnsi="Georgia"/>
                <w:i/>
                <w:sz w:val="23"/>
              </w:rPr>
              <w:t>A separate matter — not an alternate number for LK17-295</w:t>
            </w:r>
          </w:p>
        </w:tc>
      </w:tr>
      <w:tr>
        <w:tc>
          <w:tcPr>
            <w:tcW w:type="dxa" w:w="2160"/>
          </w:tcPr>
          <w:p>
            <w:pPr>
              <w:ind w:firstLine="0"/>
            </w:pPr>
            <w:r>
              <w:rPr>
                <w:rFonts w:ascii="Georgia" w:hAnsi="Georgia"/>
                <w:sz w:val="23"/>
              </w:rPr>
              <w:t>LK20-316</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Post-conviction relief</w:t>
            </w:r>
          </w:p>
        </w:tc>
      </w:tr>
      <w:tr>
        <w:tc>
          <w:tcPr>
            <w:tcW w:type="dxa" w:w="2160"/>
          </w:tcPr>
          <w:p>
            <w:pPr>
              <w:ind w:firstLine="0"/>
            </w:pPr>
            <w:r>
              <w:rPr>
                <w:rFonts w:ascii="Georgia" w:hAnsi="Georgia"/>
                <w:sz w:val="23"/>
              </w:rPr>
              <w:t>9291202</w:t>
            </w:r>
          </w:p>
        </w:tc>
        <w:tc>
          <w:tcPr>
            <w:tcW w:type="dxa" w:w="2160"/>
          </w:tcPr>
          <w:p>
            <w:pPr>
              <w:ind w:firstLine="0"/>
            </w:pPr>
            <w:r>
              <w:rPr>
                <w:rFonts w:ascii="Georgia" w:hAnsi="Georgia"/>
                <w:sz w:val="23"/>
              </w:rPr>
              <w:t>Justice Court</w:t>
            </w:r>
          </w:p>
        </w:tc>
        <w:tc>
          <w:tcPr>
            <w:tcW w:type="dxa" w:w="2160"/>
          </w:tcPr>
          <w:p>
            <w:pPr>
              <w:ind w:firstLine="0"/>
            </w:pPr>
            <w:r>
              <w:rPr>
                <w:rFonts w:ascii="Georgia" w:hAnsi="Georgia"/>
                <w:b/>
                <w:sz w:val="23"/>
              </w:rPr>
              <w:t>D.U.I. 1st Offense</w:t>
            </w:r>
            <w:r>
              <w:rPr>
                <w:rFonts w:ascii="Georgia" w:hAnsi="Georgia"/>
                <w:sz w:val="23"/>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3"/>
              </w:rPr>
              <w:t>21-cv-494</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De novo appeal of 9291202.</w:t>
            </w:r>
            <w:r>
              <w:rPr>
                <w:rFonts w:ascii="Georgia" w:hAnsi="Georgia"/>
                <w:sz w:val="23"/>
              </w:rPr>
              <w:t xml:space="preserve"> Initiated Dec 3, 2021; dismissed </w:t>
            </w:r>
            <w:r>
              <w:rPr>
                <w:rFonts w:ascii="Georgia" w:hAnsi="Georgia"/>
                <w:b/>
                <w:sz w:val="23"/>
              </w:rPr>
              <w:t>June 28, 2024</w:t>
            </w:r>
            <w:r>
              <w:rPr>
                <w:rFonts w:ascii="Georgia" w:hAnsi="Georgia"/>
                <w:sz w:val="23"/>
              </w:rPr>
              <w:t xml:space="preserve"> for "failing to timely perfect"</w:t>
            </w:r>
          </w:p>
        </w:tc>
      </w:tr>
      <w:tr>
        <w:tc>
          <w:tcPr>
            <w:tcW w:type="dxa" w:w="2160"/>
          </w:tcPr>
          <w:p>
            <w:pPr>
              <w:ind w:firstLine="0"/>
            </w:pPr>
            <w:r>
              <w:rPr>
                <w:rFonts w:ascii="Georgia" w:hAnsi="Georgia"/>
                <w:sz w:val="23"/>
              </w:rPr>
              <w:t>L24-388 (36CI1:24cv00388JKL)</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Post-conviction relief in LK22-358.</w:t>
            </w:r>
            <w:r>
              <w:rPr>
                <w:rFonts w:ascii="Georgia" w:hAnsi="Georgia"/>
                <w:sz w:val="23"/>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3"/>
              </w:rPr>
              <w:t>LK22-358</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LK2022-310MISC</w:t>
            </w:r>
          </w:p>
        </w:tc>
        <w:tc>
          <w:tcPr>
            <w:tcW w:type="dxa" w:w="2160"/>
          </w:tcPr>
          <w:p>
            <w:pPr>
              <w:ind w:firstLine="0"/>
            </w:pPr>
            <w:r>
              <w:rPr>
                <w:rFonts w:ascii="Georgia" w:hAnsi="Georgia"/>
                <w:sz w:val="23"/>
              </w:rPr>
              <w:t>Circuit, 3rd District (Holly Springs), Judge Kent E. Smith</w:t>
            </w:r>
          </w:p>
        </w:tc>
        <w:tc>
          <w:tcPr>
            <w:tcW w:type="dxa" w:w="2160"/>
          </w:tcPr>
          <w:p>
            <w:pPr>
              <w:ind w:firstLine="0"/>
            </w:pPr>
            <w:r>
              <w:rPr>
                <w:rFonts w:ascii="Georgia" w:hAnsi="Georgia"/>
                <w:sz w:val="23"/>
              </w:rPr>
              <w:t>Competency/commitment proceeding</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 / DeSoto County</w:t>
            </w:r>
          </w:p>
        </w:tc>
        <w:tc>
          <w:tcPr>
            <w:tcW w:type="dxa" w:w="2160"/>
          </w:tcPr>
          <w:p>
            <w:pPr>
              <w:ind w:firstLine="0"/>
            </w:pPr>
            <w:r>
              <w:rPr>
                <w:rFonts w:ascii="Georgia" w:hAnsi="Georgia"/>
                <w:i/>
                <w:sz w:val="23"/>
              </w:rPr>
              <w:t>State v. Crowder</w:t>
            </w:r>
            <w:r>
              <w:rPr>
                <w:rFonts w:ascii="Georgia" w:hAnsi="Georgia"/>
                <w:sz w:val="23"/>
              </w:rPr>
              <w:t xml:space="preserve"> — filing a false report of rape. </w:t>
            </w:r>
            <w:r>
              <w:rPr>
                <w:rFonts w:ascii="Georgia" w:hAnsi="Georgia"/>
                <w:b/>
                <w:sz w:val="23"/>
              </w:rPr>
              <w:t>No contest plea</w:t>
            </w:r>
            <w:r>
              <w:rPr>
                <w:rFonts w:ascii="Georgia" w:hAnsi="Georgia"/>
                <w:sz w:val="23"/>
              </w:rPr>
              <w:t>, Sept 2020; $1,200 fine, 30 days, jail waived on payment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w:t>
            </w:r>
          </w:p>
        </w:tc>
        <w:tc>
          <w:tcPr>
            <w:tcW w:type="dxa" w:w="2160"/>
          </w:tcPr>
          <w:p>
            <w:pPr>
              <w:ind w:firstLine="0"/>
            </w:pPr>
            <w:r>
              <w:rPr>
                <w:rFonts w:ascii="Georgia" w:hAnsi="Georgia"/>
                <w:sz w:val="23"/>
              </w:rPr>
              <w:t xml:space="preserve">Contempt of court, late Oct 2020. </w:t>
            </w:r>
            <w:r>
              <w:rPr>
                <w:rFonts w:ascii="Georgia" w:hAnsi="Georgia"/>
                <w:b/>
                <w:sz w:val="23"/>
              </w:rPr>
              <w:t>Dismissed outright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Miss. Ct. App.</w:t>
            </w:r>
          </w:p>
        </w:tc>
        <w:tc>
          <w:tcPr>
            <w:tcW w:type="dxa" w:w="2160"/>
          </w:tcPr>
          <w:p>
            <w:pPr>
              <w:ind w:firstLine="0"/>
            </w:pPr>
            <w:r>
              <w:rPr>
                <w:rFonts w:ascii="Georgia" w:hAnsi="Georgia"/>
                <w:i/>
                <w:sz w:val="23"/>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3:22-cv-00050-SA-JMV</w:t>
            </w:r>
          </w:p>
        </w:tc>
        <w:tc>
          <w:tcPr>
            <w:tcW w:type="dxa" w:w="2160"/>
          </w:tcPr>
          <w:p>
            <w:pPr>
              <w:ind w:firstLine="0"/>
            </w:pPr>
            <w:r>
              <w:rPr>
                <w:rFonts w:ascii="Georgia" w:hAnsi="Georgia"/>
                <w:sz w:val="23"/>
              </w:rPr>
              <w:t>N.D. Miss.</w:t>
            </w:r>
          </w:p>
        </w:tc>
        <w:tc>
          <w:tcPr>
            <w:tcW w:type="dxa" w:w="2160"/>
          </w:tcPr>
          <w:p>
            <w:pPr>
              <w:ind w:firstLine="0"/>
            </w:pPr>
            <w:r>
              <w:rPr>
                <w:rFonts w:ascii="Georgia" w:hAnsi="Georgia"/>
                <w:sz w:val="23"/>
              </w:rPr>
              <w:t xml:space="preserve">Civil rights. </w:t>
            </w:r>
            <w:r>
              <w:rPr>
                <w:rFonts w:ascii="Georgia" w:hAnsi="Georgia"/>
                <w:b/>
                <w:sz w:val="23"/>
              </w:rPr>
              <w:t>Doc #74, filed 03/20/23 — the 48-page handwritten "Plaintiff's More Definitive Statement," a principal source for Parts I–II</w:t>
            </w:r>
          </w:p>
        </w:tc>
      </w:tr>
      <w:tr>
        <w:tc>
          <w:tcPr>
            <w:tcW w:type="dxa" w:w="2160"/>
          </w:tcPr>
          <w:p>
            <w:pPr>
              <w:ind w:firstLine="0"/>
            </w:pPr>
            <w:r>
              <w:rPr>
                <w:rFonts w:ascii="Georgia" w:hAnsi="Georgia"/>
                <w:sz w:val="23"/>
              </w:rPr>
              <w:t>3:25-cv-00203</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Osteen</w:t>
            </w:r>
            <w:r>
              <w:rPr>
                <w:rFonts w:ascii="Georgia" w:hAnsi="Georgia"/>
                <w:sz w:val="23"/>
              </w:rPr>
              <w:t>. M&amp;R July 14, 2026 (Dkt 90); order adopting and final judgment Aug 10, 2026 (Dkt 93, 94)</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D. Utah</w:t>
            </w:r>
          </w:p>
        </w:tc>
        <w:tc>
          <w:tcPr>
            <w:tcW w:type="dxa" w:w="2160"/>
          </w:tcPr>
          <w:p>
            <w:pPr>
              <w:ind w:firstLine="0"/>
            </w:pPr>
            <w:r>
              <w:rPr>
                <w:rFonts w:ascii="Georgia" w:hAnsi="Georgia"/>
                <w:i/>
                <w:sz w:val="23"/>
              </w:rPr>
              <w:t>Reardon v. Layton</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State of Mississippi; City of Olive Branch</w:t>
            </w:r>
            <w:r>
              <w:rPr>
                <w:rFonts w:ascii="Georgia" w:hAnsi="Georgia"/>
                <w:sz w:val="23"/>
              </w:rPr>
              <w:t xml:space="preserve"> (2020) — dismissed, failure to state a claim</w:t>
            </w:r>
          </w:p>
        </w:tc>
      </w:tr>
      <w:tr>
        <w:tc>
          <w:tcPr>
            <w:tcW w:type="dxa" w:w="2160"/>
          </w:tcPr>
          <w:p>
            <w:pPr>
              <w:ind w:firstLine="0"/>
            </w:pPr>
            <w:r>
              <w:rPr>
                <w:rFonts w:ascii="Georgia" w:hAnsi="Georgia"/>
                <w:sz w:val="23"/>
              </w:rPr>
              <w:t>6:25-cr-00227</w:t>
            </w:r>
          </w:p>
        </w:tc>
        <w:tc>
          <w:tcPr>
            <w:tcW w:type="dxa" w:w="2160"/>
          </w:tcPr>
          <w:p>
            <w:pPr>
              <w:ind w:firstLine="0"/>
            </w:pPr>
            <w:r>
              <w:rPr>
                <w:rFonts w:ascii="Georgia" w:hAnsi="Georgia"/>
                <w:sz w:val="23"/>
              </w:rPr>
              <w:t>W.D. La., Lafayette Div.</w:t>
            </w:r>
          </w:p>
        </w:tc>
        <w:tc>
          <w:tcPr>
            <w:tcW w:type="dxa" w:w="2160"/>
          </w:tcPr>
          <w:p>
            <w:pPr>
              <w:ind w:firstLine="0"/>
            </w:pPr>
            <w:r>
              <w:rPr>
                <w:rFonts w:ascii="Georgia" w:hAnsi="Georgia"/>
                <w:i/>
                <w:sz w:val="23"/>
              </w:rPr>
              <w:t>United States v. Reardon</w:t>
            </w:r>
            <w:r>
              <w:rPr>
                <w:rFonts w:ascii="Georgia" w:hAnsi="Georgia"/>
                <w:sz w:val="23"/>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23-CR-2981</w:t>
            </w:r>
          </w:p>
        </w:tc>
        <w:tc>
          <w:tcPr>
            <w:tcW w:type="dxa" w:w="2160"/>
          </w:tcPr>
          <w:p>
            <w:pPr>
              <w:ind w:firstLine="0"/>
            </w:pPr>
            <w:r>
              <w:rPr>
                <w:rFonts w:ascii="Georgia" w:hAnsi="Georgia"/>
                <w:sz w:val="23"/>
              </w:rPr>
              <w:t>56th District Court, Galveston County</w:t>
            </w:r>
          </w:p>
        </w:tc>
        <w:tc>
          <w:tcPr>
            <w:tcW w:type="dxa" w:w="2160"/>
          </w:tcPr>
          <w:p>
            <w:pPr>
              <w:ind w:firstLine="0"/>
            </w:pPr>
            <w:r>
              <w:rPr>
                <w:rFonts w:ascii="Georgia" w:hAnsi="Georgia"/>
                <w:i/>
                <w:sz w:val="23"/>
              </w:rPr>
              <w:t>State of Texas v. Matthew O. Reardon.</w:t>
            </w:r>
            <w:r>
              <w:rPr>
                <w:rFonts w:ascii="Georgia" w:hAnsi="Georgia"/>
                <w:sz w:val="23"/>
              </w:rPr>
              <w:t xml:space="preserve"> Indicted Dec 7, 2023 for </w:t>
            </w:r>
            <w:r>
              <w:rPr>
                <w:rFonts w:ascii="Georgia" w:hAnsi="Georgia"/>
                <w:b/>
                <w:sz w:val="23"/>
              </w:rPr>
              <w:t>"driving while intoxicated 3rd or more"</w:t>
            </w:r>
            <w:r>
              <w:rPr>
                <w:rFonts w:ascii="Georgia" w:hAnsi="Georgia"/>
                <w:sz w:val="23"/>
              </w:rPr>
              <w:t xml:space="preserve">, offense date </w:t>
            </w:r>
            <w:r>
              <w:rPr>
                <w:rFonts w:ascii="Georgia" w:hAnsi="Georgia"/>
                <w:b/>
                <w:sz w:val="23"/>
              </w:rPr>
              <w:t>Aug 11, 2023</w:t>
            </w:r>
            <w:r>
              <w:rPr>
                <w:rFonts w:ascii="Georgia" w:hAnsi="Georgia"/>
                <w:sz w:val="23"/>
              </w:rPr>
              <w:t xml:space="preserve">, on two alleged priors. </w:t>
            </w:r>
            <w:r>
              <w:rPr>
                <w:rFonts w:ascii="Georgia" w:hAnsi="Georgia"/>
                <w:b/>
                <w:sz w:val="23"/>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13T15752</w:t>
            </w:r>
          </w:p>
        </w:tc>
        <w:tc>
          <w:tcPr>
            <w:tcW w:type="dxa" w:w="2160"/>
          </w:tcPr>
          <w:p>
            <w:pPr>
              <w:ind w:firstLine="0"/>
            </w:pPr>
            <w:r>
              <w:rPr>
                <w:rFonts w:ascii="Georgia" w:hAnsi="Georgia"/>
                <w:sz w:val="23"/>
              </w:rPr>
              <w:t>Cobb County State Court</w:t>
            </w:r>
          </w:p>
        </w:tc>
        <w:tc>
          <w:tcPr>
            <w:tcW w:type="dxa" w:w="2160"/>
          </w:tcPr>
          <w:p>
            <w:pPr>
              <w:ind w:firstLine="0"/>
            </w:pPr>
            <w:r>
              <w:rPr>
                <w:rFonts w:ascii="Georgia" w:hAnsi="Georgia"/>
                <w:sz w:val="23"/>
              </w:rPr>
              <w:t xml:space="preserve">DUI. Offense </w:t>
            </w:r>
            <w:r>
              <w:rPr>
                <w:rFonts w:ascii="Georgia" w:hAnsi="Georgia"/>
                <w:b/>
                <w:sz w:val="23"/>
              </w:rPr>
              <w:t>Dec 25, 2012</w:t>
            </w:r>
            <w:r>
              <w:rPr>
                <w:rFonts w:ascii="Georgia" w:hAnsi="Georgia"/>
                <w:sz w:val="23"/>
              </w:rPr>
              <w:t xml:space="preserve">; convicted </w:t>
            </w:r>
            <w:r>
              <w:rPr>
                <w:rFonts w:ascii="Georgia" w:hAnsi="Georgia"/>
                <w:b/>
                <w:sz w:val="23"/>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6"/>
        </w:rPr>
        <w:t>Deputy Timmy Pruitt</w:t>
      </w:r>
      <w:r>
        <w:rPr>
          <w:rFonts w:ascii="Georgia" w:hAnsi="Georgia"/>
          <w:sz w:val="26"/>
        </w:rPr>
        <w:t xml:space="preserve"> — Lafayette County SD. The May 1, 2017 arrest (Ch. 2).</w:t>
      </w:r>
    </w:p>
    <w:p>
      <w:pPr>
        <w:pStyle w:val="ListBullet"/>
        <w:ind w:firstLine="0"/>
      </w:pPr>
      <w:r>
        <w:rPr>
          <w:rFonts w:ascii="Georgia" w:hAnsi="Georgia"/>
          <w:b/>
          <w:sz w:val="26"/>
        </w:rPr>
        <w:t>Chief Deputy Scott Mills, Major Alan Wilburn, Lt. Jarrett Bundren</w:t>
      </w:r>
      <w:r>
        <w:rPr>
          <w:rFonts w:ascii="Georgia" w:hAnsi="Georgia"/>
          <w:sz w:val="26"/>
        </w:rPr>
        <w:t xml:space="preserve"> — Lafayette County SD; </w:t>
      </w:r>
      <w:r>
        <w:rPr>
          <w:rFonts w:ascii="Georgia" w:hAnsi="Georgia"/>
          <w:b/>
          <w:sz w:val="26"/>
        </w:rPr>
        <w:t>Joey East</w:t>
      </w:r>
      <w:r>
        <w:rPr>
          <w:rFonts w:ascii="Georgia" w:hAnsi="Georgia"/>
          <w:sz w:val="26"/>
        </w:rPr>
        <w:t>, then Oxford police chief, later Sheriff. The four officers at the May 26, 2017 arrest.</w:t>
      </w:r>
    </w:p>
    <w:p>
      <w:pPr>
        <w:pStyle w:val="ListBullet"/>
        <w:ind w:firstLine="0"/>
      </w:pPr>
      <w:r>
        <w:rPr>
          <w:rFonts w:ascii="Georgia" w:hAnsi="Georgia"/>
          <w:b/>
          <w:sz w:val="26"/>
        </w:rPr>
        <w:t>Deputy Courtney Dixon, Deputy Ethan Tidwell</w:t>
      </w:r>
      <w:r>
        <w:rPr>
          <w:rFonts w:ascii="Georgia" w:hAnsi="Georgia"/>
          <w:sz w:val="26"/>
        </w:rPr>
        <w:t xml:space="preserve"> — the December 28, 2020 parking-lot arrest. </w:t>
      </w:r>
      <w:r>
        <w:rPr>
          <w:rFonts w:ascii="Georgia" w:hAnsi="Georgia"/>
          <w:b/>
          <w:sz w:val="26"/>
        </w:rPr>
        <w:t>Lt. Omar Ahmed</w:t>
      </w:r>
      <w:r>
        <w:rPr>
          <w:rFonts w:ascii="Georgia" w:hAnsi="Georgia"/>
          <w:sz w:val="26"/>
        </w:rPr>
        <w:t xml:space="preserve"> present.</w:t>
      </w:r>
    </w:p>
    <w:p>
      <w:pPr>
        <w:pStyle w:val="ListBullet"/>
        <w:ind w:firstLine="0"/>
      </w:pPr>
      <w:r>
        <w:rPr>
          <w:rFonts w:ascii="Georgia" w:hAnsi="Georgia"/>
          <w:b/>
          <w:sz w:val="26"/>
        </w:rPr>
        <w:t>Deputy Jake Williford, Deputy Kandis Beavers</w:t>
      </w:r>
      <w:r>
        <w:rPr>
          <w:rFonts w:ascii="Georgia" w:hAnsi="Georgia"/>
          <w:sz w:val="26"/>
        </w:rPr>
        <w:t xml:space="preserve"> — the February 20, 2021 traffic stop and field sobriety test.</w:t>
      </w:r>
    </w:p>
    <w:p>
      <w:pPr>
        <w:pStyle w:val="ListBullet"/>
        <w:ind w:firstLine="0"/>
      </w:pPr>
      <w:r>
        <w:rPr>
          <w:rFonts w:ascii="Georgia" w:hAnsi="Georgia"/>
          <w:b/>
          <w:sz w:val="26"/>
        </w:rPr>
        <w:t>Officer William Osteen</w:t>
      </w:r>
      <w:r>
        <w:rPr>
          <w:rFonts w:ascii="Georgia" w:hAnsi="Georgia"/>
          <w:sz w:val="26"/>
        </w:rPr>
        <w:t xml:space="preserve"> (I spell it </w:t>
      </w:r>
      <w:r>
        <w:rPr>
          <w:rFonts w:ascii="Georgia" w:hAnsi="Georgia"/>
          <w:i/>
          <w:sz w:val="26"/>
        </w:rPr>
        <w:t>Olsteen</w:t>
      </w:r>
      <w:r>
        <w:rPr>
          <w:rFonts w:ascii="Georgia" w:hAnsi="Georgia"/>
          <w:sz w:val="26"/>
        </w:rPr>
        <w:t xml:space="preserve"> throughout my own sworn affidavit; the record spells it </w:t>
      </w:r>
      <w:r>
        <w:rPr>
          <w:rFonts w:ascii="Georgia" w:hAnsi="Georgia"/>
          <w:b/>
          <w:sz w:val="26"/>
        </w:rPr>
        <w:t>Osteen</w:t>
      </w:r>
      <w:r>
        <w:rPr>
          <w:rFonts w:ascii="Georgia" w:hAnsi="Georgia"/>
          <w:sz w:val="26"/>
        </w:rPr>
        <w:t xml:space="preserve">), </w:t>
      </w:r>
      <w:r>
        <w:rPr>
          <w:rFonts w:ascii="Georgia" w:hAnsi="Georgia"/>
          <w:b/>
          <w:sz w:val="26"/>
        </w:rPr>
        <w:t>Sgt. Dougherty</w:t>
      </w:r>
      <w:r>
        <w:rPr>
          <w:rFonts w:ascii="Georgia" w:hAnsi="Georgia"/>
          <w:sz w:val="26"/>
        </w:rPr>
        <w:t xml:space="preserve"> — Galveston PD, August 2023. Osteen was the assisting, not the stopping, officer.</w:t>
      </w:r>
    </w:p>
    <w:p>
      <w:pPr>
        <w:pStyle w:val="ListBullet"/>
        <w:ind w:firstLine="0"/>
      </w:pPr>
      <w:r>
        <w:rPr>
          <w:rFonts w:ascii="Georgia" w:hAnsi="Georgia"/>
          <w:b/>
          <w:sz w:val="26"/>
        </w:rPr>
        <w:t>Deputy U.S. Marshal Hayden Nugent</w:t>
      </w:r>
      <w:r>
        <w:rPr>
          <w:rFonts w:ascii="Georgia" w:hAnsi="Georgia"/>
          <w:sz w:val="26"/>
        </w:rPr>
        <w:t xml:space="preserve"> — the August 25, 2025 arrest. </w:t>
      </w:r>
      <w:r>
        <w:rPr>
          <w:rFonts w:ascii="Georgia" w:hAnsi="Georgia"/>
          <w:b/>
          <w:sz w:val="26"/>
        </w:rPr>
        <w:t>Supervisory Deputy U.S. Marshal William Donald</w:t>
      </w:r>
      <w:r>
        <w:rPr>
          <w:rFonts w:ascii="Georgia" w:hAnsi="Georgia"/>
          <w:sz w:val="26"/>
        </w:rPr>
        <w:t xml:space="preserve">, Oxford / N.D. Miss. — name and title confirmed by the Marshals Service; </w:t>
      </w:r>
      <w:r>
        <w:rPr>
          <w:rFonts w:ascii="Georgia" w:hAnsi="Georgia"/>
          <w:i/>
          <w:sz w:val="26"/>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6"/>
        </w:rPr>
        <w:t>Plaintiff's More Definitive Statement</w:t>
      </w:r>
      <w:r>
        <w:rPr>
          <w:rFonts w:ascii="Georgia" w:hAnsi="Georgia"/>
          <w:sz w:val="26"/>
        </w:rPr>
        <w:t>, 3:22-cv-00050, Doc #74, 48 pp. handwritten, filed March 20, 2023.</w:t>
      </w:r>
    </w:p>
    <w:p>
      <w:pPr>
        <w:pStyle w:val="ListBullet"/>
        <w:ind w:firstLine="0"/>
      </w:pPr>
      <w:r>
        <w:rPr>
          <w:rFonts w:ascii="Georgia" w:hAnsi="Georgia"/>
          <w:i/>
          <w:sz w:val="26"/>
        </w:rPr>
        <w:t>Defendant's Sworn Affidavit</w:t>
      </w:r>
      <w:r>
        <w:rPr>
          <w:rFonts w:ascii="Georgia" w:hAnsi="Georgia"/>
          <w:sz w:val="26"/>
        </w:rPr>
        <w:t>, 23-CR-2981, 5 pp., 25 paragraphs, notarized — sworn under penalty of perjury.</w:t>
      </w:r>
    </w:p>
    <w:p>
      <w:pPr>
        <w:pStyle w:val="ListBullet"/>
        <w:ind w:firstLine="0"/>
      </w:pPr>
      <w:r>
        <w:rPr>
          <w:rFonts w:ascii="Georgia" w:hAnsi="Georgia"/>
          <w:sz w:val="26"/>
        </w:rPr>
        <w:t xml:space="preserve">Objections to the magistrate's report and recommendation, </w:t>
      </w:r>
      <w:r>
        <w:rPr>
          <w:rFonts w:ascii="Georgia" w:hAnsi="Georgia"/>
          <w:i/>
          <w:sz w:val="26"/>
        </w:rPr>
        <w:t>Reardon v. Osteen</w:t>
      </w:r>
      <w:r>
        <w:rPr>
          <w:rFonts w:ascii="Georgia" w:hAnsi="Georgia"/>
          <w:sz w:val="26"/>
        </w:rPr>
        <w:t>.</w:t>
      </w:r>
    </w:p>
    <w:p>
      <w:pPr>
        <w:spacing w:before="240"/>
        <w:ind w:firstLine="0"/>
      </w:pPr>
      <w:r>
        <w:rPr>
          <w:b/>
        </w:rPr>
        <w:t>Filed against me</w:t>
      </w:r>
    </w:p>
    <w:p>
      <w:pPr>
        <w:pStyle w:val="ListBullet"/>
        <w:ind w:firstLine="0"/>
      </w:pPr>
      <w:r>
        <w:rPr>
          <w:rFonts w:ascii="Georgia" w:hAnsi="Georgia"/>
          <w:sz w:val="26"/>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6"/>
        </w:rPr>
        <w:t>Exhibit I's most violent language was written by two third parties, not by me</w:t>
      </w:r>
      <w:r>
        <w:rPr>
          <w:rFonts w:ascii="Georgia" w:hAnsi="Georgia"/>
          <w:sz w:val="26"/>
        </w:rPr>
        <w:t>).</w:t>
      </w:r>
    </w:p>
    <w:p>
      <w:pPr>
        <w:pStyle w:val="ListBullet"/>
        <w:ind w:firstLine="0"/>
      </w:pPr>
      <w:r>
        <w:rPr>
          <w:rFonts w:ascii="Georgia" w:hAnsi="Georgia"/>
          <w:sz w:val="26"/>
        </w:rPr>
        <w:t>Grand jury indictment, LK22-358; motion to revoke probation, Nov 1, 2022; bench warrant, Aug 17, 2023.</w:t>
      </w:r>
    </w:p>
    <w:p>
      <w:pPr>
        <w:pStyle w:val="ListBullet"/>
        <w:ind w:firstLine="0"/>
      </w:pPr>
      <w:r>
        <w:rPr>
          <w:rFonts w:ascii="Georgia" w:hAnsi="Georgia"/>
          <w:sz w:val="26"/>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6"/>
        </w:rPr>
        <w:t>City of Oxford Minute Book 73 — June 6 and July 5, 2017 meetings.</w:t>
      </w:r>
    </w:p>
    <w:p>
      <w:pPr>
        <w:pStyle w:val="ListBullet"/>
        <w:ind w:firstLine="0"/>
      </w:pPr>
      <w:r>
        <w:rPr>
          <w:rFonts w:ascii="Georgia" w:hAnsi="Georgia"/>
          <w:sz w:val="26"/>
        </w:rPr>
        <w:t>Order of recusal, Judge David Garrison, Aug 11, 2021.</w:t>
      </w:r>
    </w:p>
    <w:p>
      <w:pPr>
        <w:pStyle w:val="ListBullet"/>
        <w:ind w:firstLine="0"/>
      </w:pPr>
      <w:r>
        <w:rPr>
          <w:rFonts w:ascii="Georgia" w:hAnsi="Georgia"/>
          <w:sz w:val="26"/>
        </w:rPr>
        <w:t>Order of dismissal–stale case, L17-233, Nov 30, 2018.</w:t>
      </w:r>
    </w:p>
    <w:p>
      <w:pPr>
        <w:pStyle w:val="ListBullet"/>
        <w:ind w:firstLine="0"/>
      </w:pPr>
      <w:r>
        <w:rPr>
          <w:rFonts w:ascii="Georgia" w:hAnsi="Georgia"/>
          <w:sz w:val="26"/>
        </w:rPr>
        <w:t xml:space="preserve">Memorandum opinion and recommendation (Dkt 90), order adopting (Dkt 93), final judgment (Dkt 94), </w:t>
      </w:r>
      <w:r>
        <w:rPr>
          <w:rFonts w:ascii="Georgia" w:hAnsi="Georgia"/>
          <w:i/>
          <w:sz w:val="26"/>
        </w:rPr>
        <w:t>Reardon v. Osteen</w:t>
      </w:r>
      <w:r>
        <w:rPr>
          <w:rFonts w:ascii="Georgia" w:hAnsi="Georgia"/>
          <w:sz w:val="26"/>
        </w:rPr>
        <w:t>.</w:t>
      </w:r>
    </w:p>
    <w:p>
      <w:pPr>
        <w:pStyle w:val="ListBullet"/>
        <w:ind w:firstLine="0"/>
      </w:pPr>
      <w:r>
        <w:rPr>
          <w:rFonts w:ascii="Georgia" w:hAnsi="Georgia"/>
          <w:sz w:val="26"/>
        </w:rPr>
        <w:t xml:space="preserve">Grand jury indictment, 23-CR-2981, filed Dec 7, 2023; </w:t>
      </w:r>
      <w:r>
        <w:rPr>
          <w:rFonts w:ascii="Georgia" w:hAnsi="Georgia"/>
          <w:b/>
          <w:sz w:val="26"/>
        </w:rPr>
        <w:t>Order of Dismissal of the felony DUI, May 24, 2024</w:t>
      </w:r>
      <w:r>
        <w:rPr>
          <w:rFonts w:ascii="Georgia" w:hAnsi="Georgia"/>
          <w:sz w:val="26"/>
        </w:rPr>
        <w:t>.</w:t>
      </w:r>
    </w:p>
    <w:p>
      <w:pPr>
        <w:pStyle w:val="ListBullet"/>
        <w:ind w:firstLine="0"/>
      </w:pPr>
      <w:r>
        <w:rPr>
          <w:rFonts w:ascii="Georgia" w:hAnsi="Georgia"/>
          <w:sz w:val="26"/>
        </w:rPr>
        <w:t>Order &amp; Judgment granting post-conviction relief, L24-388, Jan 21, 2025.</w:t>
      </w:r>
    </w:p>
    <w:p>
      <w:pPr>
        <w:pStyle w:val="ListBullet"/>
        <w:ind w:firstLine="0"/>
      </w:pPr>
      <w:r>
        <w:rPr>
          <w:rFonts w:ascii="Georgia" w:hAnsi="Georgia"/>
          <w:sz w:val="26"/>
        </w:rPr>
        <w:t xml:space="preserve">Texas DPS Houston Crime Laboratory report </w:t>
      </w:r>
      <w:r>
        <w:rPr>
          <w:rFonts w:ascii="Georgia" w:hAnsi="Georgia"/>
          <w:b/>
          <w:sz w:val="26"/>
        </w:rPr>
        <w:t>HOU-2308-10286</w:t>
      </w:r>
      <w:r>
        <w:rPr>
          <w:rFonts w:ascii="Georgia" w:hAnsi="Georgia"/>
          <w:sz w:val="26"/>
        </w:rPr>
        <w:t xml:space="preserve">, Sept 6, 2023 — </w:t>
      </w:r>
      <w:r>
        <w:rPr>
          <w:rFonts w:ascii="Georgia" w:hAnsi="Georgia"/>
          <w:b/>
          <w:sz w:val="26"/>
        </w:rPr>
        <w:t>"No alcohol detected."</w:t>
      </w:r>
    </w:p>
    <w:p>
      <w:pPr>
        <w:pStyle w:val="ListBullet"/>
        <w:ind w:firstLine="0"/>
      </w:pPr>
      <w:r>
        <w:rPr>
          <w:rFonts w:ascii="Georgia" w:hAnsi="Georgia"/>
          <w:sz w:val="26"/>
        </w:rPr>
        <w:t xml:space="preserve">Certified transcript, second revocation hearing, </w:t>
      </w:r>
      <w:r>
        <w:rPr>
          <w:rFonts w:ascii="Georgia" w:hAnsi="Georgia"/>
          <w:b/>
          <w:sz w:val="26"/>
        </w:rPr>
        <w:t>July 18, 2024</w:t>
      </w:r>
      <w:r>
        <w:rPr>
          <w:rFonts w:ascii="Georgia" w:hAnsi="Georgia"/>
          <w:sz w:val="26"/>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6"/>
        </w:rPr>
        <w:t>The May 2017 charging affidavit (LK17-295).</w:t>
      </w:r>
      <w:r>
        <w:rPr>
          <w:rFonts w:ascii="Georgia" w:hAnsi="Georgia"/>
          <w:sz w:val="26"/>
        </w:rPr>
        <w:t xml:space="preserve"> The "on or before May 8, 2017" date — which precedes both my purchase of the rifle and my quarrel with the Lynches — rests on my recollection alone. </w:t>
      </w:r>
      <w:r>
        <w:rPr>
          <w:rFonts w:ascii="Georgia" w:hAnsi="Georgia"/>
          <w:b/>
          <w:sz w:val="26"/>
        </w:rPr>
        <w:t>The date-collision argument is not proved in these pages.</w:t>
      </w:r>
    </w:p>
    <w:p>
      <w:pPr>
        <w:pStyle w:val="ListNumber"/>
        <w:ind w:firstLine="0"/>
      </w:pPr>
      <w:r>
        <w:rPr>
          <w:rFonts w:ascii="Georgia" w:hAnsi="Georgia"/>
          <w:b/>
          <w:sz w:val="26"/>
        </w:rPr>
        <w:t>The signed covenant not to sue, and the LK17-295 plea petition.</w:t>
      </w:r>
      <w:r>
        <w:rPr>
          <w:rFonts w:ascii="Georgia" w:hAnsi="Georgia"/>
          <w:sz w:val="26"/>
        </w:rPr>
        <w:t xml:space="preserve"> The term is described from memory; the instrument has never been produced.</w:t>
      </w:r>
    </w:p>
    <w:p>
      <w:pPr>
        <w:pStyle w:val="ListNumber"/>
        <w:ind w:firstLine="0"/>
      </w:pPr>
      <w:r>
        <w:rPr>
          <w:rFonts w:ascii="Georgia" w:hAnsi="Georgia"/>
          <w:b/>
          <w:sz w:val="26"/>
        </w:rPr>
        <w:t>The Texas DPS licence-suspension letter</w:t>
      </w:r>
      <w:r>
        <w:rPr>
          <w:rFonts w:ascii="Georgia" w:hAnsi="Georgia"/>
          <w:sz w:val="26"/>
        </w:rPr>
        <w:t xml:space="preserve"> stating I refused to provide a sample. Against a blood sample drawn under a warrant, this proves itself on paper — and it is not here.</w:t>
      </w:r>
    </w:p>
    <w:p>
      <w:pPr>
        <w:pStyle w:val="ListNumber"/>
        <w:ind w:firstLine="0"/>
      </w:pPr>
      <w:r>
        <w:rPr>
          <w:rFonts w:ascii="Georgia" w:hAnsi="Georgia"/>
          <w:b/>
          <w:sz w:val="26"/>
        </w:rPr>
        <w:t>The blood-draw warrant.</w:t>
      </w:r>
      <w:r>
        <w:rPr>
          <w:rFonts w:ascii="Georgia" w:hAnsi="Georgia"/>
          <w:sz w:val="26"/>
        </w:rPr>
        <w:t xml:space="preserve"> Officer Osteen testified under oath in July 2024 that he obtained one, signed by a judge. I was never shown it, and </w:t>
      </w:r>
      <w:r>
        <w:rPr>
          <w:rFonts w:ascii="Georgia" w:hAnsi="Georgia"/>
          <w:b/>
          <w:sz w:val="26"/>
        </w:rPr>
        <w:t>the instrument itself has still never been produced.</w:t>
      </w:r>
    </w:p>
    <w:p>
      <w:pPr>
        <w:pStyle w:val="ListNumber"/>
        <w:ind w:firstLine="0"/>
      </w:pPr>
      <w:r>
        <w:rPr>
          <w:rFonts w:ascii="Georgia" w:hAnsi="Georgia"/>
          <w:b/>
          <w:sz w:val="26"/>
        </w:rPr>
        <w:t>The recorded call</w:t>
      </w:r>
      <w:r>
        <w:rPr>
          <w:rFonts w:ascii="Georgia" w:hAnsi="Georgia"/>
          <w:sz w:val="26"/>
        </w:rPr>
        <w:t xml:space="preserve"> in which Crowder is said to admit the false report was a joint effort.</w:t>
      </w:r>
    </w:p>
    <w:p>
      <w:pPr>
        <w:pStyle w:val="ListNumber"/>
        <w:ind w:firstLine="0"/>
      </w:pPr>
      <w:r>
        <w:rPr>
          <w:rFonts w:ascii="Georgia" w:hAnsi="Georgia"/>
          <w:b/>
          <w:sz w:val="26"/>
        </w:rPr>
        <w:t>The Lafayette County records production</w:t>
      </w:r>
      <w:r>
        <w:rPr>
          <w:rFonts w:ascii="Georgia" w:hAnsi="Georgia"/>
          <w:sz w:val="26"/>
        </w:rPr>
        <w:t xml:space="preserve"> listing roughly fifteen reports filed by Crowder over four years.</w:t>
      </w:r>
    </w:p>
    <w:p>
      <w:pPr>
        <w:pStyle w:val="ListNumber"/>
        <w:ind w:firstLine="0"/>
      </w:pPr>
      <w:r>
        <w:rPr>
          <w:rFonts w:ascii="Georgia" w:hAnsi="Georgia"/>
          <w:b/>
          <w:sz w:val="26"/>
        </w:rPr>
        <w:t>The second security camera</w:t>
      </w:r>
      <w:r>
        <w:rPr>
          <w:rFonts w:ascii="Georgia" w:hAnsi="Georgia"/>
          <w:sz w:val="26"/>
        </w:rPr>
        <w:t xml:space="preserve"> from December 28, 2020; the sallyport and dashcam video from February 20, 2021.</w:t>
      </w:r>
    </w:p>
    <w:p>
      <w:pPr>
        <w:pStyle w:val="ListNumber"/>
        <w:ind w:firstLine="0"/>
      </w:pPr>
      <w:r>
        <w:rPr>
          <w:rFonts w:ascii="Georgia" w:hAnsi="Georgia"/>
          <w:b/>
          <w:sz w:val="26"/>
        </w:rPr>
        <w:t>Deputy John Hill's incident report</w:t>
      </w:r>
      <w:r>
        <w:rPr>
          <w:rFonts w:ascii="Georgia" w:hAnsi="Georgia"/>
          <w:sz w:val="26"/>
        </w:rPr>
        <w:t>, May 30, 2017.</w:t>
      </w:r>
    </w:p>
    <w:p>
      <w:pPr>
        <w:pStyle w:val="ListNumber"/>
        <w:ind w:firstLine="0"/>
      </w:pPr>
      <w:r>
        <w:rPr>
          <w:rFonts w:ascii="Georgia" w:hAnsi="Georgia"/>
          <w:b/>
          <w:sz w:val="26"/>
        </w:rPr>
        <w:t>The Oxford municipal record</w:t>
      </w:r>
      <w:r>
        <w:rPr>
          <w:rFonts w:ascii="Georgia" w:hAnsi="Georgia"/>
          <w:sz w:val="26"/>
        </w:rPr>
        <w:t xml:space="preserve"> for the flag-removal measure. That Mayor Tannehill authored it is my account, twice given, and not yet a document.</w:t>
      </w:r>
    </w:p>
    <w:p>
      <w:pPr>
        <w:pStyle w:val="ListNumber"/>
        <w:ind w:firstLine="0"/>
      </w:pPr>
      <w:r>
        <w:rPr>
          <w:rFonts w:ascii="Georgia" w:hAnsi="Georgia"/>
          <w:b/>
          <w:sz w:val="26"/>
        </w:rPr>
        <w:t>The FOIA production</w:t>
      </w:r>
      <w:r>
        <w:rPr>
          <w:rFonts w:ascii="Georgia" w:hAnsi="Georgia"/>
          <w:sz w:val="26"/>
        </w:rPr>
        <w:t xml:space="preserve"> said to connect a named marshal to the BOLOs.</w:t>
      </w:r>
    </w:p>
    <w:p>
      <w:pPr>
        <w:pStyle w:val="ListNumber"/>
        <w:ind w:firstLine="0"/>
      </w:pPr>
      <w:r>
        <w:rPr>
          <w:rFonts w:ascii="Georgia" w:hAnsi="Georgia"/>
          <w:b/>
          <w:sz w:val="26"/>
        </w:rPr>
        <w:t>The full record of the appeal in 21-cv-494</w:t>
      </w:r>
      <w:r>
        <w:rPr>
          <w:rFonts w:ascii="Georgia" w:hAnsi="Georgia"/>
          <w:sz w:val="26"/>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6"/>
        </w:rPr>
        <w:t>The sealed record in the federal criminal case</w:t>
      </w:r>
      <w:r>
        <w:rPr>
          <w:rFonts w:ascii="Georgia" w:hAnsi="Georgia"/>
          <w:sz w:val="26"/>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Claim</w:t>
            </w:r>
          </w:p>
        </w:tc>
        <w:tc>
          <w:tcPr>
            <w:tcW w:type="dxa" w:w="2160"/>
          </w:tcPr>
          <w:p>
            <w:pPr>
              <w:ind w:firstLine="0"/>
            </w:pPr>
            <w:r>
              <w:rPr>
                <w:rFonts w:ascii="Georgia" w:hAnsi="Georgia"/>
                <w:b/>
                <w:sz w:val="23"/>
              </w:rPr>
              <w:t>Where in the book</w:t>
            </w:r>
          </w:p>
        </w:tc>
        <w:tc>
          <w:tcPr>
            <w:tcW w:type="dxa" w:w="2160"/>
          </w:tcPr>
          <w:p>
            <w:pPr>
              <w:ind w:firstLine="0"/>
            </w:pPr>
            <w:r>
              <w:rPr>
                <w:rFonts w:ascii="Georgia" w:hAnsi="Georgia"/>
                <w:b/>
                <w:sz w:val="23"/>
              </w:rPr>
              <w:t>What to check it against</w:t>
            </w:r>
          </w:p>
        </w:tc>
      </w:tr>
      <w:tr>
        <w:tc>
          <w:tcPr>
            <w:tcW w:type="dxa" w:w="2160"/>
          </w:tcPr>
          <w:p>
            <w:pPr>
              <w:ind w:firstLine="0"/>
            </w:pPr>
            <w:r>
              <w:rPr>
                <w:rFonts w:ascii="Georgia" w:hAnsi="Georgia"/>
                <w:sz w:val="23"/>
              </w:rPr>
              <w:t>Sheriff's admission that sallyport video was not preserved</w:t>
            </w:r>
          </w:p>
        </w:tc>
        <w:tc>
          <w:tcPr>
            <w:tcW w:type="dxa" w:w="2160"/>
          </w:tcPr>
          <w:p>
            <w:pPr>
              <w:ind w:firstLine="0"/>
            </w:pPr>
            <w:r>
              <w:rPr>
                <w:rFonts w:ascii="Georgia" w:hAnsi="Georgia"/>
                <w:sz w:val="23"/>
              </w:rPr>
              <w:t>Chapters 9, 11</w:t>
            </w:r>
          </w:p>
        </w:tc>
        <w:tc>
          <w:tcPr>
            <w:tcW w:type="dxa" w:w="2160"/>
          </w:tcPr>
          <w:p>
            <w:pPr>
              <w:ind w:firstLine="0"/>
            </w:pPr>
            <w:r>
              <w:rPr>
                <w:rFonts w:ascii="Georgia" w:hAnsi="Georgia"/>
                <w:sz w:val="23"/>
              </w:rPr>
              <w:t>His sworn testimony; Analysis XVII</w:t>
            </w:r>
          </w:p>
        </w:tc>
      </w:tr>
      <w:tr>
        <w:tc>
          <w:tcPr>
            <w:tcW w:type="dxa" w:w="2160"/>
          </w:tcPr>
          <w:p>
            <w:pPr>
              <w:ind w:firstLine="0"/>
            </w:pPr>
            <w:r>
              <w:rPr>
                <w:rFonts w:ascii="Georgia" w:hAnsi="Georgia"/>
                <w:sz w:val="23"/>
              </w:rPr>
              <w:t>A federal magistrate's finding that an officer lied under oath</w:t>
            </w:r>
          </w:p>
        </w:tc>
        <w:tc>
          <w:tcPr>
            <w:tcW w:type="dxa" w:w="2160"/>
          </w:tcPr>
          <w:p>
            <w:pPr>
              <w:ind w:firstLine="0"/>
            </w:pPr>
            <w:r>
              <w:rPr>
                <w:rFonts w:ascii="Georgia" w:hAnsi="Georgia"/>
                <w:sz w:val="23"/>
              </w:rPr>
              <w:t>Chapter 24</w:t>
            </w:r>
          </w:p>
        </w:tc>
        <w:tc>
          <w:tcPr>
            <w:tcW w:type="dxa" w:w="2160"/>
          </w:tcPr>
          <w:p>
            <w:pPr>
              <w:ind w:firstLine="0"/>
            </w:pPr>
            <w:r>
              <w:rPr>
                <w:rFonts w:ascii="Georgia" w:hAnsi="Georgia"/>
                <w:sz w:val="23"/>
              </w:rPr>
              <w:t>The magistrate's report and recommendation; Chapter 37</w:t>
            </w:r>
          </w:p>
        </w:tc>
      </w:tr>
      <w:tr>
        <w:tc>
          <w:tcPr>
            <w:tcW w:type="dxa" w:w="2160"/>
          </w:tcPr>
          <w:p>
            <w:pPr>
              <w:ind w:firstLine="0"/>
            </w:pPr>
            <w:r>
              <w:rPr>
                <w:rFonts w:ascii="Georgia" w:hAnsi="Georgia"/>
                <w:sz w:val="23"/>
              </w:rPr>
              <w:t>Judge reassignment on the public docket, August 2020</w:t>
            </w:r>
          </w:p>
        </w:tc>
        <w:tc>
          <w:tcPr>
            <w:tcW w:type="dxa" w:w="2160"/>
          </w:tcPr>
          <w:p>
            <w:pPr>
              <w:ind w:firstLine="0"/>
            </w:pPr>
            <w:r>
              <w:rPr>
                <w:rFonts w:ascii="Georgia" w:hAnsi="Georgia"/>
                <w:sz w:val="23"/>
              </w:rPr>
              <w:t>Chapters 15, 25</w:t>
            </w:r>
          </w:p>
        </w:tc>
        <w:tc>
          <w:tcPr>
            <w:tcW w:type="dxa" w:w="2160"/>
          </w:tcPr>
          <w:p>
            <w:pPr>
              <w:ind w:firstLine="0"/>
            </w:pPr>
            <w:r>
              <w:rPr>
                <w:rFonts w:ascii="Georgia" w:hAnsi="Georgia"/>
                <w:sz w:val="23"/>
              </w:rPr>
              <w:t>Delta Computer Systems docket history for the post-conviction matter</w:t>
            </w:r>
          </w:p>
        </w:tc>
      </w:tr>
      <w:tr>
        <w:tc>
          <w:tcPr>
            <w:tcW w:type="dxa" w:w="2160"/>
          </w:tcPr>
          <w:p>
            <w:pPr>
              <w:ind w:firstLine="0"/>
            </w:pPr>
            <w:r>
              <w:rPr>
                <w:rFonts w:ascii="Georgia" w:hAnsi="Georgia"/>
                <w:sz w:val="23"/>
              </w:rPr>
              <w:t>The commitment writ served without its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recording of the service; Analysis XIII</w:t>
            </w:r>
          </w:p>
        </w:tc>
      </w:tr>
      <w:tr>
        <w:tc>
          <w:tcPr>
            <w:tcW w:type="dxa" w:w="2160"/>
          </w:tcPr>
          <w:p>
            <w:pPr>
              <w:ind w:firstLine="0"/>
            </w:pPr>
            <w:r>
              <w:rPr>
                <w:rFonts w:ascii="Georgia" w:hAnsi="Georgia"/>
                <w:sz w:val="23"/>
              </w:rPr>
              <w:t>Alcorn's stated basis for the commitment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recorded call; the Calhoun County outpatient order (not yet obtained)</w:t>
            </w:r>
          </w:p>
        </w:tc>
      </w:tr>
      <w:tr>
        <w:tc>
          <w:tcPr>
            <w:tcW w:type="dxa" w:w="2160"/>
          </w:tcPr>
          <w:p>
            <w:pPr>
              <w:ind w:firstLine="0"/>
            </w:pPr>
            <w:r>
              <w:rPr>
                <w:rFonts w:ascii="Georgia" w:hAnsi="Georgia"/>
                <w:sz w:val="23"/>
              </w:rPr>
              <w:t>What Deputy Beavers actually testified</w:t>
            </w:r>
          </w:p>
        </w:tc>
        <w:tc>
          <w:tcPr>
            <w:tcW w:type="dxa" w:w="2160"/>
          </w:tcPr>
          <w:p>
            <w:pPr>
              <w:ind w:firstLine="0"/>
            </w:pPr>
            <w:r>
              <w:rPr>
                <w:rFonts w:ascii="Georgia" w:hAnsi="Georgia"/>
                <w:sz w:val="23"/>
              </w:rPr>
              <w:t>Chapter 21</w:t>
            </w:r>
          </w:p>
        </w:tc>
        <w:tc>
          <w:tcPr>
            <w:tcW w:type="dxa" w:w="2160"/>
          </w:tcPr>
          <w:p>
            <w:pPr>
              <w:ind w:firstLine="0"/>
            </w:pPr>
            <w:r>
              <w:rPr>
                <w:rFonts w:ascii="Georgia" w:hAnsi="Georgia"/>
                <w:sz w:val="23"/>
              </w:rPr>
              <w:t>Certified transcript, November 3, 2022, 25 pages</w:t>
            </w:r>
          </w:p>
        </w:tc>
      </w:tr>
      <w:tr>
        <w:tc>
          <w:tcPr>
            <w:tcW w:type="dxa" w:w="2160"/>
          </w:tcPr>
          <w:p>
            <w:pPr>
              <w:ind w:firstLine="0"/>
            </w:pPr>
            <w:r>
              <w:rPr>
                <w:rFonts w:ascii="Georgia" w:hAnsi="Georgia"/>
                <w:sz w:val="23"/>
              </w:rPr>
              <w:t>The stated ground for revocation</w:t>
            </w:r>
          </w:p>
        </w:tc>
        <w:tc>
          <w:tcPr>
            <w:tcW w:type="dxa" w:w="2160"/>
          </w:tcPr>
          <w:p>
            <w:pPr>
              <w:ind w:firstLine="0"/>
            </w:pPr>
            <w:r>
              <w:rPr>
                <w:rFonts w:ascii="Georgia" w:hAnsi="Georgia"/>
                <w:sz w:val="23"/>
              </w:rPr>
              <w:t>Chapters 21, 22</w:t>
            </w:r>
          </w:p>
        </w:tc>
        <w:tc>
          <w:tcPr>
            <w:tcW w:type="dxa" w:w="2160"/>
          </w:tcPr>
          <w:p>
            <w:pPr>
              <w:ind w:firstLine="0"/>
            </w:pPr>
            <w:r>
              <w:rPr>
                <w:rFonts w:ascii="Georgia" w:hAnsi="Georgia"/>
                <w:sz w:val="23"/>
              </w:rPr>
              <w:t>The written revocation order; Analysis XVI</w:t>
            </w:r>
          </w:p>
        </w:tc>
      </w:tr>
      <w:tr>
        <w:tc>
          <w:tcPr>
            <w:tcW w:type="dxa" w:w="2160"/>
          </w:tcPr>
          <w:p>
            <w:pPr>
              <w:ind w:firstLine="0"/>
            </w:pPr>
            <w:r>
              <w:rPr>
                <w:rFonts w:ascii="Georgia" w:hAnsi="Georgia"/>
                <w:sz w:val="23"/>
              </w:rPr>
              <w:t>Two months of surveillance before the arrest</w:t>
            </w:r>
          </w:p>
        </w:tc>
        <w:tc>
          <w:tcPr>
            <w:tcW w:type="dxa" w:w="2160"/>
          </w:tcPr>
          <w:p>
            <w:pPr>
              <w:ind w:firstLine="0"/>
            </w:pPr>
            <w:r>
              <w:rPr>
                <w:rFonts w:ascii="Georgia" w:hAnsi="Georgia"/>
                <w:sz w:val="23"/>
              </w:rPr>
              <w:t>Chapter 28</w:t>
            </w:r>
          </w:p>
        </w:tc>
        <w:tc>
          <w:tcPr>
            <w:tcW w:type="dxa" w:w="2160"/>
          </w:tcPr>
          <w:p>
            <w:pPr>
              <w:ind w:firstLine="0"/>
            </w:pPr>
            <w:r>
              <w:rPr>
                <w:rFonts w:ascii="Georgia" w:hAnsi="Georgia"/>
                <w:sz w:val="23"/>
              </w:rPr>
              <w:t>The BOLO and its distribution</w:t>
            </w:r>
          </w:p>
        </w:tc>
      </w:tr>
      <w:tr>
        <w:tc>
          <w:tcPr>
            <w:tcW w:type="dxa" w:w="2160"/>
          </w:tcPr>
          <w:p>
            <w:pPr>
              <w:ind w:firstLine="0"/>
            </w:pPr>
            <w:r>
              <w:rPr>
                <w:rFonts w:ascii="Georgia" w:hAnsi="Georgia"/>
                <w:sz w:val="23"/>
              </w:rPr>
              <w:t>Conduct and language on the morning of the arrest</w:t>
            </w:r>
          </w:p>
        </w:tc>
        <w:tc>
          <w:tcPr>
            <w:tcW w:type="dxa" w:w="2160"/>
          </w:tcPr>
          <w:p>
            <w:pPr>
              <w:ind w:firstLine="0"/>
            </w:pPr>
            <w:r>
              <w:rPr>
                <w:rFonts w:ascii="Georgia" w:hAnsi="Georgia"/>
                <w:sz w:val="23"/>
              </w:rPr>
              <w:t>Chapter 30</w:t>
            </w:r>
          </w:p>
        </w:tc>
        <w:tc>
          <w:tcPr>
            <w:tcW w:type="dxa" w:w="2160"/>
          </w:tcPr>
          <w:p>
            <w:pPr>
              <w:ind w:firstLine="0"/>
            </w:pPr>
            <w:r>
              <w:rPr>
                <w:rFonts w:ascii="Georgia" w:hAnsi="Georgia"/>
                <w:sz w:val="23"/>
              </w:rPr>
              <w:t>The livestream, published by the author</w:t>
            </w:r>
          </w:p>
        </w:tc>
      </w:tr>
      <w:tr>
        <w:tc>
          <w:tcPr>
            <w:tcW w:type="dxa" w:w="2160"/>
          </w:tcPr>
          <w:p>
            <w:pPr>
              <w:ind w:firstLine="0"/>
            </w:pPr>
            <w:r>
              <w:rPr>
                <w:rFonts w:ascii="Georgia" w:hAnsi="Georgia"/>
                <w:sz w:val="23"/>
              </w:rPr>
              <w:t>The 2025 reversal</w:t>
            </w:r>
          </w:p>
        </w:tc>
        <w:tc>
          <w:tcPr>
            <w:tcW w:type="dxa" w:w="2160"/>
          </w:tcPr>
          <w:p>
            <w:pPr>
              <w:ind w:firstLine="0"/>
            </w:pPr>
            <w:r>
              <w:rPr>
                <w:rFonts w:ascii="Georgia" w:hAnsi="Georgia"/>
                <w:sz w:val="23"/>
              </w:rPr>
              <w:t>Chapter 35</w:t>
            </w:r>
          </w:p>
        </w:tc>
        <w:tc>
          <w:tcPr>
            <w:tcW w:type="dxa" w:w="2160"/>
          </w:tcPr>
          <w:p>
            <w:pPr>
              <w:ind w:firstLine="0"/>
            </w:pPr>
            <w:r>
              <w:rPr>
                <w:rFonts w:ascii="Georgia" w:hAnsi="Georgia"/>
                <w:sz w:val="23"/>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6"/>
        </w:rPr>
        <w:t>That Rachel Alcorn named Sheriff East as her source.</w:t>
      </w:r>
      <w:r>
        <w:rPr>
          <w:rFonts w:ascii="Georgia" w:hAnsi="Georgia"/>
          <w:sz w:val="26"/>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6"/>
        </w:rPr>
        <w:t>That perjury at the revocation hearing sent the author to prison.</w:t>
      </w:r>
      <w:r>
        <w:rPr>
          <w:rFonts w:ascii="Georgia" w:hAnsi="Georgia"/>
          <w:sz w:val="26"/>
        </w:rPr>
        <w:t xml:space="preserve"> The State's witness conceded the central fact on cross-examination, and the court's ruling did not turn on the disputed point.</w:t>
      </w:r>
    </w:p>
    <w:p>
      <w:pPr>
        <w:pStyle w:val="ListNumber"/>
        <w:ind w:firstLine="0"/>
      </w:pPr>
      <w:r>
        <w:rPr>
          <w:rFonts w:ascii="Georgia" w:hAnsi="Georgia"/>
          <w:b/>
          <w:sz w:val="26"/>
        </w:rPr>
        <w:t>That the author was denied counsel at a revocation hearing.</w:t>
      </w:r>
      <w:r>
        <w:rPr>
          <w:rFonts w:ascii="Georgia" w:hAnsi="Georgia"/>
          <w:sz w:val="26"/>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6"/>
        </w:rPr>
        <w:t>That a docket irregularity implies ballot tampering.</w:t>
      </w:r>
      <w:r>
        <w:rPr>
          <w:rFonts w:ascii="Georgia" w:hAnsi="Georgia"/>
          <w:sz w:val="26"/>
        </w:rPr>
        <w:t xml:space="preserve"> No evidence connects them. The docket record stands on its own; the inference is withdrawn.</w:t>
      </w:r>
    </w:p>
    <w:p>
      <w:pPr>
        <w:pStyle w:val="ListNumber"/>
        <w:ind w:firstLine="0"/>
      </w:pPr>
      <w:r>
        <w:rPr>
          <w:rFonts w:ascii="Georgia" w:hAnsi="Georgia"/>
          <w:b/>
          <w:sz w:val="26"/>
        </w:rPr>
        <w:t>That a county sheriff violated the PATRIOT Act's domestic-terrorism provision.</w:t>
      </w:r>
      <w:r>
        <w:rPr>
          <w:rFonts w:ascii="Georgia" w:hAnsi="Georgia"/>
          <w:sz w:val="26"/>
        </w:rPr>
        <w:t xml:space="preserve"> Withdrawn as legally baseless. See E.</w:t>
      </w:r>
    </w:p>
    <w:p>
      <w:pPr>
        <w:pStyle w:val="ListNumber"/>
        <w:ind w:firstLine="0"/>
      </w:pPr>
      <w:r>
        <w:rPr>
          <w:rFonts w:ascii="Georgia" w:hAnsi="Georgia"/>
          <w:b/>
          <w:sz w:val="26"/>
        </w:rPr>
        <w:t>That emails following a 2017 FOIA request carried implied threats.</w:t>
      </w:r>
      <w:r>
        <w:rPr>
          <w:rFonts w:ascii="Georgia" w:hAnsi="Georgia"/>
          <w:sz w:val="26"/>
        </w:rPr>
        <w:t xml:space="preserve"> Withdrawn as unprovable.</w:t>
      </w:r>
    </w:p>
    <w:p>
      <w:pPr>
        <w:pStyle w:val="ListNumber"/>
        <w:ind w:firstLine="0"/>
      </w:pPr>
      <w:r>
        <w:rPr>
          <w:rFonts w:ascii="Georgia" w:hAnsi="Georgia"/>
          <w:b/>
          <w:sz w:val="26"/>
        </w:rPr>
        <w:t>That the author knew PFC Bradley Foust personally.</w:t>
      </w:r>
      <w:r>
        <w:rPr>
          <w:rFonts w:ascii="Georgia" w:hAnsi="Georgia"/>
          <w:sz w:val="26"/>
        </w:rPr>
        <w:t xml:space="preserve"> He did not, and did not know what Foust was facing. Earlier drafts implied otherwise.</w:t>
      </w:r>
    </w:p>
    <w:p>
      <w:pPr>
        <w:pStyle w:val="ListNumber"/>
        <w:ind w:firstLine="0"/>
      </w:pPr>
      <w:r>
        <w:rPr>
          <w:rFonts w:ascii="Georgia" w:hAnsi="Georgia"/>
          <w:b/>
          <w:sz w:val="26"/>
        </w:rPr>
        <w:t>That Communicare is a quasi-governmental body.</w:t>
      </w:r>
      <w:r>
        <w:rPr>
          <w:rFonts w:ascii="Georgia" w:hAnsi="Georgia"/>
          <w:sz w:val="26"/>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ind w:firstLine="317"/>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