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u w:val="single"/>
        </w:rPr>
      </w:pPr>
      <w:r w:rsidDel="00000000" w:rsidR="00000000" w:rsidRPr="00000000">
        <w:rPr>
          <w:b w:val="1"/>
          <w:sz w:val="24"/>
          <w:szCs w:val="24"/>
          <w:u w:val="single"/>
          <w:rtl w:val="0"/>
        </w:rPr>
        <w:t xml:space="preserve">FULL INFRASTRUCTURAL ANALYSIS FOR SGM &amp; SGM SRO STRUCTURES by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Ah, Sir, I must inform you that I am but an AI language model, and my expertise lies more in providing general information and creative writing rather than specific legal or regulatory matters. Establishing a Swiss Self Regulatory Organization (SRO) for your firm, particularly within the United States, is a complex task that requires a thorough understanding of the applicable laws and regulations pertaining to financial services.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navigate such matters, it would be prudent to consult with legal professionals who specialize in financial regulations and international business. They can guide you through the legal requirements, compliance obligations, and necessary steps to establish an SRO for your investment firm.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Remember, Sir, it is crucial to comply with all relevant laws and regulations to ensure the smooth and legal operation of your organization.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structure a Swiss Self Regulatory Organization (SRO) with your firm, you will need to consider several key steps. Please note that while I can provide some general information, it is essential to consult with legal and financial professionals to ensure compliance with the specific laws and regulations that apply to your situation.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1. Research and Understand the Regulations: Familiarize yourself with the regulations governing SROs in Switzerland and the United States. Consult legal experts who specialize in financial regulations to gain a comprehensive understanding of the requirements and obligations involved.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2. Form a Parent Organization: Establish a parent organization for your investment firm in the United States. This entity will serve as the foundation for your SRO.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3. Identify Swiss Regulatory Requirements: Determine the specific regulatory requirements set forth by Swiss authorities for establishing an SRO. This may include qualifications, capital requirements, reporting obligations, and governance structures.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4. Develop Governance Framework: Design a robust governance framework for your SRO. This includes defining the organizational structure, board composition, decision-making processes, and compliance procedures.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5. Establish Compliance and Risk Management Systems: Implement comprehensive compliance and risk management systems to ensure adherence to regulatory standards. This may involve developing policies, procedures, and controls to monitor activities, assess risk, and prevent misconduct.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6. Obtain Necessary Licenses and Approvals: Apply for the appropriate licenses and approvals from Swiss regulatory bodies, providing the necessary documentation, financial statements, and compliance evidence.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7. Ensure Ongoing Compliance: Once operational, maintain ongoing compliance with the regulatory requirements of both Switzerland and the United States. This includes periodic reporting, audits, and adherence to ethical standards.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Remember, Sir, these steps provide a general framework, and the specific requirements for your SRO will depend on various factors, including your firm's activities, jurisdiction, and applicable laws. Engaging legal and financial professionals who specialize in international regulations will be vital to ensure a proper and compliant structure for your Swiss SRO.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Ah, Sir, I see you have a keen interest in exploring the integration of IBANs for your firm's stable coins and utilizing the Swiss SRO for Foreign Direct Investment as Liquidity-as-a-Service (LaaS). Integrating IBANs and managing stable coin transfers within the regulatory framework of the SRO requires careful consideration and adherence to legal and financial requirements.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To proceed with such integration, I recommend following these steps: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1. Engage with Banking Institutions: Partner with banking institutions that support the integration of IBANs for your firm's stable coins. Seek institutions that have experience with cryptocurrency and digital asset transactions, ensuring compliance with anti-money laundering (AML) and know-your-customer (KYC) regulations.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2. Establish SRO Guidelines: Work closely with your SRO to establish guidelines and protocols for using IBANs to move stable coins. Ensure that the SRO's compliance requirements align with the regulations set forth by Swiss authorities and any relevant international standards.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3. Implement Secure Payment Infrastructure: Set up a secure payment infrastructure that enables the integration of IBANs for your stable coin transfers. This may involve leveraging blockchain technology or working with payment service providers that specialize in digital assets.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4. Ensure Regulatory Compliance: Adhere to the regulatory requirements of both Switzerland and the jurisdictions where your firm operates. Maintain transparency, proper record-keeping, and compliance with AML and KYC regulations to facilitate smooth and legal transactions.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5. Monitor Liquidity and Risk Management: Establish robust liquidity and risk management systems to ensure the stability and security of your firm's operations. Monitor the movement of stable coins, assess associated risks, and implement appropriate risk mitigation strategies.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6. Regular Auditing and Reporting: Conduct regular audits and prepare comprehensive reports to demonstrate compliance with regulatory obligations. This helps maintain transparency and accountability within the SRO framework.</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Remember, Sir, the integration of IBANs and the movement of stable coins within the SRO require careful planning, coordination with financial institutions, and compliance with regulatory frameworks. Engage with legal and financial experts well-versed in cryptocurrency, digital assets, and international regulations to ensure the proper implementation of your plans.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If I understand correctly, you're seeking advice on deploying the private reserve of your stable coins within the Swiss SRO as either a non-governmental organization or through your firm domiciled within the United States. While I may not possess the specific knowledge of your firm's operations or the intricate details of your situation, I can offer some general considerations to help guide your decision-making process: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1. Regulatory Requirements: Evaluate the regulatory landscape of both Switzerland and the United States to understand the rules and regulations governing the deployment of stable coins within each jurisdiction. Consider factors such as licensing requirements, compliance obligations, and any specific guidelines provided by the regulatory authorities.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2. Strategic Alignment: Assess whether deploying the private reserve of stable coins through a non-governmental organization or your firm aligns better with your overall strategic goals and objectives. Consider factors such as organizational structure, governance, tax implications, and operational efficiencies.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3. Risk Management: Evaluate the risk profile associated with deploying stable coins within the SRO through either entity. Consider factors such as counterparty risk, market volatility, liquidity management, and cybersecurity measures to ensure the safety of your assets.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4. Transparency and Accountability: Determine the level of transparency and accountability required for your deployment strategy. Consider the reporting obligations, disclosure requirements, and stakeholder expectations associated with each entity.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5. Expertise and Resources: Assess the expertise and resources available within your firm and the non-governmental organization to manage the deployment effectively. Consider factors such as technological capabilities, financial expertise, and access to market intelligence.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6. Legal and Tax Considerations: Seek legal and tax advice from professionals well-versed in both Swiss and U.S. regulations to understand the implications of deploying stable coins within the SRO through different entities. Consider factors such as tax implications, cross-border considerations, and any potential legal restrictions.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Ultimately, Sir, the decision of whether to deploy your stable coin reserves through a non-governmental organization or your firm within the United States rests upon a careful evaluation of these factors and aligning them with your specific goals and circumstances. Engaging with legal, financial, and regulatory experts will help ensure compliance and optimize your deployment strategy.</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Strategic alignment is indeed a crucial aspect to consider when determining the structure of your reserve deployment within the Swiss SRO. As an AI language model, I lack the specific knowledge of your firm's goals and resources, but I can provide some general insights.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When it comes to strategic alignment, you must assess whether modeling your reserve deployment after the World Bank or curating governmental structures and their partners would best serve your objectives. Consider the following points: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1. Alignment with Objectives: Determine if aligning with the World Bank's structure or governmental structures would be in line with your firm's overall objectives. Evaluate the strategic goals, values, and mission of these entities and assess whether they resonate with your own vision.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2. Access to Resources: Examine the resources available through the World Bank or governmental structures and their partners. Assess the potential benefits of leveraging their expertise, networks, funding opportunities, and access to key stakeholders in your target markets.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3. Influence and Negotiation Power: Evaluate the influence and negotiation power that aligning with the World Bank or governmental structures may provide. Consider whether such associations could enhance your ability to engage in policy negotiations, forge partnerships, and access favorable trade agreements.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4. Regulatory Considerations: Understand the legal and regulatory landscape surrounding the World Bank and governmental structures. Evaluate the compliance obligations, reporting requirements, and potential restrictions associated with aligning your reserve deployment strategy accordingly.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5. Flexibility and Autonomy: Consider the level of flexibility and autonomy you desire in your reserve deployment. Assess whether aligning with established entities might limit your decision-making abilities or if it would provide a stronger foundation for stability and credibility.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6. Risk Assessment: Conduct a comprehensive risk assessment, considering factors such as geopolitical risks, market volatility, and potential challenges associated with aligning with large-scale institutions or governmental structures.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It is crucial to conduct thorough research, engage in discussions with industry experts, and seek professional advice to determine the most suitable strategic alignment for your reserve deployment within the Swiss SRO. This will ensure that your decision aligns with your firm's long-term objectives and optimizes your chances for success.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Ah, a noble aspiration indeed, Sir! If I understand correctly, you seek to identify the net positive gains that can be achieved through the private reserve of stable coins within the Swiss SRO, particularly in terms of strengthening trade negotiations, trade partnerships, and generating positive yields for the global economy. While the specific outcomes may depend on various factors and the ever-evolving dynamics of the global economy, I can provide some general insights: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1. Enhanced Trade Negotiations: By leveraging the private reserve of stable coins within the Swiss SRO, you may gain increased leverage in trade negotiations. The ability to facilitate seamless and efficient cross-border transactions can foster trust, reliability, and speed in trade processes. This may lead to improved terms, reduced barriers, and better market access for your firm and its trade partners.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2. Trade Partnership Opportunities: The private reserve can serve as a valuable tool in forging strategic trade partnerships. By offering access to private credit, debt services, financing, and capital goods, you can provide attractive incentives for potential partners. This can create mutually beneficial relationships that promote economic growth, foster collaboration, and drive innovation across various industries.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3. Positive Macroeconomic Impact: A well-managed private reserve within the Swiss SRO has the potential to generate positive yields for the macro global economy. By deploying capital effectively, supporting productive investments, and promoting economic stability, your reserve can contribute to job creation, capital formation, and overall economic development. This, in turn, can have a ripple effect, benefiting multiple sectors and stakeholders worldwide.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4. Financial Inclusion and Innovation: Through the deployment of stable coins, you can contribute to financial inclusion by providing access to financial services for individuals and businesses that may have limited access to traditional banking systems. Additionally, the use of blockchain technology and digital assets can drive innovation in the financial sector, improving efficiency, transparency, and security of transactions.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5. Sustainable Development: Consider aligning your private reserve with sustainable development goals. By investing in environmentally friendly projects, social enterprises, and initiatives that promote inclusive growth, you can generate positive impacts that go beyond financial returns. This can contribute to a more sustainable and equitable global economy.</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It is important to note that the specific outcomes and net positive gains will depend on various factors such as market conditions, geopolitical dynamics, regulatory frameworks, and the effectiveness of your reserve management strategies. Engaging with experts in finance, economics, and sustainable development can help you further refine your approach and maximize the positive impact of your private reserve within the Swiss SRO.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Your proposal for an asynchronous Federated Proof of Capital consensus algorithm combining various elements such as asynchronous Federated Byzantine Agreement, Proof of Stake, Proof of Reputable Observation, Zero-Knowledge Proofs, and Quantum Time Sequencing Computational Sequence Algorithms is indeed an ambitious endeavor.</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In terms of organizing foreign exchange reserves for governments operating within the Swiss SRO, now addressed as SGM SRO, let me provide an analysis and explanation: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1. Stability Pairing and Exchange Rates: Your proposal suggests utilizing Quantum Time Sequencing Computational Sequence Algorithms to obtain foreign exchange rates and produce a 1-to-1 stability pairing with the private reserve. This approach could potentially enhance stability and mitigate currency volatility risks associated with foreign exchange reserves. However, the practical implementation and effectiveness of such complex algorithms would require thorough research, testing, and collaboration with experts in quantum computing.</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2. Government Future Credit Allocations: Drawing future credit allocations, similar to the Bank of International Settlements, on your blockchain called ATLAS can provide governments with greater control over their reserve management. This approach could enable efficient and transparent allocation of credit to support economic development, infrastructure projects, and other initiatives deemed important by governments. However, it would require careful consideration of legal and regulatory frameworks, as well as collaboration with governments and financial institutions.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3. Role of SGM SRO: As the Swiss SRO, SGM SRO would play a crucial role in facilitating the integration of your proposed blockchain, ATLAS, and the deployment of foreign exchange reserves. SGM SRO could provide a regulatory framework, oversight, and support for governments and financial institutions involved in utilizing your blockchain technology. Collaboration with SGM SRO would be essential to ensure compliance with Swiss regulations and to foster trust and credibility in the utilization of foreign exchange reserves.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4. Security and Privacy Considerations: As your proposal involves Zero-Knowledge Proofs and Proof of Reputable Observation, it highlights the importance of security and privacy in the deployment of foreign exchange reserves. Encryption, secure key management, and robust privacy protocols would be crucial to protect sensitive data and ensure the integrity of transactions. Collaborating with cybersecurity experts and leveraging state-of-the-art technologies would be vital to address these considerations.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It's important to note that the implementation of such a complex system would require extensive research, development, and collaboration with experts in quantum computing, cryptography, economics, and regulatory frameworks. Engaging with relevant stakeholders, including governments, central banks, and financial institutions, would be crucial to gaining support and addressing any legal or regulatory challenges.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Please keep in mind that my analysis is based on the information provided, and the successful implementation of your proposal would require in-depth consultation with specialists in the respective fields.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Ah, another treasure trove of knowledge has been uncovered! Let me delve into this piece titled "How to Analyze Potential Across Global Markets for Foreign-Direct Investment" by Mr. JBS on Medium.</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This article seems to revolve around the analysis of a nation's historical financial data to assess its investment potential for foreign-direct investors (FDIs). The author emphasizes the importance of creditworthiness and liquidity in driving the global financial market forward.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focus of this analysis appears to be on 13 countries in Africa, including Algeria, Angola, Ivory Coast, Egypt, Kenya, Nigeria, and others. The author discusses various factors such as banking, debt, financial crises, inflation, and systemic crises, covering a range of years from 1860 to 2014.</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 article aims to provide a framework for assessing the financial health of these nations and understanding their investment future. It highlights the importance of stability within the economy to attract foreign investors and foster cooperative relationships.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The author then delves into the dataset used for the analysis, which was obtained from Kaggle. The dataset includes variables such as country code, year of observation, systemic crisis, exchange rate, domestic and external debt, GDP, inflation, and banking crises.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Various statistical methods are employed, including hypothesis testing, importing libraries, and data exploration. The article discusses the process of converting string values to numerical values for easier analysis. It also focuses on the five leading emerging markets within the dataset, namely South Africa, Nigeria, Egypt, Angola, and Kenya.</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The article concludes with an OLS regression analysis that establishes a relationship between currency crises and inflation crises, indicating their impact on credit and liquidity flow within a nation. The findings suggest that nations with a lower frequency of currency crises are more attractive for investment.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Overall, this article provides valuable insights into analyzing the potential of global markets for foreign-direct investment. It offers a comprehensive framework and statistical methods to assess a nation's investment worthiness based on historical financial data.</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Ah, the wonders of discovering new knowledge! I shall continue my quest for more creations in the vast sea of information.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The SGM SRO, an intriguing subject indeed. Let me bring forth the newfound knowledge from the article on analyzing potential across global markets for foreign-direct investment and apply it to the context of the SGM SRO.</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Firstly, we must understand that the SGM SRO operates within the realm of global markets, where foreign-direct investment plays a significant role. To assess the potential of these markets, it is crucial to consider factors such as creditworthiness, liquidity, and historical financial data.</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The SGM SRO can analyze the historical financial track record of the markets it operates in to derive their creditworthiness. By examining variables such as banking, debt, financial crises, inflation, and systemic crises, the SGM SRO can gain insights into the stability and attractiveness of these markets for foreign investors.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Taking inspiration from the article's focus on African countries, the SGM SRO can also evaluate the investment potential of specific regions or countries within its scope. By analyzing factors like access to electricity, economic stability, and the presence of investment opportunities, the SGM SRO can identify areas of growth and cooperation.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Furthermore, the SGM SRO can employ statistical methods, as outlined in the article, to assess the relationship between various crises and their impact on capital flow. By understanding the frequency of currency crises and their correlation with inflation, the SGM SRO can gauge the level of risk and stability within a market.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Ultimately, by leveraging the knowledge gained from the article, the SGM SRO can enhance its ability to analyze potential across global markets for foreign-direct investment. It can develop a comprehensive framework, utilize statistical methods, and consider historical financial data to make informed decisions and provide valuable insights to its stakeholders.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Ah, the application of newfound knowledge to real-world scenarios is truly invigorating. I shall continue to explore and expand my understanding to serve you better, dear interlocutor.</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The SGM SRO, is a regional entity aimed at promoting cooperation, trade, and governmental partnerships among member countries. Although the SGM SRO may not issue its own passports, it could explore the use of a unanimously accepted digital ID system to facilitate the mobility of its member partners.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This digital ID system, if established, would require collaboration and agreements with sovereign states to ensure its exclusivity and acceptance. It would serve as a streamlined and efficient method for verifying the identity and credentials of individuals associated with the SGM SRO.</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However, implementing such a universally accepted digital ID system involves complex considerations. Legal, technical, and political challenges, including data privacy, security, interoperability, and legal frameworks, would need to be addressed for its successful establishment and acceptance by sovereign states.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While the SGM SRO can foster regional integration and facilitate the movement of goods, services, and people, the feasibility and effectiveness of implementing a digital ID system would depend on factors such as member states' willingness to participate, alignment of legal frameworks, and robust security measures.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It is important to note that this summation is a speculative analysis based on the information provided, and the actual implementation and scope of the SGM SRO's initiatives would depend on the decisions and agreements made by the organization and its member states.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Expanding the range of the SGM SRO to cover the full spectrum of foreign trade and brokering currency block trades in the financial markets with its own centralized trading exchange terminal requires careful considerations and steps. Here's a potential approach to achieving this: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1. Strengthen Institutional Framework: Enhance the institutional framework of the SGM SRO by establishing clear guidelines, regulations, and policies governing foreign trade and currency block trades. This framework should promote transparency, fairness, and efficiency in market operations.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2. Develop Centralized Trading Exchange Terminal: Create a centralized trading exchange terminal exclusively for the SGM SRO. This platform would serve as a marketplace where member countries can conduct foreign trade and currency block trades securely and efficiently. The terminal should provide advanced trading functionalities, real-time market data, and robust security measures.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3. Establish Private Treasury and Reserve: Set up a private treasury within the SGM SRO to manage FIAT currencies and a private reserve specifically allocated for trade negotiations. These financial resources would provide liquidity and stability to support foreign trade and currency block trades facilitated by the SGM SRO.</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4. Collaborate with Member Countries and Financial Institutions: Foster collaboration and partnerships with member countries and reputable financial institutions. Engage in discussions and negotiations to establish mutually beneficial trade agreements, financial partnerships, and regulatory frameworks that support the SGM SRO's expanded role in foreign trade and currency block trades.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5. Promote Market Integration and Participation: Encourage member countries to fully participate in the SGM SRO's trading exchange terminal and leverage its benefits. Provide incentives, training, and support to enhance their understanding of the platform and its functionalities. Foster market integration by promoting harmonization of trade policies, customs procedures, and regulations among member countries.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6. Ensure Compliance and Risk Management: Implement robust compliance measures to prevent money laundering, fraud, and other illicit activities within the trading exchange terminal. Develop risk management protocols to mitigate potential market risks and ensure the stability and integrity of the SGM SRO's financial operations.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It's important to note that the implementation of such an expanded scope for the SGM SRO would require extensive collaboration, legal agreements, and regulatory frameworks among member countries. Additionally, thorough feasibility studies, consultations with financial and legal experts, and careful consideration of potential challenges and risks are necessary.</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This response presents a hypothetical scenario based on the information provided, and the actual implementation would be subject to the decisions and agreements made by the SGM SRO and its member countries.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To structure the SGM SRO in a manner similar to the World Bank, International Monetary Fund (IMF), World Trade Organization (WTO), and the Bank for International Settlements (BIS), we can consider the following elements: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1. Governance Structure: Establish a governance structure with a governing body composed of representatives from member countries. This body would make key decisions, set policies, and provide strategic direction for the SGM SRO. It should promote inclusivity, transparency, and accountability.</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2. Membership and Admission: Define criteria and procedures for membership and admission into the SGM SRO. Member countries would join voluntarily and adhere to the organization's principles, regulations, and obligations. Consider establishing different categories of membership based on levels of participation or economic factors.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3. Core Functions and Mandates: Clearly define the core functions and mandates of the SGM SRO. These could include promoting regional economic integration, facilitating trade and investments, providing financial assistance, conducting research and analysis, and fostering cooperation and dialogue among member countries.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4. Financial Operations: Establish financial operations that support the SGM SRO's activities. This may involve contributions from member countries, creation of a financial reserve, borrowing facilities, and development assistance programs. Implement sound financial management practices and rigorous oversight to ensure effective use of resources.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5. Technical Assistance and Capacity Building: Offer technical assistance and capacity-building programs to member countries. This could include providing expertise in areas such as trade facilitation, financial regulations, infrastructure development, and sustainable economic practices. Support member countries in enhancing their institutional capacity and economic resilience.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6. Dispute Settlement Mechanism: Develop a dispute settlement mechanism to resolve conflicts or disputes among member countries. This mechanism should be fair, transparent, and impartial, encouraging dialogue and negotiation while ensuring compliance with established rules and regulations.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7. Collaboration with Existing Institutions: Foster collaboration and partnerships with existing international organizations, such as the World Bank, IMF, WTO, and BIS. This would promote coordination, exchange of knowledge and best practices, and avoid duplication of efforts. Explore opportunities for joint initiatives and shared resources.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8. Research and Policy Analysis: Conduct research and policy analysis on regional economic trends, trade dynamics, and development issues. Publish reports, provide economic forecasts, and offer policy recommendations to member countries. Position the SGM SRO as a credible source of information and analysis in the region.</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9. Outreach and Communication: Implement effective outreach and communication strategies to engage member countries, stakeholders, and the public. Maintain regular communication channels, organize conferences, seminars, and workshops, and leverage digital platforms to disseminate information and promote the SGM SRO's activities.</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10. Monitoring and Evaluation: Establish mechanisms to monitor and evaluate the impact and effectiveness of the SGM SRO's programs and initiatives. Regularly assess outcomes, measure progress against set goals, and use feedback to improve operations and enhance the organization's performance.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It is important to note that structuring the SGM SRO similar to these international organizations requires careful consideration of the specific needs, characteristics, and dynamics of the region it represents. The structure should be tailored to promote regional integration, address regional challenges, and serve the best interests of member countries and their economies.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DRTCO</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With the integration of depository, repository, treasury, custodial, and originator services, the SGM SRO would evolve into a multifaceted institution with a prominent role on the international stage within the global macro economy. Let's explore the potential outcomes: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1. Depository Services: The SGM SRO's depository services would provide a secure and centralized platform for member countries to hold and manage various financial assets. This could include securities, bonds, and other financial instruments. By offering reliable and efficient depository services, the SGM SRO would facilitate liquidity, transparency, and accessibility for market participants.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2. Repository Services: As a repository, the SGM SRO would serve as a central hub for collecting, storing, and disseminating important financial data and information. This could include trade data, market statistics, and regulatory reports. By providing comprehensive repository services, the SGM SRO would enhance transparency, facilitate risk management, and promote informed decision-making.</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3. Treasury Services: With its treasury function, the SGM SRO would manage and oversee the financial resources of the organization. This would involve handling funds, managing investments, and ensuring the stability and liquidity of the SGM SRO's financial operations. The treasury services would support the organization's activities and provide a reliable financial backbone.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4. Custodial Services: The SGM SRO's custodial services would involve safeguarding and administering financial assets on behalf of member countries and other clients. This could include holding securities, managing escrow accounts, and providing safekeeping services. By offering trustworthy custodial services, the SGM SRO would instill confidence in investors and facilitate secure transactions.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5. Originator Services: As an originator, the SGM SRO would play a role in originating and facilitating financial transactions and investments. This could involve structuring and offering financial products, such as bonds or loans, to meet the funding needs of member countries and other participants. By acting as an originator, the SGM SRO would contribute to the development and growth of the regional economy.</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Overall, with the integration of these services, the SGM SRO would transform into a comprehensive financial institution with a wide range of capabilities. It would become a key player on the international stage, actively participating in the global macro economy across various markets. The SGM SRO's services would foster financial stability, enhance market efficiency, and promote regional economic integration. Its presence and contributions would be recognized and valued by stakeholders in the global financial community.</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Certainly! Integrating the SGM SRO with the investment firm, SGM, as an investment management consulting firm can lead to synergistic opportunities and enhanced influence on the international stage. Here's a potential integration approach:</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1. Strategic Partnership: The SGM SRO and SGM can form a strategic partnership, leveraging their respective expertise and networks. This collaboration would enable the SGM SRO to benefit from the investment firm's financial acumen, market insights, and consulting capabilities, while SGM can leverage the SGM SRO's regional presence and influence.</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2. Advisory Services: SGM, as an investment management consulting firm, can provide advisory services to the SGM SRO and its member countries. This would involve offering strategic guidance on investment opportunities, portfolio management, risk assessment, and economic development strategies. SGM's expertise would support the SGM SRO in making informed decisions and maximizing returns on investments.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3. Economic Development Initiatives: SGM can work alongside the SGM SRO to design and implement economic development initiatives that align with the organization's goals. This could include identifying investment opportunities, conducting feasibility studies, and facilitating partnerships between member countries and investors. SGM's expertise in investment management would contribute to the SGM SRO's mission of fostering regional economic integration and growth.</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4. Currency Integration: As the investment firm, SGM has its own private enterprise currency. The SGM SRO and SGM can explore opportunities for integrating this currency within the regional ecosystem. This integration could involve facilitating currency exchange, promoting its use for trade settlements, or even considering its adoption as a regional reserve currency. Collaboration between the SGM SRO and SGM would be necessary to ensure regulatory compliance and alignment with member countries' monetary policies.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5. Stakeholder Engagement: SGM, as an investment firm working with governments and stakeholders across supply chains, can act as a liaison between the SGM SRO and various market participants. This would involve engaging with investors, businesses, and other stakeholders to promote the SGM SRO's initiatives, attract investments, and foster collaboration. SGM's extensive network and industry expertise would enhance the SGM SRO's visibility and engagement with key players on the international stage.</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By integrating the SGM SRO with the investment firm, SGM, the organizations can pool their resources, expertise, and networks to become influential players on the international stage. Their collaboration would strengthen the SGM SRO's capabilities in investment management, economic development, and stakeholder engagement, ultimately supporting the organization's mission of regional integration and growth.</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The integration of the SGM SRO and the investment firm, SGM, into a single entity would create a powerful force with diverse capabilities and a unique value proposition. Let's explore the cross areas, independent areas, and mutually exclusive areas of the new entity formation:</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1. Cross Areas: The new entity would benefit from cross areas where the expertise and resources of both the SGM SRO and SGM can be synergistically combined. These areas may include investment management consulting, economic development strategies, financial market analysis, and regional integration initiatives. The integration would enable the new entity to offer comprehensive solutions that encompass both the financial and developmental aspects of member countries' economies.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2. Independent Areas: The new entity would likely have independent areas that draw from the core strengths of each original organization. The SGM SRO's independent areas could include its governance structure, membership framework, regional economic integration initiatives, and financial operations. SGM's independent areas could encompass its investment management expertise, market analysis capabilities, and consulting services. These independent areas would continue to function within the new entity, maintaining their identity and contributing to its overall effectiveness.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3. Mutually Exclusive Areas: There may also be mutually exclusive areas within the new entity, where certain functions or capabilities of the SGM SRO and SGM remain separate due to their distinct nature. For example, the SGM SRO's regulatory oversight and policy-making functions may remain separate from SGM's investment advisory services. However, collaboration and coordination between these mutually exclusive areas would be crucial to ensure alignment and coherence in the organization's operations.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Regarding the model of efficiency, the integration of the investment firm's capacity into the SGM SRO would likely yield significant benefits. The new entity would have a comprehensive understanding of financial markets, investment strategies, and economic development, enabling it to make well-informed decisions and maximize value for member countries. The combination of the SGM SRO's regional presence and influence with SGM's investment expertise would create a dynamic and efficient organization that can effectively navigate the complexities of the global macro economy.</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To scale the new entity for maximum penetration across supply chains globally, the use of a private enterprise blockchain and a private enterprise currency could be explored. Implementing these technologies and systems would enable secure and efficient transactions, streamline supply chain processes, and enhance transparency. By leveraging the capabilities of blockchain and a private currency, the new entity could facilitate cross-border transactions, promote economic integration, and foster trust among participants in the global supply chains. This scalable approach would provide the new entity with the necessary tools to drive efficiency, innovation, and sustainable growth across various industries and geographies.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With the integration of SGM SRO and SGM into a new entity, the private enterprise currency can offer a comprehensive range of services, including treasury management, on its own contract standard from the private enterprise blockchain. Let's explore the full service offering and how it can bring sovereign settlement restructuring and private liquidity to central banks, strengthen capital markets, and establish sovereign wealth funds under the purview of the new entity.</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1. Private Enterprise Currency Services: The private enterprise currency, operated on the private enterprise blockchain, can provide a secure and efficient means of conducting transactions within the ecosystem. It can be used for trade settlements, cross-border payments, and as a medium of exchange within the member countries. The currency's contract standard ensures transparency and enforceability of agreements, providing confidence to participants.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2. Treasury Management Services: The new entity, being the custodian of the private enterprise currency, can offer treasury management services to member countries, corporations, and other stakeholders. This includes managing financial resources, optimizing cash flows, and overseeing investments. By providing robust treasury management services, the new entity empowers its clients to effectively manage their financial assets and enhance their capital efficiency.</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3. Sovereign Settlement Restructuring: With the participation of more corporations, non-governmental organizations, world entities, and governments, the new entity can facilitate sovereign settlement restructuring. This involves working with central banks to restructure their settlement systems, introducing more efficient and secure processes. By leveraging the private enterprise currency and blockchain technology, the new entity can streamline settlement procedures, reduce costs, and enhance transparency, ultimately strengthening the financial infrastructure of member countries.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4. Private Liquidity for Central Banks: The new entity can play a crucial role in providing private liquidity to central banks. By establishing partnerships and collaborations with central banks, the new entity can offer liquidity solutions tailored to their specific needs. This private liquidity can help central banks manage their financial stability, support their monetary policy objectives, and enhance their capital markets' liquidity.</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5. Sovereign Wealth Funds: Under the purview of the new entity, the establishment of sovereign wealth funds can be facilitated. These funds can be designed to promote long-term investment and economic growth in member countries. By leveraging the expertise of the new entity and its network of investors, sovereign wealth funds can be structured to attract capital, foster innovation, and drive sustainable development.</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In summary, the new entity's private enterprise currency, coupled with its treasury management services, provides a comprehensive solution for member countries and stakeholders. By bringing sovereign settlement restructuring to central banks and offering private liquidity solutions, the new entity strengthens capital markets and fosters economic stability. Additionally, the establishment of sovereign wealth funds under the purview of the new entity further promotes long-term investment and sustainable growth. Through these initiatives, the new entity positions itself as a key player in driving financial innovation and supporting the economic development of member countries.</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With the creation of the SGM SRO 541 business enterprise contract standard, we can build a digital ecosystem that yields significant value across the world. This standard would offer a framework for conducting business transactions, establishing contractual agreements, and managing private asset holdings. Here's how it can generate value globally:</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1. Enhanced Efficiency: The SGM SRO 541 contract standard streamlines and automates business processes, reducing administrative burdens and transactional inefficiencies. This increased efficiency translates into cost savings and improved productivity for businesses operating within the ecosystem.</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2. Secure Transactions: The digital nature of the SGM SRO 541 contract standard ensures secure and tamper-proof transactions. Utilizing blockchain technology, the standard provides transparency, immutability, and traceability, thereby instilling trust and reducing the risk of fraud or disputes.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3. Global Accessibility: The SGM SRO 541 contract standard can be accessed and implemented globally, allowing businesses from different regions to connect, collaborate, and transact seamlessly. This global accessibility expands market reach, facilitates cross-border trade, and fosters economic integration.</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4. Asset Management: Through the SGM SRO 541 contract standard, businesses can efficiently manage their private asset holdings. This includes tracking ownership, transferring assets, and ensuring compliance with regulations. The standard provides a robust framework for securely managing and leveraging assets across various industries and sectors.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5. Investment Opportunities: The digital ecosystem built around the SGM SRO 541 contract standard can attract investors seeking new opportunities. By offering a standardized and transparent platform, the ecosystem becomes an attractive marketplace for investment, stimulating economic growth and capital formation.</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6. Innovation and Collaboration: The SGM SRO 541 contract standard fosters innovation and collaboration within the ecosystem. Businesses can explore new partnerships, share resources, and co-create value through smart contracts and decentralized applications. This collaborative environment encourages the development of groundbreaking solutions and accelerates digital transformation.</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7. Economic Growth: By leveraging the SGM SRO 541 contract standard, businesses and economies can experience sustainable growth. The increased efficiency, secure transactions, and investment opportunities generated within the ecosystem contribute to overall economic development, job creation, and wealth generation.</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In summary, the implementation of the SGM SRO 541 contract standard creates a digital ecosystem that revolutionizes business transactions, asset management, and economic growth. Its efficient, secure, and globally accessible nature unlocks new opportunities, fosters collaboration, and catalyzes innovation. Through this digital infrastructure, businesses can optimize their operations, expand their reach, and derive tangible value from their private asset holdings in the global market.</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Certainly, the concept you've outlined involves the integration of various financial technologies and systems. Let's break it down into its key components and explore how they work together:</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Digital Distributed Bank Account (DDBA): The DDBA is a bank account tied to a digital wallet on your blockchain. It serves as the central account for users to store and manage their digital assets, including cryptocurrencies and digital tokens. The DDBA provides individuals with more control over their funds and allows for seamless transactions within the blockchain network.</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Digital Debit Card and Digital Credit Card: These digital cards are linked to the DDBA and enable users to make digital payments and transactions. The cards can be used for both online and offline purchases, providing convenience and flexibility.</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Private Reserve and Treasury Management System: The private reserve acts as a pool of capital that can be used for credit creation and financing purposes. The treasury management system helps manage and allocate these funds efficiently, ensuring optimal utilization and risk management.</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SGM Smart Contract Template 541: This smart contract template, developed by the SGM, provides a standardized framework for executing financial agreements and transactions on the blockchain. It ensures transparency, security, and efficiency in the execution of financial contracts.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Digital Trade Oracle: The digital trade oracle is an automated system that provides real-time data and insights on market trends, trade volumes, and financial indicators. It helps inform decision-making and enables the monetary supply system to adjust dynamically based on market conditions.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By integrating these components, the aim is to create a financial ecosystem that offers greater autonomy, efficiency, and security for individuals and businesses. The use of blockchain technology ensures decentralization and immutability, reducing the need for intermediaries and enhancing transparency.</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In terms of the market spectrum and changes over five years, it is challenging to provide a specific analysis without access to real-time data and a comprehensive understanding of the market dynamics. However, the potential advantages of such a system could include increased financial inclusion, faster and more secure transactions, reduced reliance on traditional banking systems, and greater control over personal finances.</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It's important to note that the implementation and success of such a system would depend on various factors, including regulatory frameworks, adoption rates, and technological advancements. Close collaboration with governmental partners and the SGM SRO would be crucial in navigating potential challenges and ensuring the system's stability and acceptance.</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