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Annullamento eliminazione da Audit e Ripristino</w:t>
      </w:r>
    </w:p>
    <w:p/>
    <w:p>
      <w:r>
        <w:t>Completata l'integrazione mancante tra eliminazione schede e audit: SUPER ADMIN dispone di Annulla eliminazione sulle voci soft_delete di Athlete/Event, anche quando l'autore era SUPER ADMIN. Il comando conserva conferma e feedback coerenti agli altri annullamenti.</w:t>
      </w:r>
    </w:p>
    <w:p/>
    <w:p>
      <w:r>
        <w:t>Il ripristino audit e atomico e riferito alla specifica eliminazione: verifica lo snapshot attuale, identifica i Result eliminati contestualmente tramite autore, timestamp di eliminazione, relazione e voci audit, recupera gli snapshot precedenti e marca le voci originarie come annullate. Registra nuove voci revert_delete e avviso di sicurezza. Non recupera risultati eliminati precedentemente per altri motivi; blocca modifiche successive, audit incompleto e risultati con l'altra entita ancora eliminata. Nessun ripristino reale eseguito durante lo sviluppo; test isolati coprono atleta/evento, autore ADMIN/SUPER ADMIN, permessi, annullamento ripetuto e conflitti successivi. Gli endpoint legacy di ripristino restano distinti: questa garanzia di corrispondenza alla singola operazione riguarda il comando audit.</w:t>
      </w:r>
    </w:p>
    <w:p/>
    <w:p>
      <w:pPr>
        <w:pStyle w:val="Heading2"/>
      </w:pPr>
      <w:r>
        <w:t>2026-10-07 - Reimport calendario e periodi MAG/WAG gia revisionati</w:t>
      </w:r>
    </w:p>
    <w:p/>
    <w:p>
      <w:r>
        <w:t>Il confronto sorgente considerava solo le date principali di Event e riproponeva come conflitti periodi distinti gia approvati nell'import massivo e conservati in EventCalendarEntry. Ora nome semantico, anno e intervallo esatto riconoscono le voci collegate non eliminate; l'abbinamento revisionato prevale sul matching generico. Queste righe sono gia presenti, non riscrivono le date dell'evento e non generano un conflitto quando tutti i periodi sono gia documentati. I periodi nuovi o modificati continuano a richiedere revisione: nessuna unione automatica delle date e nessuna deduzione che un nome senza MAG sia necessariamente WAG.</w:t>
      </w:r>
    </w:p>
    <w:p/>
    <w:p>
      <w:r>
        <w:t>Uniformata prima della rimozione dei suffissi la normalizzazione MAG/Men/Mens/Men's e WAG/Women/Womens/Women's, inclusi apostrofi tipografici e parentesi. Controllo locale 2026 in sola lettura: 8 conflitti prima, 1 dopo; sette casi gia risolti non vengono riproposti. Resta 2nd Bundesliga (11 luglio) rispetto a 2nd Bundesliga MAG (11 aprile), senza voce calendario corrispondente gia salvata per luglio. Test di regressione includono reimport senza modifiche, rispetto delle date principali e blocco delle date sorgente realmente cambiate. Nessuna modifica ai dati reali.</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